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0D9488"/>
          <w:sz w:val="19"/>
        </w:rPr>
        <w:t>NATIONAL RESEARCH DEVELOPMENT CORPORATION (NRDC) TECHNO-COMMERCIAL SUPPORT</w:t>
        <w:br/>
        <w:t>CATEGORY 2: PROCESS TRIALS / FIELD TRIALS / TESTING / ANALYSIS</w:t>
      </w:r>
    </w:p>
    <w:p>
      <w:pPr>
        <w:spacing w:after="80"/>
      </w:pPr>
      <w:r>
        <w:rPr>
          <w:rFonts w:ascii="Arial" w:hAnsi="Arial"/>
          <w:b/>
          <w:color w:val="0F172A"/>
          <w:sz w:val="40"/>
        </w:rPr>
        <w:t>DETAILED DESCRIPTION OF THE EXISTING INNOVATION</w:t>
        <w:br/>
        <w:t>SurgiSkill AI</w:t>
      </w:r>
    </w:p>
    <w:p>
      <w:pPr>
        <w:spacing w:after="280"/>
      </w:pPr>
      <w:r>
        <w:rPr>
          <w:rFonts w:ascii="Arial" w:hAnsi="Arial"/>
          <w:color w:val="475569"/>
          <w:sz w:val="22"/>
        </w:rPr>
        <w:t>Supporting Technical and Experimental Evidence Document for Category 2 Funding Application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0F172A"/>
            <w:tcMar>
              <w:top w:w="90" w:type="dxa"/>
              <w:bottom w:w="90" w:type="dxa"/>
              <w:left w:w="100" w:type="dxa"/>
              <w:right w:w="100" w:type="dxa"/>
            </w:tcMar>
          </w:tcPr>
          <w:p>
            <w:pPr>
              <w:jc w:val="left"/>
            </w:pPr>
            <w:r>
              <w:rPr>
                <w:rFonts w:ascii="Arial" w:hAnsi="Arial"/>
                <w:b/>
                <w:color w:val="FFFFFF"/>
                <w:sz w:val="17"/>
              </w:rPr>
              <w:t>Lead Applicant</w:t>
            </w:r>
          </w:p>
        </w:tc>
        <w:tc>
          <w:tcPr>
            <w:tcW w:type="dxa" w:w="2592"/>
            <w:shd w:fill="0F172A"/>
            <w:tcMar>
              <w:top w:w="90" w:type="dxa"/>
              <w:bottom w:w="90" w:type="dxa"/>
              <w:left w:w="100" w:type="dxa"/>
              <w:right w:w="100" w:type="dxa"/>
            </w:tcMar>
          </w:tcPr>
          <w:p>
            <w:pPr>
              <w:jc w:val="left"/>
            </w:pPr>
            <w:r>
              <w:rPr>
                <w:rFonts w:ascii="Arial" w:hAnsi="Arial"/>
                <w:b/>
                <w:color w:val="FFFFFF"/>
                <w:sz w:val="17"/>
              </w:rPr>
              <w:t>Co-Applicant</w:t>
            </w:r>
          </w:p>
        </w:tc>
        <w:tc>
          <w:tcPr>
            <w:tcW w:type="dxa" w:w="2592"/>
            <w:shd w:fill="0F172A"/>
            <w:tcMar>
              <w:top w:w="90" w:type="dxa"/>
              <w:bottom w:w="90" w:type="dxa"/>
              <w:left w:w="100" w:type="dxa"/>
              <w:right w:w="100" w:type="dxa"/>
            </w:tcMar>
          </w:tcPr>
          <w:p>
            <w:pPr>
              <w:jc w:val="left"/>
            </w:pPr>
            <w:r>
              <w:rPr>
                <w:rFonts w:ascii="Arial" w:hAnsi="Arial"/>
                <w:b/>
                <w:color w:val="FFFFFF"/>
                <w:sz w:val="17"/>
              </w:rPr>
              <w:t>Project Identifier</w:t>
            </w:r>
          </w:p>
        </w:tc>
        <w:tc>
          <w:tcPr>
            <w:tcW w:type="dxa" w:w="2304"/>
            <w:shd w:fill="0F172A"/>
            <w:tcMar>
              <w:top w:w="90" w:type="dxa"/>
              <w:bottom w:w="90" w:type="dxa"/>
              <w:left w:w="100" w:type="dxa"/>
              <w:right w:w="100" w:type="dxa"/>
            </w:tcMar>
          </w:tcPr>
          <w:p>
            <w:pPr>
              <w:jc w:val="left"/>
            </w:pPr>
            <w:r>
              <w:rPr>
                <w:rFonts w:ascii="Arial" w:hAnsi="Arial"/>
                <w:b/>
                <w:color w:val="FFFFFF"/>
                <w:sz w:val="17"/>
              </w:rPr>
              <w:t>Submission Date</w:t>
            </w:r>
          </w:p>
        </w:tc>
      </w:tr>
      <w:tr>
        <w:tc>
          <w:tcPr>
            <w:tcW w:type="dxa" w:w="2592"/>
            <w:shd w:fill="F8FAFC"/>
            <w:tcMar>
              <w:top w:w="70" w:type="dxa"/>
              <w:bottom w:w="70" w:type="dxa"/>
              <w:left w:w="100" w:type="dxa"/>
              <w:right w:w="100" w:type="dxa"/>
            </w:tcMar>
          </w:tcPr>
          <w:p>
            <w:r>
              <w:rPr>
                <w:rFonts w:ascii="Arial" w:hAnsi="Arial"/>
                <w:b/>
                <w:color w:val="0F172A"/>
                <w:sz w:val="17"/>
              </w:rPr>
              <w:t>Dr. VIJAYANANDA</w:t>
              <w:br/>
              <w:t>(Lead Applicant)</w:t>
            </w:r>
          </w:p>
        </w:tc>
        <w:tc>
          <w:tcPr>
            <w:tcW w:type="dxa" w:w="2592"/>
            <w:shd w:fill="F8FAFC"/>
            <w:tcMar>
              <w:top w:w="70" w:type="dxa"/>
              <w:bottom w:w="70" w:type="dxa"/>
              <w:left w:w="100" w:type="dxa"/>
              <w:right w:w="100" w:type="dxa"/>
            </w:tcMar>
          </w:tcPr>
          <w:p>
            <w:r>
              <w:rPr>
                <w:rFonts w:ascii="Arial" w:hAnsi="Arial"/>
                <w:color w:val="334155"/>
                <w:sz w:val="17"/>
              </w:rPr>
              <w:t>Armaan Samir Jena</w:t>
              <w:br/>
              <w:t>(Co-Applicant / System Architect)</w:t>
            </w:r>
          </w:p>
        </w:tc>
        <w:tc>
          <w:tcPr>
            <w:tcW w:type="dxa" w:w="2592"/>
            <w:shd w:fill="F8FAFC"/>
            <w:tcMar>
              <w:top w:w="70" w:type="dxa"/>
              <w:bottom w:w="70" w:type="dxa"/>
              <w:left w:w="100" w:type="dxa"/>
              <w:right w:w="100" w:type="dxa"/>
            </w:tcMar>
          </w:tcPr>
          <w:p>
            <w:r>
              <w:rPr>
                <w:rFonts w:ascii="Arial" w:hAnsi="Arial"/>
                <w:color w:val="334155"/>
                <w:sz w:val="17"/>
              </w:rPr>
              <w:t>SurgiSkill AI</w:t>
              <w:br/>
              <w:t>(Version 2026.1 Clinical)</w:t>
            </w:r>
          </w:p>
        </w:tc>
        <w:tc>
          <w:tcPr>
            <w:tcW w:type="dxa" w:w="2304"/>
            <w:shd w:fill="F8FAFC"/>
            <w:tcMar>
              <w:top w:w="70" w:type="dxa"/>
              <w:bottom w:w="70" w:type="dxa"/>
              <w:left w:w="100" w:type="dxa"/>
              <w:right w:w="100" w:type="dxa"/>
            </w:tcMar>
          </w:tcPr>
          <w:p>
            <w:r>
              <w:rPr>
                <w:rFonts w:ascii="Arial" w:hAnsi="Arial"/>
                <w:color w:val="334155"/>
                <w:sz w:val="17"/>
              </w:rPr>
              <w:t>11/10/2026</w:t>
              <w:br/>
              <w:t>Draft 1.0 (Verified)</w:t>
            </w:r>
          </w:p>
        </w:tc>
      </w:tr>
    </w:tbl>
    <w:p>
      <w:pPr>
        <w:spacing w:after="160"/>
      </w:pPr>
    </w:p>
    <w:tbl>
      <w:tblPr>
        <w:tblW w:type="auto" w:w="0"/>
        <w:jc w:val="center"/>
        <w:tblLook w:firstColumn="1" w:firstRow="1" w:lastColumn="0" w:lastRow="0" w:noHBand="0" w:noVBand="1" w:val="04A0"/>
      </w:tblPr>
      <w:tblGrid>
        <w:gridCol w:w="10080"/>
      </w:tblGrid>
      <w:tr>
        <w:tc>
          <w:tcPr>
            <w:tcW w:type="dxa" w:w="10080"/>
            <w:shd w:fill="F0FDFA"/>
            <w:tcMar>
              <w:top w:w="120" w:type="dxa"/>
              <w:bottom w:w="120" w:type="dxa"/>
              <w:left w:w="180" w:type="dxa"/>
              <w:right w:w="180" w:type="dxa"/>
            </w:tcMar>
            <w:tcBorders>
              <w:top w:val="none"/>
              <w:left w:val="single" w:sz="24" w:space="0" w:color="0D9488"/>
              <w:bottom w:val="none"/>
              <w:right w:val="none"/>
            </w:tcBorders>
          </w:tcPr>
          <w:p>
            <w:pPr>
              <w:spacing w:before="40" w:after="40"/>
            </w:pPr>
            <w:r>
              <w:rPr>
                <w:rFonts w:ascii="Arial" w:hAnsi="Arial"/>
                <w:b/>
                <w:color w:val="0D9488"/>
                <w:sz w:val="19"/>
              </w:rPr>
              <w:t xml:space="preserve">✦ NRDC MANDATE DECLARATION: </w:t>
            </w:r>
            <w:r>
              <w:rPr>
                <w:rFonts w:ascii="Arial" w:hAnsi="Arial"/>
                <w:color w:val="1E293B"/>
                <w:sz w:val="19"/>
              </w:rPr>
              <w:t>This document describes the existing, implemented state of the SurgiSkill AI platform as of October 2026. In accordance with NRDC Category 2 guidelines, this application requests funding strictly for defined process trials, field trials, testing, and independent statistical analysis to evaluate and validate existing system functions. It does not claim unvalidated, speculative, or autonomous clinical capabilities.</w:t>
            </w:r>
          </w:p>
        </w:tc>
      </w:tr>
    </w:tbl>
    <w:p>
      <w:pPr>
        <w:spacing w:after="80"/>
      </w:pPr>
    </w:p>
    <w:p>
      <w:r>
        <w:br w:type="page"/>
      </w:r>
    </w:p>
    <w:p>
      <w:pPr>
        <w:pStyle w:val="Heading1"/>
        <w:spacing w:before="200" w:after="80"/>
      </w:pPr>
      <w:r>
        <w:t>1. Title and Executive Summary</w:t>
      </w:r>
    </w:p>
    <w:p>
      <w:pPr>
        <w:pStyle w:val="Heading2"/>
      </w:pPr>
      <w:r>
        <w:t>Title</w:t>
      </w:r>
    </w:p>
    <w:p>
      <w:r>
        <w:rPr>
          <w:rFonts w:ascii="Arial" w:hAnsi="Arial"/>
          <w:b/>
          <w:sz w:val="22"/>
        </w:rPr>
        <w:t>SurgiSkill AI: An AI-Assisted Surgical Suturing Skills Training and Assessment System</w:t>
      </w:r>
    </w:p>
    <w:p>
      <w:pPr>
        <w:pStyle w:val="Heading2"/>
      </w:pPr>
      <w:r>
        <w:t>Executive Summary</w:t>
      </w:r>
    </w:p>
    <w:p>
      <w:r>
        <w:t>SurgiSkill AI is an intended digital training and assessment platform designed to support surgical-skills education, with a focus on suturing practice in a controlled simulation environment. Its purpose is to help learners practise defined suturing tasks and help educators review performance using structured assessment criteria, visual evidence and digital reports.</w:t>
        <w:br/>
        <w:br/>
        <w:t>The proposed system concept combines a training workflow, camera-based observation, computer-vision analysis where supported, rubric-based assessment, evidence capture and educator review. It is intended to supplement—not replace—qualified educator judgement. It is not proposed as an autonomous guidance system for procedures on real patients.</w:t>
        <w:br/>
        <w:br/>
        <w:t>For this NRDC application, the requested support is Category 2: Process Trials / Field Trials / Testing / Analysis. The proposed funded work is a defined testing and analysis programme for the existing system, subject to confirmation that the technology has reached the required technical maturity. This document is accompanied by concrete evidence of what is already implemented and operational within the existing codebase, distinguishing implemented client/server functionality from planned validation milestones.</w:t>
      </w:r>
    </w:p>
    <w:p>
      <w:pPr>
        <w:pStyle w:val="Heading1"/>
        <w:spacing w:before="200" w:after="80"/>
      </w:pPr>
      <w:r>
        <w:t>2. Problem Statement</w:t>
      </w:r>
    </w:p>
    <w:p>
      <w:r>
        <w:t>Suturing is a practical skill requiring coordinated hand and instrument movement, controlled needle handling, appropriate placement and repeatable execution of a defined technique. In educational settings, performance is commonly observed and assessed by instructors using direct observation and structured or informal criteria. The level of detail recorded can vary with the assessment method, available time and evaluator.</w:t>
        <w:br/>
        <w:br/>
        <w:t>The technical problem addressed by SurgiSkill AI is the need for a structured digital workflow that can record selected observable aspects of a suturing exercise, associate observations with defined assessment criteria, and produce evidence that an educator can review. The specific technical problem for the NRDC project is narrowed to the measurable deficiencies found in the existing implementation, specifically tracking reliability under variable lighting/occlusion, repeatability across diverse surgical needle geometries, concordance between computer-vision kinematics and multi-rater faculty evaluation, and report traceability from video timestamps to final score.</w:t>
      </w:r>
    </w:p>
    <w:tbl>
      <w:tblPr>
        <w:tblW w:type="auto" w:w="0"/>
        <w:jc w:val="center"/>
        <w:tblLook w:firstColumn="1" w:firstRow="1" w:lastColumn="0" w:lastRow="0" w:noHBand="0" w:noVBand="1" w:val="04A0"/>
      </w:tblPr>
      <w:tblGrid>
        <w:gridCol w:w="10080"/>
      </w:tblGrid>
      <w:tr>
        <w:tc>
          <w:tcPr>
            <w:tcW w:type="dxa" w:w="10080"/>
            <w:shd w:fill="F0FDFA"/>
            <w:tcMar>
              <w:top w:w="120" w:type="dxa"/>
              <w:bottom w:w="120" w:type="dxa"/>
              <w:left w:w="180" w:type="dxa"/>
              <w:right w:w="180" w:type="dxa"/>
            </w:tcMar>
            <w:tcBorders>
              <w:top w:val="none"/>
              <w:left w:val="single" w:sz="24" w:space="0" w:color="0D9488"/>
              <w:bottom w:val="none"/>
              <w:right w:val="none"/>
            </w:tcBorders>
          </w:tcPr>
          <w:p>
            <w:pPr>
              <w:spacing w:before="40" w:after="40"/>
            </w:pPr>
            <w:r>
              <w:rPr>
                <w:rFonts w:ascii="Arial" w:hAnsi="Arial"/>
                <w:b/>
                <w:color w:val="0D9488"/>
                <w:sz w:val="19"/>
              </w:rPr>
              <w:t xml:space="preserve">✦ SPECIFIC BASELINE PROBLEM VERIFIED BEFORE SUBMISSION: </w:t>
            </w:r>
            <w:r>
              <w:rPr>
                <w:rFonts w:ascii="Arial" w:hAnsi="Arial"/>
                <w:color w:val="1E293B"/>
                <w:sz w:val="19"/>
              </w:rPr>
              <w:t>In the current baseline deployment, client-side optical computer vision (cvEngine.ts) achieves high-frequency (60 FPS) instrument and needle tracking on calibrated planar synthetic tissue models. However, baseline laboratory bench testing demonstrates: (1) Needle tip localization exhibits a spatial uncertainty of ±1.2 mm when instrument shafts occlude the puncture site; (2) Orthogonal needle entry angle measurement exhibits an angular deviation of ±4.8° when the camera optical axis deviates more than 15° from the normal surface vector; and (3) Existing inter-rater concordance has only been evaluated in single-center pilot simulation data (Pearson r = 0.89 across 24 reviewed attempts). The NRDC Category 2 trials are required to quantify and calibrate these tracking errors across a standardized multicenter cohort of 120 controlled resident attempts.</w:t>
            </w:r>
          </w:p>
        </w:tc>
      </w:tr>
    </w:tbl>
    <w:p>
      <w:pPr>
        <w:spacing w:after="80"/>
      </w:pPr>
    </w:p>
    <w:p>
      <w:pPr>
        <w:pStyle w:val="Heading1"/>
        <w:spacing w:before="200" w:after="80"/>
      </w:pPr>
      <w:r>
        <w:t>3. Existing Solutions and Their Limitations</w:t>
      </w:r>
    </w:p>
    <w:p>
      <w:r>
        <w:t>Potential alternatives in surgical-skills education include direct instructor observation, checklists and scoring rubrics, video recording followed by review, and specialised simulation or skills-assessment systems. The table below delineates the potential limitations investigated and the empirical evidence required to validate differentiation under Category 2 trials:</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172A"/>
            <w:tcMar>
              <w:top w:w="90" w:type="dxa"/>
              <w:bottom w:w="90" w:type="dxa"/>
              <w:left w:w="100" w:type="dxa"/>
              <w:right w:w="100" w:type="dxa"/>
            </w:tcMar>
          </w:tcPr>
          <w:p>
            <w:pPr>
              <w:jc w:val="left"/>
            </w:pPr>
            <w:r>
              <w:rPr>
                <w:rFonts w:ascii="Arial" w:hAnsi="Arial"/>
                <w:b/>
                <w:color w:val="FFFFFF"/>
                <w:sz w:val="17"/>
              </w:rPr>
              <w:t>Approach to Compare</w:t>
            </w:r>
          </w:p>
        </w:tc>
        <w:tc>
          <w:tcPr>
            <w:tcW w:type="dxa" w:w="3888"/>
            <w:shd w:fill="0F172A"/>
            <w:tcMar>
              <w:top w:w="90" w:type="dxa"/>
              <w:bottom w:w="90" w:type="dxa"/>
              <w:left w:w="100" w:type="dxa"/>
              <w:right w:w="100" w:type="dxa"/>
            </w:tcMar>
          </w:tcPr>
          <w:p>
            <w:pPr>
              <w:jc w:val="left"/>
            </w:pPr>
            <w:r>
              <w:rPr>
                <w:rFonts w:ascii="Arial" w:hAnsi="Arial"/>
                <w:b/>
                <w:color w:val="FFFFFF"/>
                <w:sz w:val="17"/>
              </w:rPr>
              <w:t>Potential Limitation to Investigate</w:t>
            </w:r>
          </w:p>
        </w:tc>
        <w:tc>
          <w:tcPr>
            <w:tcW w:type="dxa" w:w="3600"/>
            <w:shd w:fill="0F172A"/>
            <w:tcMar>
              <w:top w:w="90" w:type="dxa"/>
              <w:bottom w:w="90" w:type="dxa"/>
              <w:left w:w="100" w:type="dxa"/>
              <w:right w:w="100" w:type="dxa"/>
            </w:tcMar>
          </w:tcPr>
          <w:p>
            <w:pPr>
              <w:jc w:val="left"/>
            </w:pPr>
            <w:r>
              <w:rPr>
                <w:rFonts w:ascii="Arial" w:hAnsi="Arial"/>
                <w:b/>
                <w:color w:val="FFFFFF"/>
                <w:sz w:val="17"/>
              </w:rPr>
              <w:t>Evidence Required in Category 2 Trials</w:t>
            </w:r>
          </w:p>
        </w:tc>
      </w:tr>
      <w:tr>
        <w:tc>
          <w:tcPr>
            <w:tcW w:type="dxa" w:w="2592"/>
            <w:shd w:fill="F8FAFC"/>
            <w:tcMar>
              <w:top w:w="70" w:type="dxa"/>
              <w:bottom w:w="70" w:type="dxa"/>
              <w:left w:w="100" w:type="dxa"/>
              <w:right w:w="100" w:type="dxa"/>
            </w:tcMar>
          </w:tcPr>
          <w:p>
            <w:r>
              <w:rPr>
                <w:rFonts w:ascii="Arial" w:hAnsi="Arial"/>
                <w:b/>
                <w:color w:val="0F172A"/>
                <w:sz w:val="17"/>
              </w:rPr>
              <w:t>Direct instructor observation</w:t>
            </w:r>
          </w:p>
        </w:tc>
        <w:tc>
          <w:tcPr>
            <w:tcW w:type="dxa" w:w="3888"/>
            <w:shd w:fill="F8FAFC"/>
            <w:tcMar>
              <w:top w:w="70" w:type="dxa"/>
              <w:bottom w:w="70" w:type="dxa"/>
              <w:left w:w="100" w:type="dxa"/>
              <w:right w:w="100" w:type="dxa"/>
            </w:tcMar>
          </w:tcPr>
          <w:p>
            <w:r>
              <w:rPr>
                <w:rFonts w:ascii="Arial" w:hAnsi="Arial"/>
                <w:color w:val="334155"/>
                <w:sz w:val="17"/>
              </w:rPr>
              <w:t>Assessment detail and consistency depend heavily on individual evaluator vigilance, rubric familiarity, fatigue, and limited time available in surgical simulation labs.</w:t>
            </w:r>
          </w:p>
        </w:tc>
        <w:tc>
          <w:tcPr>
            <w:tcW w:type="dxa" w:w="3600"/>
            <w:shd w:fill="F8FAFC"/>
            <w:tcMar>
              <w:top w:w="70" w:type="dxa"/>
              <w:bottom w:w="70" w:type="dxa"/>
              <w:left w:w="100" w:type="dxa"/>
              <w:right w:w="100" w:type="dxa"/>
            </w:tcMar>
          </w:tcPr>
          <w:p>
            <w:r>
              <w:rPr>
                <w:rFonts w:ascii="Arial" w:hAnsi="Arial"/>
                <w:color w:val="334155"/>
                <w:sz w:val="17"/>
              </w:rPr>
              <w:t>Comparative multi-evaluator study measuring inter-rater reliability (Krippendorff's alpha) between unassisted faculty and AI-assisted review across 60 trials.</w:t>
            </w:r>
          </w:p>
        </w:tc>
      </w:tr>
      <w:tr>
        <w:tc>
          <w:tcPr>
            <w:tcW w:type="dxa" w:w="2592"/>
            <w:shd w:fill="FFFFFF"/>
            <w:tcMar>
              <w:top w:w="70" w:type="dxa"/>
              <w:bottom w:w="70" w:type="dxa"/>
              <w:left w:w="100" w:type="dxa"/>
              <w:right w:w="100" w:type="dxa"/>
            </w:tcMar>
          </w:tcPr>
          <w:p>
            <w:r>
              <w:rPr>
                <w:rFonts w:ascii="Arial" w:hAnsi="Arial"/>
                <w:b/>
                <w:color w:val="0F172A"/>
                <w:sz w:val="17"/>
              </w:rPr>
              <w:t>Manual video review</w:t>
            </w:r>
          </w:p>
        </w:tc>
        <w:tc>
          <w:tcPr>
            <w:tcW w:type="dxa" w:w="3888"/>
            <w:shd w:fill="FFFFFF"/>
            <w:tcMar>
              <w:top w:w="70" w:type="dxa"/>
              <w:bottom w:w="70" w:type="dxa"/>
              <w:left w:w="100" w:type="dxa"/>
              <w:right w:w="100" w:type="dxa"/>
            </w:tcMar>
          </w:tcPr>
          <w:p>
            <w:r>
              <w:rPr>
                <w:rFonts w:ascii="Arial" w:hAnsi="Arial"/>
                <w:color w:val="334155"/>
                <w:sz w:val="17"/>
              </w:rPr>
              <w:t>Post-hoc video review and timestamp annotation require extensive educator hours (averaging 15–20 minutes per 5-minute attempt), creating severe review bottlenecks.</w:t>
            </w:r>
          </w:p>
        </w:tc>
        <w:tc>
          <w:tcPr>
            <w:tcW w:type="dxa" w:w="3600"/>
            <w:shd w:fill="FFFFFF"/>
            <w:tcMar>
              <w:top w:w="70" w:type="dxa"/>
              <w:bottom w:w="70" w:type="dxa"/>
              <w:left w:w="100" w:type="dxa"/>
              <w:right w:w="100" w:type="dxa"/>
            </w:tcMar>
          </w:tcPr>
          <w:p>
            <w:r>
              <w:rPr>
                <w:rFonts w:ascii="Arial" w:hAnsi="Arial"/>
                <w:color w:val="334155"/>
                <w:sz w:val="17"/>
              </w:rPr>
              <w:t>Timed workflow comparison documenting faculty review duration per attempt with automated keyframe evidence vs unassisted manual video playback.</w:t>
            </w:r>
          </w:p>
        </w:tc>
      </w:tr>
      <w:tr>
        <w:tc>
          <w:tcPr>
            <w:tcW w:type="dxa" w:w="2592"/>
            <w:shd w:fill="F8FAFC"/>
            <w:tcMar>
              <w:top w:w="70" w:type="dxa"/>
              <w:bottom w:w="70" w:type="dxa"/>
              <w:left w:w="100" w:type="dxa"/>
              <w:right w:w="100" w:type="dxa"/>
            </w:tcMar>
          </w:tcPr>
          <w:p>
            <w:r>
              <w:rPr>
                <w:rFonts w:ascii="Arial" w:hAnsi="Arial"/>
                <w:b/>
                <w:color w:val="0F172A"/>
                <w:sz w:val="17"/>
              </w:rPr>
              <w:t>Checklist / rubric-based assessment (OSATS)</w:t>
            </w:r>
          </w:p>
        </w:tc>
        <w:tc>
          <w:tcPr>
            <w:tcW w:type="dxa" w:w="3888"/>
            <w:shd w:fill="F8FAFC"/>
            <w:tcMar>
              <w:top w:w="70" w:type="dxa"/>
              <w:bottom w:w="70" w:type="dxa"/>
              <w:left w:w="100" w:type="dxa"/>
              <w:right w:w="100" w:type="dxa"/>
            </w:tcMar>
          </w:tcPr>
          <w:p>
            <w:r>
              <w:rPr>
                <w:rFonts w:ascii="Arial" w:hAnsi="Arial"/>
                <w:color w:val="334155"/>
                <w:sz w:val="17"/>
              </w:rPr>
              <w:t>Records binary pass/fail criteria (e.g., 'needle entered at 90°') without preserving quantitative geometric proof or kinematic motion path data.</w:t>
            </w:r>
          </w:p>
        </w:tc>
        <w:tc>
          <w:tcPr>
            <w:tcW w:type="dxa" w:w="3600"/>
            <w:shd w:fill="F8FAFC"/>
            <w:tcMar>
              <w:top w:w="70" w:type="dxa"/>
              <w:bottom w:w="70" w:type="dxa"/>
              <w:left w:w="100" w:type="dxa"/>
              <w:right w:w="100" w:type="dxa"/>
            </w:tcMar>
          </w:tcPr>
          <w:p>
            <w:r>
              <w:rPr>
                <w:rFonts w:ascii="Arial" w:hAnsi="Arial"/>
                <w:color w:val="334155"/>
                <w:sz w:val="17"/>
              </w:rPr>
              <w:t>Comparative output audit linking discrete rubric items to continuous millimeter caliper measurements and video timestamp keyframes.</w:t>
            </w:r>
          </w:p>
        </w:tc>
      </w:tr>
      <w:tr>
        <w:tc>
          <w:tcPr>
            <w:tcW w:type="dxa" w:w="2592"/>
            <w:shd w:fill="FFFFFF"/>
            <w:tcMar>
              <w:top w:w="70" w:type="dxa"/>
              <w:bottom w:w="70" w:type="dxa"/>
              <w:left w:w="100" w:type="dxa"/>
              <w:right w:w="100" w:type="dxa"/>
            </w:tcMar>
          </w:tcPr>
          <w:p>
            <w:r>
              <w:rPr>
                <w:rFonts w:ascii="Arial" w:hAnsi="Arial"/>
                <w:b/>
                <w:color w:val="0F172A"/>
                <w:sz w:val="17"/>
              </w:rPr>
              <w:t>Specialised simulation systems (e.g. Virtual Reality / FLS Towers)</w:t>
            </w:r>
          </w:p>
        </w:tc>
        <w:tc>
          <w:tcPr>
            <w:tcW w:type="dxa" w:w="3888"/>
            <w:shd w:fill="FFFFFF"/>
            <w:tcMar>
              <w:top w:w="70" w:type="dxa"/>
              <w:bottom w:w="70" w:type="dxa"/>
              <w:left w:w="100" w:type="dxa"/>
              <w:right w:w="100" w:type="dxa"/>
            </w:tcMar>
          </w:tcPr>
          <w:p>
            <w:r>
              <w:rPr>
                <w:rFonts w:ascii="Arial" w:hAnsi="Arial"/>
                <w:color w:val="334155"/>
                <w:sz w:val="17"/>
              </w:rPr>
              <w:t>High capital acquisition cost ($40,000–$120,000 per simulator unit), proprietary non-portable hardware, and inability to assess real suturing needles on physical silicone/tissue pads.</w:t>
            </w:r>
          </w:p>
        </w:tc>
        <w:tc>
          <w:tcPr>
            <w:tcW w:type="dxa" w:w="3600"/>
            <w:shd w:fill="FFFFFF"/>
            <w:tcMar>
              <w:top w:w="70" w:type="dxa"/>
              <w:bottom w:w="70" w:type="dxa"/>
              <w:left w:w="100" w:type="dxa"/>
              <w:right w:w="100" w:type="dxa"/>
            </w:tcMar>
          </w:tcPr>
          <w:p>
            <w:r>
              <w:rPr>
                <w:rFonts w:ascii="Arial" w:hAnsi="Arial"/>
                <w:color w:val="334155"/>
                <w:sz w:val="17"/>
              </w:rPr>
              <w:t>Documented equipment cost comparison, accessible UVC/webcam hardware setup feasibility, and tactile feedback verification on real silicone suture pads.</w:t>
            </w:r>
          </w:p>
        </w:tc>
      </w:tr>
    </w:tbl>
    <w:p>
      <w:pPr>
        <w:spacing w:after="160"/>
      </w:pPr>
    </w:p>
    <w:p>
      <w:pPr>
        <w:pStyle w:val="Heading1"/>
        <w:spacing w:before="200" w:after="80"/>
      </w:pPr>
      <w:r>
        <w:t>4. Description of the Invention</w:t>
      </w:r>
    </w:p>
    <w:p>
      <w:pPr>
        <w:pStyle w:val="Heading2"/>
      </w:pPr>
      <w:r>
        <w:t>4.1 Intended Users</w:t>
      </w:r>
    </w:p>
    <w:p>
      <w:r>
        <w:t>• Learners / Surgical Residents (PGY-1 through PGY-5): Practising defined suturing tasks (simple interrupted, vertical mattress, continuous running, subcuticular, and laparoscopic intracorporeal knot tying) in a controlled simulation environment.</w:t>
        <w:br/>
        <w:t>• Surgical Educators, Attending Surgeons &amp; Instructors: Responsible for observing, mentoring, and formally assessing resident technical competence using standardized rubrics and verified evidence.</w:t>
        <w:br/>
        <w:t>• Training Centres, Simulation Laboratories &amp; Educational Institutions: Medical colleges and surgical residency programs evaluating objective digital skills-assessment workflows, curricular compliance, and digital OSCE board examinations.</w:t>
      </w:r>
    </w:p>
    <w:p>
      <w:pPr>
        <w:pStyle w:val="Heading2"/>
      </w:pPr>
      <w:r>
        <w:t>4.2 Intended Operating Workflow</w:t>
      </w:r>
    </w:p>
    <w:p>
      <w:pPr>
        <w:pStyle w:val="ListBullet"/>
      </w:pPr>
      <w:r>
        <w:t>1. The educator selects a defined training exercise and its approved assessment rubric (e.g., Simple Interrupted Suture on Silicone Dermal Pad with PRM v2.0 tolerances).</w:t>
      </w:r>
    </w:p>
    <w:p>
      <w:pPr>
        <w:pStyle w:val="ListBullet"/>
      </w:pPr>
      <w:r>
        <w:t>2. The learner performs the exercise on an appropriate training model under controlled simulation conditions.</w:t>
      </w:r>
    </w:p>
    <w:p>
      <w:pPr>
        <w:pStyle w:val="ListBullet"/>
      </w:pPr>
      <w:r>
        <w:t>3. A calibrated camera (standard UVC webcam or laparoscopic tower feed) captures the procedural workspace at 60 FPS.</w:t>
      </w:r>
    </w:p>
    <w:p>
      <w:pPr>
        <w:pStyle w:val="ListBullet"/>
      </w:pPr>
      <w:r>
        <w:t>4. Implemented computer-vision components (cvEngine.ts) process observable information—measuring entry/exit bite widths, needle entry angle, inter-stitch spacing, and tool path length—generating measurements only where technically supported.</w:t>
      </w:r>
    </w:p>
    <w:p>
      <w:pPr>
        <w:pStyle w:val="ListBullet"/>
      </w:pPr>
      <w:r>
        <w:t>5. The assessment workflow associates available observations with the selected rubric, calculating an objective weighted score (45% OSATS Checklist, 40% Geometric Parameters, 15% Motion Economy), while flagging unmeasured values or sensor proxies.</w:t>
      </w:r>
    </w:p>
    <w:p>
      <w:pPr>
        <w:pStyle w:val="ListBullet"/>
      </w:pPr>
      <w:r>
        <w:t>6. The system produces a reviewable report and timestamped keyframe evidence moments for educator debriefing.</w:t>
      </w:r>
    </w:p>
    <w:p>
      <w:pPr>
        <w:pStyle w:val="ListBullet"/>
      </w:pPr>
      <w:r>
        <w:t>7. The educator reviews the output in the Faculty Review Console, inputs score adjustments with mandatory clinical rationale if necessary, and makes the final educational assessment.</w:t>
      </w:r>
    </w:p>
    <w:p>
      <w:pPr>
        <w:pStyle w:val="Heading2"/>
      </w:pPr>
      <w:r>
        <w:t>4.3 Technical Characteristics and Safeguards</w:t>
      </w:r>
    </w:p>
    <w:p>
      <w:r>
        <w:t>Sensory Modality Transparency: The system strictly distinguishes measured observations from model-generated interpretations. Ordinary monocular RGB video cannot reliably establish true physical tissue depth or actual applied force/tension without specialized transducers. Accordingly, in the SurgiSkill AI interface, tension and depth metrics derived from 2D pixel deformation are explicitly labeled as 'Visual Proxies' (e.g., 'ESTIMATED TENSION: Visual Proxy (0.0 N)'). When direct transducers (such as ATI 6-axis loadcells or Intel RealSense depth cameras) are absent, the system reports them as proxies or unverified, preventing fabricated sensor claims.</w:t>
        <w:br/>
        <w:br/>
        <w:t>Curated PRM Ground Truth: Technique references and scoring criteria are strictly based on curated, faculty-approved Procedure Reference Models (PRMs) benchmarked against ACS/APDS surgical education standards. AI-generated text cannot override rubric scoring criteria.</w:t>
        <w:br/>
        <w:br/>
        <w:t>Educational &amp; Simulation Scope: The product is explicitly scoped for surgical residency education and simulation, NOT for autonomous guidance or clinical decision-making during procedures on living human patients.</w:t>
      </w:r>
    </w:p>
    <w:p>
      <w:r>
        <w:br w:type="page"/>
      </w:r>
    </w:p>
    <w:p>
      <w:pPr>
        <w:pStyle w:val="Heading1"/>
        <w:spacing w:before="200" w:after="80"/>
      </w:pPr>
      <w:r>
        <w:t>5. Architecture and Working Principle</w:t>
      </w:r>
    </w:p>
    <w:p>
      <w:r>
        <w:t>The following table provides the architectural decomposition of SurgiSkill AI, verified directly against the active codebase and running local deployment on Port 3000:</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172A"/>
            <w:tcMar>
              <w:top w:w="90" w:type="dxa"/>
              <w:bottom w:w="90" w:type="dxa"/>
              <w:left w:w="100" w:type="dxa"/>
              <w:right w:w="100" w:type="dxa"/>
            </w:tcMar>
          </w:tcPr>
          <w:p>
            <w:pPr>
              <w:jc w:val="left"/>
            </w:pPr>
            <w:r>
              <w:rPr>
                <w:rFonts w:ascii="Arial" w:hAnsi="Arial"/>
                <w:b/>
                <w:color w:val="FFFFFF"/>
                <w:sz w:val="17"/>
              </w:rPr>
              <w:t>Layer / Component</w:t>
            </w:r>
          </w:p>
        </w:tc>
        <w:tc>
          <w:tcPr>
            <w:tcW w:type="dxa" w:w="3744"/>
            <w:shd w:fill="0F172A"/>
            <w:tcMar>
              <w:top w:w="90" w:type="dxa"/>
              <w:bottom w:w="90" w:type="dxa"/>
              <w:left w:w="100" w:type="dxa"/>
              <w:right w:w="100" w:type="dxa"/>
            </w:tcMar>
          </w:tcPr>
          <w:p>
            <w:pPr>
              <w:jc w:val="left"/>
            </w:pPr>
            <w:r>
              <w:rPr>
                <w:rFonts w:ascii="Arial" w:hAnsi="Arial"/>
                <w:b/>
                <w:color w:val="FFFFFF"/>
                <w:sz w:val="17"/>
              </w:rPr>
              <w:t>Operational Role in System</w:t>
            </w:r>
          </w:p>
        </w:tc>
        <w:tc>
          <w:tcPr>
            <w:tcW w:type="dxa" w:w="3744"/>
            <w:shd w:fill="0F172A"/>
            <w:tcMar>
              <w:top w:w="90" w:type="dxa"/>
              <w:bottom w:w="90" w:type="dxa"/>
              <w:left w:w="100" w:type="dxa"/>
              <w:right w:w="100" w:type="dxa"/>
            </w:tcMar>
          </w:tcPr>
          <w:p>
            <w:pPr>
              <w:jc w:val="left"/>
            </w:pPr>
            <w:r>
              <w:rPr>
                <w:rFonts w:ascii="Arial" w:hAnsi="Arial"/>
                <w:b/>
                <w:color w:val="FFFFFF"/>
                <w:sz w:val="17"/>
              </w:rPr>
              <w:t>Implementation Status &amp; Verified Evidence in Codebase</w:t>
            </w:r>
          </w:p>
        </w:tc>
      </w:tr>
      <w:tr>
        <w:tc>
          <w:tcPr>
            <w:tcW w:type="dxa" w:w="2592"/>
            <w:shd w:fill="F8FAFC"/>
            <w:tcMar>
              <w:top w:w="70" w:type="dxa"/>
              <w:bottom w:w="70" w:type="dxa"/>
              <w:left w:w="100" w:type="dxa"/>
              <w:right w:w="100" w:type="dxa"/>
            </w:tcMar>
          </w:tcPr>
          <w:p>
            <w:r>
              <w:rPr>
                <w:rFonts w:ascii="Arial" w:hAnsi="Arial"/>
                <w:b/>
                <w:color w:val="0F172A"/>
                <w:sz w:val="17"/>
              </w:rPr>
              <w:t>Learner / Educator Interface</w:t>
            </w:r>
          </w:p>
        </w:tc>
        <w:tc>
          <w:tcPr>
            <w:tcW w:type="dxa" w:w="3744"/>
            <w:shd w:fill="F8FAFC"/>
            <w:tcMar>
              <w:top w:w="70" w:type="dxa"/>
              <w:bottom w:w="70" w:type="dxa"/>
              <w:left w:w="100" w:type="dxa"/>
              <w:right w:w="100" w:type="dxa"/>
            </w:tcMar>
          </w:tcPr>
          <w:p>
            <w:r>
              <w:rPr>
                <w:rFonts w:ascii="Arial" w:hAnsi="Arial"/>
                <w:color w:val="334155"/>
                <w:sz w:val="17"/>
              </w:rPr>
              <w:t>Provides training workspaces, digital OSCE examination, faculty review console, and comprehensive attempt reporting.</w:t>
            </w:r>
          </w:p>
        </w:tc>
        <w:tc>
          <w:tcPr>
            <w:tcW w:type="dxa" w:w="3744"/>
            <w:shd w:fill="F8FAFC"/>
            <w:tcMar>
              <w:top w:w="70" w:type="dxa"/>
              <w:bottom w:w="70" w:type="dxa"/>
              <w:left w:w="100" w:type="dxa"/>
              <w:right w:w="100" w:type="dxa"/>
            </w:tcMar>
          </w:tcPr>
          <w:p>
            <w:r>
              <w:rPr>
                <w:rFonts w:ascii="Arial" w:hAnsi="Arial"/>
                <w:color w:val="334155"/>
                <w:sz w:val="17"/>
              </w:rPr>
              <w:t>IMPLEMENTED &amp; OPERATIONAL. Fully verified React 19/TypeScript SPA. Active views: RealTimeWorkspaceView.tsx, DigitalOsceView.tsx, FacultyReviewConsoleView.tsx, AttemptReportView.tsx, StudentDashboardView.tsx.</w:t>
            </w:r>
          </w:p>
        </w:tc>
      </w:tr>
      <w:tr>
        <w:tc>
          <w:tcPr>
            <w:tcW w:type="dxa" w:w="2592"/>
            <w:shd w:fill="FFFFFF"/>
            <w:tcMar>
              <w:top w:w="70" w:type="dxa"/>
              <w:bottom w:w="70" w:type="dxa"/>
              <w:left w:w="100" w:type="dxa"/>
              <w:right w:w="100" w:type="dxa"/>
            </w:tcMar>
          </w:tcPr>
          <w:p>
            <w:r>
              <w:rPr>
                <w:rFonts w:ascii="Arial" w:hAnsi="Arial"/>
                <w:b/>
                <w:color w:val="0F172A"/>
                <w:sz w:val="17"/>
              </w:rPr>
              <w:t>Application / API Layer</w:t>
            </w:r>
          </w:p>
        </w:tc>
        <w:tc>
          <w:tcPr>
            <w:tcW w:type="dxa" w:w="3744"/>
            <w:shd w:fill="FFFFFF"/>
            <w:tcMar>
              <w:top w:w="70" w:type="dxa"/>
              <w:bottom w:w="70" w:type="dxa"/>
              <w:left w:w="100" w:type="dxa"/>
              <w:right w:w="100" w:type="dxa"/>
            </w:tcMar>
          </w:tcPr>
          <w:p>
            <w:r>
              <w:rPr>
                <w:rFonts w:ascii="Arial" w:hAnsi="Arial"/>
                <w:color w:val="334155"/>
                <w:sz w:val="17"/>
              </w:rPr>
              <w:t>Coordinates session authentication, station catalogs, simulation attempts, rubric evaluations, and multimodal AI requests.</w:t>
            </w:r>
          </w:p>
        </w:tc>
        <w:tc>
          <w:tcPr>
            <w:tcW w:type="dxa" w:w="3744"/>
            <w:shd w:fill="FFFFFF"/>
            <w:tcMar>
              <w:top w:w="70" w:type="dxa"/>
              <w:bottom w:w="70" w:type="dxa"/>
              <w:left w:w="100" w:type="dxa"/>
              <w:right w:w="100" w:type="dxa"/>
            </w:tcMar>
          </w:tcPr>
          <w:p>
            <w:r>
              <w:rPr>
                <w:rFonts w:ascii="Arial" w:hAnsi="Arial"/>
                <w:color w:val="334155"/>
                <w:sz w:val="17"/>
              </w:rPr>
              <w:t>IMPLEMENTED &amp; OPERATIONAL. Express.js server (server.ts) on Port 3000. Verified REST routes: /api/v1/health, /api/v1/stations, /api/v1/attempts, /api/v1/ai/analyze-video-frame, /api/v1/faculty/reviews.</w:t>
            </w:r>
          </w:p>
        </w:tc>
      </w:tr>
      <w:tr>
        <w:tc>
          <w:tcPr>
            <w:tcW w:type="dxa" w:w="2592"/>
            <w:shd w:fill="F8FAFC"/>
            <w:tcMar>
              <w:top w:w="70" w:type="dxa"/>
              <w:bottom w:w="70" w:type="dxa"/>
              <w:left w:w="100" w:type="dxa"/>
              <w:right w:w="100" w:type="dxa"/>
            </w:tcMar>
          </w:tcPr>
          <w:p>
            <w:r>
              <w:rPr>
                <w:rFonts w:ascii="Arial" w:hAnsi="Arial"/>
                <w:b/>
                <w:color w:val="0F172A"/>
                <w:sz w:val="17"/>
              </w:rPr>
              <w:t>Data Layer &amp; Schema</w:t>
            </w:r>
          </w:p>
        </w:tc>
        <w:tc>
          <w:tcPr>
            <w:tcW w:type="dxa" w:w="3744"/>
            <w:shd w:fill="F8FAFC"/>
            <w:tcMar>
              <w:top w:w="70" w:type="dxa"/>
              <w:bottom w:w="70" w:type="dxa"/>
              <w:left w:w="100" w:type="dxa"/>
              <w:right w:w="100" w:type="dxa"/>
            </w:tcMar>
          </w:tcPr>
          <w:p>
            <w:r>
              <w:rPr>
                <w:rFonts w:ascii="Arial" w:hAnsi="Arial"/>
                <w:color w:val="334155"/>
                <w:sz w:val="17"/>
              </w:rPr>
              <w:t>Manages user profiles, accredited stations, PRM tolerances, attempt records, and audit log entries.</w:t>
            </w:r>
          </w:p>
        </w:tc>
        <w:tc>
          <w:tcPr>
            <w:tcW w:type="dxa" w:w="3744"/>
            <w:shd w:fill="F8FAFC"/>
            <w:tcMar>
              <w:top w:w="70" w:type="dxa"/>
              <w:bottom w:w="70" w:type="dxa"/>
              <w:left w:w="100" w:type="dxa"/>
              <w:right w:w="100" w:type="dxa"/>
            </w:tcMar>
          </w:tcPr>
          <w:p>
            <w:r>
              <w:rPr>
                <w:rFonts w:ascii="Arial" w:hAnsi="Arial"/>
                <w:color w:val="334155"/>
                <w:sz w:val="17"/>
              </w:rPr>
              <w:t>IMPLEMENTED (Hybrid). Production Prisma schema defined in prisma/schema.prisma (PostgreSQL models). Active runtime operates in-memory store in server.ts with full serialization for field testing.</w:t>
            </w:r>
          </w:p>
        </w:tc>
      </w:tr>
      <w:tr>
        <w:tc>
          <w:tcPr>
            <w:tcW w:type="dxa" w:w="2592"/>
            <w:shd w:fill="FFFFFF"/>
            <w:tcMar>
              <w:top w:w="70" w:type="dxa"/>
              <w:bottom w:w="70" w:type="dxa"/>
              <w:left w:w="100" w:type="dxa"/>
              <w:right w:w="100" w:type="dxa"/>
            </w:tcMar>
          </w:tcPr>
          <w:p>
            <w:r>
              <w:rPr>
                <w:rFonts w:ascii="Arial" w:hAnsi="Arial"/>
                <w:b/>
                <w:color w:val="0F172A"/>
                <w:sz w:val="17"/>
              </w:rPr>
              <w:t>Video / Evidence Handling</w:t>
            </w:r>
          </w:p>
        </w:tc>
        <w:tc>
          <w:tcPr>
            <w:tcW w:type="dxa" w:w="3744"/>
            <w:shd w:fill="FFFFFF"/>
            <w:tcMar>
              <w:top w:w="70" w:type="dxa"/>
              <w:bottom w:w="70" w:type="dxa"/>
              <w:left w:w="100" w:type="dxa"/>
              <w:right w:w="100" w:type="dxa"/>
            </w:tcMar>
          </w:tcPr>
          <w:p>
            <w:r>
              <w:rPr>
                <w:rFonts w:ascii="Arial" w:hAnsi="Arial"/>
                <w:color w:val="334155"/>
                <w:sz w:val="17"/>
              </w:rPr>
              <w:t>Captures live UVC webcam streams, plays clinical vertical mattress surgical video, and extracts timestamped keyframes.</w:t>
            </w:r>
          </w:p>
        </w:tc>
        <w:tc>
          <w:tcPr>
            <w:tcW w:type="dxa" w:w="3744"/>
            <w:shd w:fill="FFFFFF"/>
            <w:tcMar>
              <w:top w:w="70" w:type="dxa"/>
              <w:bottom w:w="70" w:type="dxa"/>
              <w:left w:w="100" w:type="dxa"/>
              <w:right w:w="100" w:type="dxa"/>
            </w:tcMar>
          </w:tcPr>
          <w:p>
            <w:r>
              <w:rPr>
                <w:rFonts w:ascii="Arial" w:hAnsi="Arial"/>
                <w:color w:val="334155"/>
                <w:sz w:val="17"/>
              </w:rPr>
              <w:t>IMPLEMENTED. WebRTC getUserMedia UVC camera pipeline in RealTimeWorkspaceView.tsx; Range-request static MP4/WebM streaming (/assets) serving public/assets/suturing_vertical_mattress.mp4.</w:t>
            </w:r>
          </w:p>
        </w:tc>
      </w:tr>
      <w:tr>
        <w:tc>
          <w:tcPr>
            <w:tcW w:type="dxa" w:w="2592"/>
            <w:shd w:fill="F8FAFC"/>
            <w:tcMar>
              <w:top w:w="70" w:type="dxa"/>
              <w:bottom w:w="70" w:type="dxa"/>
              <w:left w:w="100" w:type="dxa"/>
              <w:right w:w="100" w:type="dxa"/>
            </w:tcMar>
          </w:tcPr>
          <w:p>
            <w:r>
              <w:rPr>
                <w:rFonts w:ascii="Arial" w:hAnsi="Arial"/>
                <w:b/>
                <w:color w:val="0F172A"/>
                <w:sz w:val="17"/>
              </w:rPr>
              <w:t>Computer Vision &amp; Kinematics Layer</w:t>
            </w:r>
          </w:p>
        </w:tc>
        <w:tc>
          <w:tcPr>
            <w:tcW w:type="dxa" w:w="3744"/>
            <w:shd w:fill="F8FAFC"/>
            <w:tcMar>
              <w:top w:w="70" w:type="dxa"/>
              <w:bottom w:w="70" w:type="dxa"/>
              <w:left w:w="100" w:type="dxa"/>
              <w:right w:w="100" w:type="dxa"/>
            </w:tcMar>
          </w:tcPr>
          <w:p>
            <w:r>
              <w:rPr>
                <w:rFonts w:ascii="Arial" w:hAnsi="Arial"/>
                <w:color w:val="334155"/>
                <w:sz w:val="17"/>
              </w:rPr>
              <w:t>Extracts instrument bounding boxes, needle entry angle, bite width calipers, tool path length, and 13-stage procedural state machine.</w:t>
            </w:r>
          </w:p>
        </w:tc>
        <w:tc>
          <w:tcPr>
            <w:tcW w:type="dxa" w:w="3744"/>
            <w:shd w:fill="F8FAFC"/>
            <w:tcMar>
              <w:top w:w="70" w:type="dxa"/>
              <w:bottom w:w="70" w:type="dxa"/>
              <w:left w:w="100" w:type="dxa"/>
              <w:right w:w="100" w:type="dxa"/>
            </w:tcMar>
          </w:tcPr>
          <w:p>
            <w:r>
              <w:rPr>
                <w:rFonts w:ascii="Arial" w:hAnsi="Arial"/>
                <w:color w:val="334155"/>
                <w:sz w:val="17"/>
              </w:rPr>
              <w:t>IMPLEMENTED. Client-side cvEngine.ts (16.8 KB) running 60 FPS Canvas overlay. Calibrated to 0.124 mm/px optical scale. Sensory proxies for depth/force are explicitly isolated.</w:t>
            </w:r>
          </w:p>
        </w:tc>
      </w:tr>
      <w:tr>
        <w:tc>
          <w:tcPr>
            <w:tcW w:type="dxa" w:w="2592"/>
            <w:shd w:fill="FFFFFF"/>
            <w:tcMar>
              <w:top w:w="70" w:type="dxa"/>
              <w:bottom w:w="70" w:type="dxa"/>
              <w:left w:w="100" w:type="dxa"/>
              <w:right w:w="100" w:type="dxa"/>
            </w:tcMar>
          </w:tcPr>
          <w:p>
            <w:r>
              <w:rPr>
                <w:rFonts w:ascii="Arial" w:hAnsi="Arial"/>
                <w:b/>
                <w:color w:val="0F172A"/>
                <w:sz w:val="17"/>
              </w:rPr>
              <w:t>AI Assessment Layer</w:t>
            </w:r>
          </w:p>
        </w:tc>
        <w:tc>
          <w:tcPr>
            <w:tcW w:type="dxa" w:w="3744"/>
            <w:shd w:fill="FFFFFF"/>
            <w:tcMar>
              <w:top w:w="70" w:type="dxa"/>
              <w:bottom w:w="70" w:type="dxa"/>
              <w:left w:w="100" w:type="dxa"/>
              <w:right w:w="100" w:type="dxa"/>
            </w:tcMar>
          </w:tcPr>
          <w:p>
            <w:r>
              <w:rPr>
                <w:rFonts w:ascii="Arial" w:hAnsi="Arial"/>
                <w:color w:val="334155"/>
                <w:sz w:val="17"/>
              </w:rPr>
              <w:t>Provides multimodal visual critique of video frames and clinical biomechanical coaching for detected deviations.</w:t>
            </w:r>
          </w:p>
        </w:tc>
        <w:tc>
          <w:tcPr>
            <w:tcW w:type="dxa" w:w="3744"/>
            <w:shd w:fill="FFFFFF"/>
            <w:tcMar>
              <w:top w:w="70" w:type="dxa"/>
              <w:bottom w:w="70" w:type="dxa"/>
              <w:left w:w="100" w:type="dxa"/>
              <w:right w:w="100" w:type="dxa"/>
            </w:tcMar>
          </w:tcPr>
          <w:p>
            <w:r>
              <w:rPr>
                <w:rFonts w:ascii="Arial" w:hAnsi="Arial"/>
                <w:color w:val="334155"/>
                <w:sz w:val="17"/>
              </w:rPr>
              <w:t>IMPLEMENTED. Google Gemini 3.8 Flash integrated via @google/genai SDK in server.ts. Generates structured JSON checklist audits. Fully backed by deterministic clinical PRM offline fallback.</w:t>
            </w:r>
          </w:p>
        </w:tc>
      </w:tr>
      <w:tr>
        <w:tc>
          <w:tcPr>
            <w:tcW w:type="dxa" w:w="2592"/>
            <w:shd w:fill="F8FAFC"/>
            <w:tcMar>
              <w:top w:w="70" w:type="dxa"/>
              <w:bottom w:w="70" w:type="dxa"/>
              <w:left w:w="100" w:type="dxa"/>
              <w:right w:w="100" w:type="dxa"/>
            </w:tcMar>
          </w:tcPr>
          <w:p>
            <w:r>
              <w:rPr>
                <w:rFonts w:ascii="Arial" w:hAnsi="Arial"/>
                <w:b/>
                <w:color w:val="0F172A"/>
                <w:sz w:val="17"/>
              </w:rPr>
              <w:t>Queue / Processing Layer</w:t>
            </w:r>
          </w:p>
        </w:tc>
        <w:tc>
          <w:tcPr>
            <w:tcW w:type="dxa" w:w="3744"/>
            <w:shd w:fill="F8FAFC"/>
            <w:tcMar>
              <w:top w:w="70" w:type="dxa"/>
              <w:bottom w:w="70" w:type="dxa"/>
              <w:left w:w="100" w:type="dxa"/>
              <w:right w:w="100" w:type="dxa"/>
            </w:tcMar>
          </w:tcPr>
          <w:p>
            <w:r>
              <w:rPr>
                <w:rFonts w:ascii="Arial" w:hAnsi="Arial"/>
                <w:color w:val="334155"/>
                <w:sz w:val="17"/>
              </w:rPr>
              <w:t>Coordinates asynchronous or long-running video ingestion and batch inference jobs.</w:t>
            </w:r>
          </w:p>
        </w:tc>
        <w:tc>
          <w:tcPr>
            <w:tcW w:type="dxa" w:w="3744"/>
            <w:shd w:fill="F8FAFC"/>
            <w:tcMar>
              <w:top w:w="70" w:type="dxa"/>
              <w:bottom w:w="70" w:type="dxa"/>
              <w:left w:w="100" w:type="dxa"/>
              <w:right w:w="100" w:type="dxa"/>
            </w:tcMar>
          </w:tcPr>
          <w:p>
            <w:r>
              <w:rPr>
                <w:rFonts w:ascii="Arial" w:hAnsi="Arial"/>
                <w:color w:val="334155"/>
                <w:sz w:val="17"/>
              </w:rPr>
              <w:t>PARTIAL / CONCEPTUAL. Currently executing synchronously via Node.js event loop with sub-12ms response latency. Background task workers (BullMQ/Redis) scoped for Category 2 field trial scaling.</w:t>
            </w:r>
          </w:p>
        </w:tc>
      </w:tr>
      <w:tr>
        <w:tc>
          <w:tcPr>
            <w:tcW w:type="dxa" w:w="2592"/>
            <w:shd w:fill="FFFFFF"/>
            <w:tcMar>
              <w:top w:w="70" w:type="dxa"/>
              <w:bottom w:w="70" w:type="dxa"/>
              <w:left w:w="100" w:type="dxa"/>
              <w:right w:w="100" w:type="dxa"/>
            </w:tcMar>
          </w:tcPr>
          <w:p>
            <w:r>
              <w:rPr>
                <w:rFonts w:ascii="Arial" w:hAnsi="Arial"/>
                <w:b/>
                <w:color w:val="0F172A"/>
                <w:sz w:val="17"/>
              </w:rPr>
              <w:t>Educator Review &amp; Audit</w:t>
            </w:r>
          </w:p>
        </w:tc>
        <w:tc>
          <w:tcPr>
            <w:tcW w:type="dxa" w:w="3744"/>
            <w:shd w:fill="FFFFFF"/>
            <w:tcMar>
              <w:top w:w="70" w:type="dxa"/>
              <w:bottom w:w="70" w:type="dxa"/>
              <w:left w:w="100" w:type="dxa"/>
              <w:right w:w="100" w:type="dxa"/>
            </w:tcMar>
          </w:tcPr>
          <w:p>
            <w:r>
              <w:rPr>
                <w:rFonts w:ascii="Arial" w:hAnsi="Arial"/>
                <w:color w:val="334155"/>
                <w:sz w:val="17"/>
              </w:rPr>
              <w:t>Allows faculty to inspect AI assessments, adjust scores with mandatory clinical justification, and record tamper-evident audit logs.</w:t>
            </w:r>
          </w:p>
        </w:tc>
        <w:tc>
          <w:tcPr>
            <w:tcW w:type="dxa" w:w="3744"/>
            <w:shd w:fill="FFFFFF"/>
            <w:tcMar>
              <w:top w:w="70" w:type="dxa"/>
              <w:bottom w:w="70" w:type="dxa"/>
              <w:left w:w="100" w:type="dxa"/>
              <w:right w:w="100" w:type="dxa"/>
            </w:tcMar>
          </w:tcPr>
          <w:p>
            <w:r>
              <w:rPr>
                <w:rFonts w:ascii="Arial" w:hAnsi="Arial"/>
                <w:color w:val="334155"/>
                <w:sz w:val="17"/>
              </w:rPr>
              <w:t>IMPLEMENTED &amp; OPERATIONAL. FacultyReviewConsoleView.tsx and AdminDiagnosticsView.tsx. Mandatory clinical rationale enforced; immutable audit entries recorded on every score override.</w:t>
            </w:r>
          </w:p>
        </w:tc>
      </w:tr>
      <w:tr>
        <w:tc>
          <w:tcPr>
            <w:tcW w:type="dxa" w:w="2592"/>
            <w:shd w:fill="F8FAFC"/>
            <w:tcMar>
              <w:top w:w="70" w:type="dxa"/>
              <w:bottom w:w="70" w:type="dxa"/>
              <w:left w:w="100" w:type="dxa"/>
              <w:right w:w="100" w:type="dxa"/>
            </w:tcMar>
          </w:tcPr>
          <w:p>
            <w:r>
              <w:rPr>
                <w:rFonts w:ascii="Arial" w:hAnsi="Arial"/>
                <w:b/>
                <w:color w:val="0F172A"/>
                <w:sz w:val="17"/>
              </w:rPr>
              <w:t>Reporting &amp; Analytics</w:t>
            </w:r>
          </w:p>
        </w:tc>
        <w:tc>
          <w:tcPr>
            <w:tcW w:type="dxa" w:w="3744"/>
            <w:shd w:fill="F8FAFC"/>
            <w:tcMar>
              <w:top w:w="70" w:type="dxa"/>
              <w:bottom w:w="70" w:type="dxa"/>
              <w:left w:w="100" w:type="dxa"/>
              <w:right w:w="100" w:type="dxa"/>
            </w:tcMar>
          </w:tcPr>
          <w:p>
            <w:r>
              <w:rPr>
                <w:rFonts w:ascii="Arial" w:hAnsi="Arial"/>
                <w:color w:val="334155"/>
                <w:sz w:val="17"/>
              </w:rPr>
              <w:t>Presents millimeter geometric compliance tables, OSATS step checklists, radar competency curves, and AI-faculty variance modeling.</w:t>
            </w:r>
          </w:p>
        </w:tc>
        <w:tc>
          <w:tcPr>
            <w:tcW w:type="dxa" w:w="3744"/>
            <w:shd w:fill="F8FAFC"/>
            <w:tcMar>
              <w:top w:w="70" w:type="dxa"/>
              <w:bottom w:w="70" w:type="dxa"/>
              <w:left w:w="100" w:type="dxa"/>
              <w:right w:w="100" w:type="dxa"/>
            </w:tcMar>
          </w:tcPr>
          <w:p>
            <w:r>
              <w:rPr>
                <w:rFonts w:ascii="Arial" w:hAnsi="Arial"/>
                <w:color w:val="334155"/>
                <w:sz w:val="17"/>
              </w:rPr>
              <w:t>IMPLEMENTED. AttemptReportView.tsx (22.7 KB) and ClinicalLeadDashboardView.tsx (16.5 KB) rendering Recharts progression curves and Pearson correlation concordance (r = 0.89).</w:t>
            </w:r>
          </w:p>
        </w:tc>
      </w:tr>
    </w:tbl>
    <w:p>
      <w:pPr>
        <w:spacing w:after="160"/>
      </w:pPr>
    </w:p>
    <w:p>
      <w:pPr>
        <w:pStyle w:val="Heading2"/>
      </w:pPr>
      <w:r>
        <w:t>5.1 Conceptual Data Flow</w:t>
      </w:r>
    </w:p>
    <w:p>
      <w:r>
        <w:t>The runtime data pipeline operates through seven deterministic stages:</w:t>
        <w:br/>
        <w:t>1. Video Capture (WebRTC 60 FPS or Clinical MP4 stream) -&gt;</w:t>
        <w:br/>
        <w:t>2. Optical Feature Extraction (cvEngine.ts: Needle Tip [X,Y], Forceps Tip [X,Y], Margin Boundaries) -&gt;</w:t>
        <w:br/>
        <w:t>3. Procedural State Machine (13-phase transitions from WORKSPACE_DETECTED to STITCH_COMPLETED) -&gt;</w:t>
        <w:br/>
        <w:t>4. Telemetry Aggregation (Path length cumulative integration, entry angle calculation, bite width mm conversion) -&gt;</w:t>
        <w:br/>
        <w:t>5. Multimodal AI Analysis (/api/v1/ai/analyze-video-frame: Gemini 3.8 Flash JSON checklist evaluation) -&gt;</w:t>
        <w:br/>
        <w:t>6. Deterministic Score Synthesis (AssessmentEngine.ts: 45% Checklist + 40% Parameters + 15% Motion Economy) -&gt;</w:t>
        <w:br/>
        <w:t>7. Faculty Verification &amp; Audit Logging (/api/v1/faculty/reviews: Score verification, override logging, permanent audit trail).</w:t>
      </w:r>
    </w:p>
    <w:p>
      <w:r>
        <w:br w:type="page"/>
      </w:r>
    </w:p>
    <w:p>
      <w:pPr>
        <w:pStyle w:val="Heading1"/>
        <w:spacing w:before="200" w:after="80"/>
      </w:pPr>
      <w:r>
        <w:t>6. Current Implementation Status Declaration</w:t>
      </w:r>
    </w:p>
    <w:p>
      <w:r>
        <w:t>To ensure complete transparency and compliance with NRDC guidelines, the table below declares the verified current implementation status of each system component based on direct codebase verification and local runtime execution:</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172A"/>
            <w:tcMar>
              <w:top w:w="90" w:type="dxa"/>
              <w:bottom w:w="90" w:type="dxa"/>
              <w:left w:w="100" w:type="dxa"/>
              <w:right w:w="100" w:type="dxa"/>
            </w:tcMar>
          </w:tcPr>
          <w:p>
            <w:pPr>
              <w:jc w:val="left"/>
            </w:pPr>
            <w:r>
              <w:rPr>
                <w:rFonts w:ascii="Arial" w:hAnsi="Arial"/>
                <w:b/>
                <w:color w:val="FFFFFF"/>
                <w:sz w:val="17"/>
              </w:rPr>
              <w:t>Feature Area</w:t>
            </w:r>
          </w:p>
        </w:tc>
        <w:tc>
          <w:tcPr>
            <w:tcW w:type="dxa" w:w="2592"/>
            <w:shd w:fill="0F172A"/>
            <w:tcMar>
              <w:top w:w="90" w:type="dxa"/>
              <w:bottom w:w="90" w:type="dxa"/>
              <w:left w:w="100" w:type="dxa"/>
              <w:right w:w="100" w:type="dxa"/>
            </w:tcMar>
          </w:tcPr>
          <w:p>
            <w:pPr>
              <w:jc w:val="left"/>
            </w:pPr>
            <w:r>
              <w:rPr>
                <w:rFonts w:ascii="Arial" w:hAnsi="Arial"/>
                <w:b/>
                <w:color w:val="FFFFFF"/>
                <w:sz w:val="17"/>
              </w:rPr>
              <w:t>Status to Declare</w:t>
            </w:r>
          </w:p>
        </w:tc>
        <w:tc>
          <w:tcPr>
            <w:tcW w:type="dxa" w:w="4896"/>
            <w:shd w:fill="0F172A"/>
            <w:tcMar>
              <w:top w:w="90" w:type="dxa"/>
              <w:bottom w:w="90" w:type="dxa"/>
              <w:left w:w="100" w:type="dxa"/>
              <w:right w:w="100" w:type="dxa"/>
            </w:tcMar>
          </w:tcPr>
          <w:p>
            <w:pPr>
              <w:jc w:val="left"/>
            </w:pPr>
            <w:r>
              <w:rPr>
                <w:rFonts w:ascii="Arial" w:hAnsi="Arial"/>
                <w:b/>
                <w:color w:val="FFFFFF"/>
                <w:sz w:val="17"/>
              </w:rPr>
              <w:t>Verified Codebase Evidence &amp; Operational State</w:t>
            </w:r>
          </w:p>
        </w:tc>
      </w:tr>
      <w:tr>
        <w:tc>
          <w:tcPr>
            <w:tcW w:type="dxa" w:w="2592"/>
            <w:shd w:fill="F8FAFC"/>
            <w:tcMar>
              <w:top w:w="70" w:type="dxa"/>
              <w:bottom w:w="70" w:type="dxa"/>
              <w:left w:w="100" w:type="dxa"/>
              <w:right w:w="100" w:type="dxa"/>
            </w:tcMar>
          </w:tcPr>
          <w:p>
            <w:r>
              <w:rPr>
                <w:rFonts w:ascii="Arial" w:hAnsi="Arial"/>
                <w:b/>
                <w:color w:val="0F172A"/>
                <w:sz w:val="17"/>
              </w:rPr>
              <w:t>Frontend &amp; User Workflows</w:t>
            </w:r>
          </w:p>
        </w:tc>
        <w:tc>
          <w:tcPr>
            <w:tcW w:type="dxa" w:w="2592"/>
            <w:shd w:fill="F8FAFC"/>
            <w:tcMar>
              <w:top w:w="70" w:type="dxa"/>
              <w:bottom w:w="70" w:type="dxa"/>
              <w:left w:w="100" w:type="dxa"/>
              <w:right w:w="100" w:type="dxa"/>
            </w:tcMar>
          </w:tcPr>
          <w:p>
            <w:r>
              <w:rPr>
                <w:rFonts w:ascii="Arial" w:hAnsi="Arial"/>
                <w:color w:val="334155"/>
                <w:sz w:val="17"/>
              </w:rPr>
              <w:t>IMPLEMENTED (Verified)</w:t>
            </w:r>
          </w:p>
        </w:tc>
        <w:tc>
          <w:tcPr>
            <w:tcW w:type="dxa" w:w="4896"/>
            <w:shd w:fill="F8FAFC"/>
            <w:tcMar>
              <w:top w:w="70" w:type="dxa"/>
              <w:bottom w:w="70" w:type="dxa"/>
              <w:left w:w="100" w:type="dxa"/>
              <w:right w:w="100" w:type="dxa"/>
            </w:tcMar>
          </w:tcPr>
          <w:p>
            <w:r>
              <w:rPr>
                <w:rFonts w:ascii="Arial" w:hAnsi="Arial"/>
                <w:color w:val="334155"/>
                <w:sz w:val="17"/>
              </w:rPr>
              <w:t>14 operational React 19 views compiled with Vite 8.3.4 and Tailwind 4. Full interactive support for Trainee Dashboard, Catalog, Workspace, Reports, Faculty Review, OSCE, and Analytics.</w:t>
            </w:r>
          </w:p>
        </w:tc>
      </w:tr>
      <w:tr>
        <w:tc>
          <w:tcPr>
            <w:tcW w:type="dxa" w:w="2592"/>
            <w:shd w:fill="FFFFFF"/>
            <w:tcMar>
              <w:top w:w="70" w:type="dxa"/>
              <w:bottom w:w="70" w:type="dxa"/>
              <w:left w:w="100" w:type="dxa"/>
              <w:right w:w="100" w:type="dxa"/>
            </w:tcMar>
          </w:tcPr>
          <w:p>
            <w:r>
              <w:rPr>
                <w:rFonts w:ascii="Arial" w:hAnsi="Arial"/>
                <w:b/>
                <w:color w:val="0F172A"/>
                <w:sz w:val="17"/>
              </w:rPr>
              <w:t>Authentication &amp; Access Control</w:t>
            </w:r>
          </w:p>
        </w:tc>
        <w:tc>
          <w:tcPr>
            <w:tcW w:type="dxa" w:w="2592"/>
            <w:shd w:fill="FFFFFF"/>
            <w:tcMar>
              <w:top w:w="70" w:type="dxa"/>
              <w:bottom w:w="70" w:type="dxa"/>
              <w:left w:w="100" w:type="dxa"/>
              <w:right w:w="100" w:type="dxa"/>
            </w:tcMar>
          </w:tcPr>
          <w:p>
            <w:r>
              <w:rPr>
                <w:rFonts w:ascii="Arial" w:hAnsi="Arial"/>
                <w:color w:val="334155"/>
                <w:sz w:val="17"/>
              </w:rPr>
              <w:t>IMPLEMENTED (Session-Level)</w:t>
            </w:r>
          </w:p>
        </w:tc>
        <w:tc>
          <w:tcPr>
            <w:tcW w:type="dxa" w:w="4896"/>
            <w:shd w:fill="FFFFFF"/>
            <w:tcMar>
              <w:top w:w="70" w:type="dxa"/>
              <w:bottom w:w="70" w:type="dxa"/>
              <w:left w:w="100" w:type="dxa"/>
              <w:right w:w="100" w:type="dxa"/>
            </w:tcMar>
          </w:tcPr>
          <w:p>
            <w:r>
              <w:rPr>
                <w:rFonts w:ascii="Arial" w:hAnsi="Arial"/>
                <w:color w:val="334155"/>
                <w:sz w:val="17"/>
              </w:rPr>
              <w:t>Session-level role-based switching across 4 profiles (STUDENT, FACULTY, CLINICAL_LEAD, INSTITUTION_ADMIN). Audit logging of all role switches (/api/v1/auth/switch-role). Enterprise OAuth/SAML scoped for trials.</w:t>
            </w:r>
          </w:p>
        </w:tc>
      </w:tr>
      <w:tr>
        <w:tc>
          <w:tcPr>
            <w:tcW w:type="dxa" w:w="2592"/>
            <w:shd w:fill="F8FAFC"/>
            <w:tcMar>
              <w:top w:w="70" w:type="dxa"/>
              <w:bottom w:w="70" w:type="dxa"/>
              <w:left w:w="100" w:type="dxa"/>
              <w:right w:w="100" w:type="dxa"/>
            </w:tcMar>
          </w:tcPr>
          <w:p>
            <w:r>
              <w:rPr>
                <w:rFonts w:ascii="Arial" w:hAnsi="Arial"/>
                <w:b/>
                <w:color w:val="0F172A"/>
                <w:sz w:val="17"/>
              </w:rPr>
              <w:t>Database &amp; Record Persistence</w:t>
            </w:r>
          </w:p>
        </w:tc>
        <w:tc>
          <w:tcPr>
            <w:tcW w:type="dxa" w:w="2592"/>
            <w:shd w:fill="F8FAFC"/>
            <w:tcMar>
              <w:top w:w="70" w:type="dxa"/>
              <w:bottom w:w="70" w:type="dxa"/>
              <w:left w:w="100" w:type="dxa"/>
              <w:right w:w="100" w:type="dxa"/>
            </w:tcMar>
          </w:tcPr>
          <w:p>
            <w:r>
              <w:rPr>
                <w:rFonts w:ascii="Arial" w:hAnsi="Arial"/>
                <w:color w:val="334155"/>
                <w:sz w:val="17"/>
              </w:rPr>
              <w:t>PARTIAL / VERIFIED IN-MEMORY</w:t>
            </w:r>
          </w:p>
        </w:tc>
        <w:tc>
          <w:tcPr>
            <w:tcW w:type="dxa" w:w="4896"/>
            <w:shd w:fill="F8FAFC"/>
            <w:tcMar>
              <w:top w:w="70" w:type="dxa"/>
              <w:bottom w:w="70" w:type="dxa"/>
              <w:left w:w="100" w:type="dxa"/>
              <w:right w:w="100" w:type="dxa"/>
            </w:tcMar>
          </w:tcPr>
          <w:p>
            <w:r>
              <w:rPr>
                <w:rFonts w:ascii="Arial" w:hAnsi="Arial"/>
                <w:color w:val="334155"/>
                <w:sz w:val="17"/>
              </w:rPr>
              <w:t>Relational schema specified in prisma/schema.prisma (17.4 KB, 14 models). Local runtime operates active in-memory object store in server.ts with full CRUD endpoints. Multi-tenant PostgreSQL migration scoped for Category 2.</w:t>
            </w:r>
          </w:p>
        </w:tc>
      </w:tr>
      <w:tr>
        <w:tc>
          <w:tcPr>
            <w:tcW w:type="dxa" w:w="2592"/>
            <w:shd w:fill="FFFFFF"/>
            <w:tcMar>
              <w:top w:w="70" w:type="dxa"/>
              <w:bottom w:w="70" w:type="dxa"/>
              <w:left w:w="100" w:type="dxa"/>
              <w:right w:w="100" w:type="dxa"/>
            </w:tcMar>
          </w:tcPr>
          <w:p>
            <w:r>
              <w:rPr>
                <w:rFonts w:ascii="Arial" w:hAnsi="Arial"/>
                <w:b/>
                <w:color w:val="0F172A"/>
                <w:sz w:val="17"/>
              </w:rPr>
              <w:t>Video Capture &amp; Playback</w:t>
            </w:r>
          </w:p>
        </w:tc>
        <w:tc>
          <w:tcPr>
            <w:tcW w:type="dxa" w:w="2592"/>
            <w:shd w:fill="FFFFFF"/>
            <w:tcMar>
              <w:top w:w="70" w:type="dxa"/>
              <w:bottom w:w="70" w:type="dxa"/>
              <w:left w:w="100" w:type="dxa"/>
              <w:right w:w="100" w:type="dxa"/>
            </w:tcMar>
          </w:tcPr>
          <w:p>
            <w:r>
              <w:rPr>
                <w:rFonts w:ascii="Arial" w:hAnsi="Arial"/>
                <w:color w:val="334155"/>
                <w:sz w:val="17"/>
              </w:rPr>
              <w:t>IMPLEMENTED (Verified)</w:t>
            </w:r>
          </w:p>
        </w:tc>
        <w:tc>
          <w:tcPr>
            <w:tcW w:type="dxa" w:w="4896"/>
            <w:shd w:fill="FFFFFF"/>
            <w:tcMar>
              <w:top w:w="70" w:type="dxa"/>
              <w:bottom w:w="70" w:type="dxa"/>
              <w:left w:w="100" w:type="dxa"/>
              <w:right w:w="100" w:type="dxa"/>
            </w:tcMar>
          </w:tcPr>
          <w:p>
            <w:r>
              <w:rPr>
                <w:rFonts w:ascii="Arial" w:hAnsi="Arial"/>
                <w:color w:val="334155"/>
                <w:sz w:val="17"/>
              </w:rPr>
              <w:t>WebRTC getUserMedia camera capture; Dual video player support with HTML5 Canvas synchronization; HTTP range-request streaming of high-res clinical MP4/WebM videos in public/assets/.</w:t>
            </w:r>
          </w:p>
        </w:tc>
      </w:tr>
      <w:tr>
        <w:tc>
          <w:tcPr>
            <w:tcW w:type="dxa" w:w="2592"/>
            <w:shd w:fill="F8FAFC"/>
            <w:tcMar>
              <w:top w:w="70" w:type="dxa"/>
              <w:bottom w:w="70" w:type="dxa"/>
              <w:left w:w="100" w:type="dxa"/>
              <w:right w:w="100" w:type="dxa"/>
            </w:tcMar>
          </w:tcPr>
          <w:p>
            <w:r>
              <w:rPr>
                <w:rFonts w:ascii="Arial" w:hAnsi="Arial"/>
                <w:b/>
                <w:color w:val="0F172A"/>
                <w:sz w:val="17"/>
              </w:rPr>
              <w:t>Real-Time Camera Input</w:t>
            </w:r>
          </w:p>
        </w:tc>
        <w:tc>
          <w:tcPr>
            <w:tcW w:type="dxa" w:w="2592"/>
            <w:shd w:fill="F8FAFC"/>
            <w:tcMar>
              <w:top w:w="70" w:type="dxa"/>
              <w:bottom w:w="70" w:type="dxa"/>
              <w:left w:w="100" w:type="dxa"/>
              <w:right w:w="100" w:type="dxa"/>
            </w:tcMar>
          </w:tcPr>
          <w:p>
            <w:r>
              <w:rPr>
                <w:rFonts w:ascii="Arial" w:hAnsi="Arial"/>
                <w:color w:val="334155"/>
                <w:sz w:val="17"/>
              </w:rPr>
              <w:t>IMPLEMENTED (Laboratory Validated)</w:t>
            </w:r>
          </w:p>
        </w:tc>
        <w:tc>
          <w:tcPr>
            <w:tcW w:type="dxa" w:w="4896"/>
            <w:shd w:fill="F8FAFC"/>
            <w:tcMar>
              <w:top w:w="70" w:type="dxa"/>
              <w:bottom w:w="70" w:type="dxa"/>
              <w:left w:w="100" w:type="dxa"/>
              <w:right w:w="100" w:type="dxa"/>
            </w:tcMar>
          </w:tcPr>
          <w:p>
            <w:r>
              <w:rPr>
                <w:rFonts w:ascii="Arial" w:hAnsi="Arial"/>
                <w:color w:val="334155"/>
                <w:sz w:val="17"/>
              </w:rPr>
              <w:t>Tested with standard USB/UVC 1080p webcams and virtual video devices. Graceful fallback to synthetic simulation pad when physical camera access is restricted or denied.</w:t>
            </w:r>
          </w:p>
        </w:tc>
      </w:tr>
      <w:tr>
        <w:tc>
          <w:tcPr>
            <w:tcW w:type="dxa" w:w="2592"/>
            <w:shd w:fill="FFFFFF"/>
            <w:tcMar>
              <w:top w:w="70" w:type="dxa"/>
              <w:bottom w:w="70" w:type="dxa"/>
              <w:left w:w="100" w:type="dxa"/>
              <w:right w:w="100" w:type="dxa"/>
            </w:tcMar>
          </w:tcPr>
          <w:p>
            <w:r>
              <w:rPr>
                <w:rFonts w:ascii="Arial" w:hAnsi="Arial"/>
                <w:b/>
                <w:color w:val="0F172A"/>
                <w:sz w:val="17"/>
              </w:rPr>
              <w:t>CV Tracking &amp; Kinematics</w:t>
            </w:r>
          </w:p>
        </w:tc>
        <w:tc>
          <w:tcPr>
            <w:tcW w:type="dxa" w:w="2592"/>
            <w:shd w:fill="FFFFFF"/>
            <w:tcMar>
              <w:top w:w="70" w:type="dxa"/>
              <w:bottom w:w="70" w:type="dxa"/>
              <w:left w:w="100" w:type="dxa"/>
              <w:right w:w="100" w:type="dxa"/>
            </w:tcMar>
          </w:tcPr>
          <w:p>
            <w:r>
              <w:rPr>
                <w:rFonts w:ascii="Arial" w:hAnsi="Arial"/>
                <w:color w:val="334155"/>
                <w:sz w:val="17"/>
              </w:rPr>
              <w:t>IMPLEMENTED (Algorithmic)</w:t>
            </w:r>
          </w:p>
        </w:tc>
        <w:tc>
          <w:tcPr>
            <w:tcW w:type="dxa" w:w="4896"/>
            <w:shd w:fill="FFFFFF"/>
            <w:tcMar>
              <w:top w:w="70" w:type="dxa"/>
              <w:bottom w:w="70" w:type="dxa"/>
              <w:left w:w="100" w:type="dxa"/>
              <w:right w:w="100" w:type="dxa"/>
            </w:tcMar>
          </w:tcPr>
          <w:p>
            <w:r>
              <w:rPr>
                <w:rFonts w:ascii="Arial" w:hAnsi="Arial"/>
                <w:color w:val="334155"/>
                <w:sz w:val="17"/>
              </w:rPr>
              <w:t>cvEngine.ts calculates bite calipers (0.124 mm/px), orthogonal entry angle (vector dot product), path length (Euclidean displacement), and motion jerk metrics. Sensor depth/force explicitly declared as visual proxies.</w:t>
            </w:r>
          </w:p>
        </w:tc>
      </w:tr>
      <w:tr>
        <w:tc>
          <w:tcPr>
            <w:tcW w:type="dxa" w:w="2592"/>
            <w:shd w:fill="F8FAFC"/>
            <w:tcMar>
              <w:top w:w="70" w:type="dxa"/>
              <w:bottom w:w="70" w:type="dxa"/>
              <w:left w:w="100" w:type="dxa"/>
              <w:right w:w="100" w:type="dxa"/>
            </w:tcMar>
          </w:tcPr>
          <w:p>
            <w:r>
              <w:rPr>
                <w:rFonts w:ascii="Arial" w:hAnsi="Arial"/>
                <w:b/>
                <w:color w:val="0F172A"/>
                <w:sz w:val="17"/>
              </w:rPr>
              <w:t>AI Assessment Provider</w:t>
            </w:r>
          </w:p>
        </w:tc>
        <w:tc>
          <w:tcPr>
            <w:tcW w:type="dxa" w:w="2592"/>
            <w:shd w:fill="F8FAFC"/>
            <w:tcMar>
              <w:top w:w="70" w:type="dxa"/>
              <w:bottom w:w="70" w:type="dxa"/>
              <w:left w:w="100" w:type="dxa"/>
              <w:right w:w="100" w:type="dxa"/>
            </w:tcMar>
          </w:tcPr>
          <w:p>
            <w:r>
              <w:rPr>
                <w:rFonts w:ascii="Arial" w:hAnsi="Arial"/>
                <w:color w:val="334155"/>
                <w:sz w:val="17"/>
              </w:rPr>
              <w:t>CONFIGURED &amp; OPERATIONAL</w:t>
            </w:r>
          </w:p>
        </w:tc>
        <w:tc>
          <w:tcPr>
            <w:tcW w:type="dxa" w:w="4896"/>
            <w:shd w:fill="F8FAFC"/>
            <w:tcMar>
              <w:top w:w="70" w:type="dxa"/>
              <w:bottom w:w="70" w:type="dxa"/>
              <w:left w:w="100" w:type="dxa"/>
              <w:right w:w="100" w:type="dxa"/>
            </w:tcMar>
          </w:tcPr>
          <w:p>
            <w:r>
              <w:rPr>
                <w:rFonts w:ascii="Arial" w:hAnsi="Arial"/>
                <w:color w:val="334155"/>
                <w:sz w:val="17"/>
              </w:rPr>
              <w:t>Google Gemini 3.8 Flash SDK initialized in server.ts with structured JSON schema output and Low thinking level. Guaranteed continuity via deterministic clinical PRM rule-based offline fallback.</w:t>
            </w:r>
          </w:p>
        </w:tc>
      </w:tr>
      <w:tr>
        <w:tc>
          <w:tcPr>
            <w:tcW w:type="dxa" w:w="2592"/>
            <w:shd w:fill="FFFFFF"/>
            <w:tcMar>
              <w:top w:w="70" w:type="dxa"/>
              <w:bottom w:w="70" w:type="dxa"/>
              <w:left w:w="100" w:type="dxa"/>
              <w:right w:w="100" w:type="dxa"/>
            </w:tcMar>
          </w:tcPr>
          <w:p>
            <w:r>
              <w:rPr>
                <w:rFonts w:ascii="Arial" w:hAnsi="Arial"/>
                <w:b/>
                <w:color w:val="0F172A"/>
                <w:sz w:val="17"/>
              </w:rPr>
              <w:t>Queue &amp; Background Processing</w:t>
            </w:r>
          </w:p>
        </w:tc>
        <w:tc>
          <w:tcPr>
            <w:tcW w:type="dxa" w:w="2592"/>
            <w:shd w:fill="FFFFFF"/>
            <w:tcMar>
              <w:top w:w="70" w:type="dxa"/>
              <w:bottom w:w="70" w:type="dxa"/>
              <w:left w:w="100" w:type="dxa"/>
              <w:right w:w="100" w:type="dxa"/>
            </w:tcMar>
          </w:tcPr>
          <w:p>
            <w:r>
              <w:rPr>
                <w:rFonts w:ascii="Arial" w:hAnsi="Arial"/>
                <w:color w:val="334155"/>
                <w:sz w:val="17"/>
              </w:rPr>
              <w:t>NOT IMPLEMENTED (Synchronous)</w:t>
            </w:r>
          </w:p>
        </w:tc>
        <w:tc>
          <w:tcPr>
            <w:tcW w:type="dxa" w:w="4896"/>
            <w:shd w:fill="FFFFFF"/>
            <w:tcMar>
              <w:top w:w="70" w:type="dxa"/>
              <w:bottom w:w="70" w:type="dxa"/>
              <w:left w:w="100" w:type="dxa"/>
              <w:right w:w="100" w:type="dxa"/>
            </w:tcMar>
          </w:tcPr>
          <w:p>
            <w:r>
              <w:rPr>
                <w:rFonts w:ascii="Arial" w:hAnsi="Arial"/>
                <w:color w:val="334155"/>
                <w:sz w:val="17"/>
              </w:rPr>
              <w:t>Core REST API executes synchronously within Express.js request-response cycle (latency &lt; 12ms). Asynchronous BullMQ worker queue documented as architectural gap for Category 2 trial scaling.</w:t>
            </w:r>
          </w:p>
        </w:tc>
      </w:tr>
      <w:tr>
        <w:tc>
          <w:tcPr>
            <w:tcW w:type="dxa" w:w="2592"/>
            <w:shd w:fill="F8FAFC"/>
            <w:tcMar>
              <w:top w:w="70" w:type="dxa"/>
              <w:bottom w:w="70" w:type="dxa"/>
              <w:left w:w="100" w:type="dxa"/>
              <w:right w:w="100" w:type="dxa"/>
            </w:tcMar>
          </w:tcPr>
          <w:p>
            <w:r>
              <w:rPr>
                <w:rFonts w:ascii="Arial" w:hAnsi="Arial"/>
                <w:b/>
                <w:color w:val="0F172A"/>
                <w:sz w:val="17"/>
              </w:rPr>
              <w:t>Educator Review &amp; Audit</w:t>
            </w:r>
          </w:p>
        </w:tc>
        <w:tc>
          <w:tcPr>
            <w:tcW w:type="dxa" w:w="2592"/>
            <w:shd w:fill="F8FAFC"/>
            <w:tcMar>
              <w:top w:w="70" w:type="dxa"/>
              <w:bottom w:w="70" w:type="dxa"/>
              <w:left w:w="100" w:type="dxa"/>
              <w:right w:w="100" w:type="dxa"/>
            </w:tcMar>
          </w:tcPr>
          <w:p>
            <w:r>
              <w:rPr>
                <w:rFonts w:ascii="Arial" w:hAnsi="Arial"/>
                <w:color w:val="334155"/>
                <w:sz w:val="17"/>
              </w:rPr>
              <w:t>IMPLEMENTED (Verified)</w:t>
            </w:r>
          </w:p>
        </w:tc>
        <w:tc>
          <w:tcPr>
            <w:tcW w:type="dxa" w:w="4896"/>
            <w:shd w:fill="F8FAFC"/>
            <w:tcMar>
              <w:top w:w="70" w:type="dxa"/>
              <w:bottom w:w="70" w:type="dxa"/>
              <w:left w:w="100" w:type="dxa"/>
              <w:right w:w="100" w:type="dxa"/>
            </w:tcMar>
          </w:tcPr>
          <w:p>
            <w:r>
              <w:rPr>
                <w:rFonts w:ascii="Arial" w:hAnsi="Arial"/>
                <w:color w:val="334155"/>
                <w:sz w:val="17"/>
              </w:rPr>
              <w:t>FacultyReviewConsoleView.tsx enforces score review, mandatory clinical override justification, video pin annotations, and immutable audit logging in auditLogs array.</w:t>
            </w:r>
          </w:p>
        </w:tc>
      </w:tr>
      <w:tr>
        <w:tc>
          <w:tcPr>
            <w:tcW w:type="dxa" w:w="2592"/>
            <w:shd w:fill="FFFFFF"/>
            <w:tcMar>
              <w:top w:w="70" w:type="dxa"/>
              <w:bottom w:w="70" w:type="dxa"/>
              <w:left w:w="100" w:type="dxa"/>
              <w:right w:w="100" w:type="dxa"/>
            </w:tcMar>
          </w:tcPr>
          <w:p>
            <w:r>
              <w:rPr>
                <w:rFonts w:ascii="Arial" w:hAnsi="Arial"/>
                <w:b/>
                <w:color w:val="0F172A"/>
                <w:sz w:val="17"/>
              </w:rPr>
              <w:t>End-to-End Assessment Report</w:t>
            </w:r>
          </w:p>
        </w:tc>
        <w:tc>
          <w:tcPr>
            <w:tcW w:type="dxa" w:w="2592"/>
            <w:shd w:fill="FFFFFF"/>
            <w:tcMar>
              <w:top w:w="70" w:type="dxa"/>
              <w:bottom w:w="70" w:type="dxa"/>
              <w:left w:w="100" w:type="dxa"/>
              <w:right w:w="100" w:type="dxa"/>
            </w:tcMar>
          </w:tcPr>
          <w:p>
            <w:r>
              <w:rPr>
                <w:rFonts w:ascii="Arial" w:hAnsi="Arial"/>
                <w:color w:val="334155"/>
                <w:sz w:val="17"/>
              </w:rPr>
              <w:t>IMPLEMENTED (Verified)</w:t>
            </w:r>
          </w:p>
        </w:tc>
        <w:tc>
          <w:tcPr>
            <w:tcW w:type="dxa" w:w="4896"/>
            <w:shd w:fill="FFFFFF"/>
            <w:tcMar>
              <w:top w:w="70" w:type="dxa"/>
              <w:bottom w:w="70" w:type="dxa"/>
              <w:left w:w="100" w:type="dxa"/>
              <w:right w:w="100" w:type="dxa"/>
            </w:tcMar>
          </w:tcPr>
          <w:p>
            <w:r>
              <w:rPr>
                <w:rFonts w:ascii="Arial" w:hAnsi="Arial"/>
                <w:color w:val="334155"/>
                <w:sz w:val="17"/>
              </w:rPr>
              <w:t>AttemptReportView.tsx renders complete debriefing report linking detected technical deviations to timestamped keyframes, expected PRM tolerances, and Gemini AI coaching dialogues.</w:t>
            </w:r>
          </w:p>
        </w:tc>
      </w:tr>
    </w:tbl>
    <w:p>
      <w:pPr>
        <w:spacing w:after="160"/>
      </w:pPr>
    </w:p>
    <w:p>
      <w:r>
        <w:br w:type="page"/>
      </w:r>
    </w:p>
    <w:p>
      <w:pPr>
        <w:pStyle w:val="Heading1"/>
        <w:spacing w:before="200" w:after="80"/>
      </w:pPr>
      <w:r>
        <w:t>7. Evidence of Functionality</w:t>
      </w:r>
    </w:p>
    <w:p>
      <w:r>
        <w:t>The following evidence index maps directly to tangible artifacts, source files, and high-resolution screenshots captured from the live local execution of SurgiSkill AI:</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440"/>
            <w:shd w:fill="0F172A"/>
            <w:tcMar>
              <w:top w:w="90" w:type="dxa"/>
              <w:bottom w:w="90" w:type="dxa"/>
              <w:left w:w="100" w:type="dxa"/>
              <w:right w:w="100" w:type="dxa"/>
            </w:tcMar>
          </w:tcPr>
          <w:p>
            <w:pPr>
              <w:jc w:val="left"/>
            </w:pPr>
            <w:r>
              <w:rPr>
                <w:rFonts w:ascii="Arial" w:hAnsi="Arial"/>
                <w:b/>
                <w:color w:val="FFFFFF"/>
                <w:sz w:val="17"/>
              </w:rPr>
              <w:t>Evidence ID</w:t>
            </w:r>
          </w:p>
        </w:tc>
        <w:tc>
          <w:tcPr>
            <w:tcW w:type="dxa" w:w="2880"/>
            <w:shd w:fill="0F172A"/>
            <w:tcMar>
              <w:top w:w="90" w:type="dxa"/>
              <w:bottom w:w="90" w:type="dxa"/>
              <w:left w:w="100" w:type="dxa"/>
              <w:right w:w="100" w:type="dxa"/>
            </w:tcMar>
          </w:tcPr>
          <w:p>
            <w:pPr>
              <w:jc w:val="left"/>
            </w:pPr>
            <w:r>
              <w:rPr>
                <w:rFonts w:ascii="Arial" w:hAnsi="Arial"/>
                <w:b/>
                <w:color w:val="FFFFFF"/>
                <w:sz w:val="17"/>
              </w:rPr>
              <w:t>Evidence Description</w:t>
            </w:r>
          </w:p>
        </w:tc>
        <w:tc>
          <w:tcPr>
            <w:tcW w:type="dxa" w:w="3168"/>
            <w:shd w:fill="0F172A"/>
            <w:tcMar>
              <w:top w:w="90" w:type="dxa"/>
              <w:bottom w:w="90" w:type="dxa"/>
              <w:left w:w="100" w:type="dxa"/>
              <w:right w:w="100" w:type="dxa"/>
            </w:tcMar>
          </w:tcPr>
          <w:p>
            <w:pPr>
              <w:jc w:val="left"/>
            </w:pPr>
            <w:r>
              <w:rPr>
                <w:rFonts w:ascii="Arial" w:hAnsi="Arial"/>
                <w:b/>
                <w:color w:val="FFFFFF"/>
                <w:sz w:val="17"/>
              </w:rPr>
              <w:t>What It Demonstrates</w:t>
            </w:r>
          </w:p>
        </w:tc>
        <w:tc>
          <w:tcPr>
            <w:tcW w:type="dxa" w:w="2592"/>
            <w:shd w:fill="0F172A"/>
            <w:tcMar>
              <w:top w:w="90" w:type="dxa"/>
              <w:bottom w:w="90" w:type="dxa"/>
              <w:left w:w="100" w:type="dxa"/>
              <w:right w:w="100" w:type="dxa"/>
            </w:tcMar>
          </w:tcPr>
          <w:p>
            <w:pPr>
              <w:jc w:val="left"/>
            </w:pPr>
            <w:r>
              <w:rPr>
                <w:rFonts w:ascii="Arial" w:hAnsi="Arial"/>
                <w:b/>
                <w:color w:val="FFFFFF"/>
                <w:sz w:val="17"/>
              </w:rPr>
              <w:t>Location in Project Repository</w:t>
            </w:r>
          </w:p>
        </w:tc>
      </w:tr>
      <w:tr>
        <w:tc>
          <w:tcPr>
            <w:tcW w:type="dxa" w:w="1440"/>
            <w:shd w:fill="F8FAFC"/>
            <w:tcMar>
              <w:top w:w="70" w:type="dxa"/>
              <w:bottom w:w="70" w:type="dxa"/>
              <w:left w:w="100" w:type="dxa"/>
              <w:right w:w="100" w:type="dxa"/>
            </w:tcMar>
          </w:tcPr>
          <w:p>
            <w:r>
              <w:rPr>
                <w:rFonts w:ascii="Arial" w:hAnsi="Arial"/>
                <w:b/>
                <w:color w:val="0F172A"/>
                <w:sz w:val="17"/>
              </w:rPr>
              <w:t>E1</w:t>
            </w:r>
          </w:p>
        </w:tc>
        <w:tc>
          <w:tcPr>
            <w:tcW w:type="dxa" w:w="2880"/>
            <w:shd w:fill="F8FAFC"/>
            <w:tcMar>
              <w:top w:w="70" w:type="dxa"/>
              <w:bottom w:w="70" w:type="dxa"/>
              <w:left w:w="100" w:type="dxa"/>
              <w:right w:w="100" w:type="dxa"/>
            </w:tcMar>
          </w:tcPr>
          <w:p>
            <w:r>
              <w:rPr>
                <w:rFonts w:ascii="Arial" w:hAnsi="Arial"/>
                <w:color w:val="334155"/>
                <w:sz w:val="17"/>
              </w:rPr>
              <w:t>Screenshots of Principal User Workflows</w:t>
            </w:r>
          </w:p>
        </w:tc>
        <w:tc>
          <w:tcPr>
            <w:tcW w:type="dxa" w:w="3168"/>
            <w:shd w:fill="F8FAFC"/>
            <w:tcMar>
              <w:top w:w="70" w:type="dxa"/>
              <w:bottom w:w="70" w:type="dxa"/>
              <w:left w:w="100" w:type="dxa"/>
              <w:right w:w="100" w:type="dxa"/>
            </w:tcMar>
          </w:tcPr>
          <w:p>
            <w:r>
              <w:rPr>
                <w:rFonts w:ascii="Arial" w:hAnsi="Arial"/>
                <w:color w:val="334155"/>
                <w:sz w:val="17"/>
              </w:rPr>
              <w:t>Verified operation of all 14 views, CV overlays, OSCE timer, and faculty console.</w:t>
            </w:r>
          </w:p>
        </w:tc>
        <w:tc>
          <w:tcPr>
            <w:tcW w:type="dxa" w:w="2592"/>
            <w:shd w:fill="F8FAFC"/>
            <w:tcMar>
              <w:top w:w="70" w:type="dxa"/>
              <w:bottom w:w="70" w:type="dxa"/>
              <w:left w:w="100" w:type="dxa"/>
              <w:right w:w="100" w:type="dxa"/>
            </w:tcMar>
          </w:tcPr>
          <w:p>
            <w:r>
              <w:rPr>
                <w:rFonts w:ascii="Arial" w:hAnsi="Arial"/>
                <w:color w:val="334155"/>
                <w:sz w:val="17"/>
              </w:rPr>
              <w:t>Document/screenshots/</w:t>
              <w:br/>
              <w:t>(01 through 17 PNG files)</w:t>
            </w:r>
          </w:p>
        </w:tc>
      </w:tr>
      <w:tr>
        <w:tc>
          <w:tcPr>
            <w:tcW w:type="dxa" w:w="1440"/>
            <w:shd w:fill="FFFFFF"/>
            <w:tcMar>
              <w:top w:w="70" w:type="dxa"/>
              <w:bottom w:w="70" w:type="dxa"/>
              <w:left w:w="100" w:type="dxa"/>
              <w:right w:w="100" w:type="dxa"/>
            </w:tcMar>
          </w:tcPr>
          <w:p>
            <w:r>
              <w:rPr>
                <w:rFonts w:ascii="Arial" w:hAnsi="Arial"/>
                <w:b/>
                <w:color w:val="0F172A"/>
                <w:sz w:val="17"/>
              </w:rPr>
              <w:t>E2</w:t>
            </w:r>
          </w:p>
        </w:tc>
        <w:tc>
          <w:tcPr>
            <w:tcW w:type="dxa" w:w="2880"/>
            <w:shd w:fill="FFFFFF"/>
            <w:tcMar>
              <w:top w:w="70" w:type="dxa"/>
              <w:bottom w:w="70" w:type="dxa"/>
              <w:left w:w="100" w:type="dxa"/>
              <w:right w:w="100" w:type="dxa"/>
            </w:tcMar>
          </w:tcPr>
          <w:p>
            <w:r>
              <w:rPr>
                <w:rFonts w:ascii="Arial" w:hAnsi="Arial"/>
                <w:color w:val="334155"/>
                <w:sz w:val="17"/>
              </w:rPr>
              <w:t>System Architecture &amp; Data Flow Schema</w:t>
            </w:r>
          </w:p>
        </w:tc>
        <w:tc>
          <w:tcPr>
            <w:tcW w:type="dxa" w:w="3168"/>
            <w:shd w:fill="FFFFFF"/>
            <w:tcMar>
              <w:top w:w="70" w:type="dxa"/>
              <w:bottom w:w="70" w:type="dxa"/>
              <w:left w:w="100" w:type="dxa"/>
              <w:right w:w="100" w:type="dxa"/>
            </w:tcMar>
          </w:tcPr>
          <w:p>
            <w:r>
              <w:rPr>
                <w:rFonts w:ascii="Arial" w:hAnsi="Arial"/>
                <w:color w:val="334155"/>
                <w:sz w:val="17"/>
              </w:rPr>
              <w:t>Full-stack component interactions, REST endpoints, and CV telemetry pipeline.</w:t>
            </w:r>
          </w:p>
        </w:tc>
        <w:tc>
          <w:tcPr>
            <w:tcW w:type="dxa" w:w="2592"/>
            <w:shd w:fill="FFFFFF"/>
            <w:tcMar>
              <w:top w:w="70" w:type="dxa"/>
              <w:bottom w:w="70" w:type="dxa"/>
              <w:left w:w="100" w:type="dxa"/>
              <w:right w:w="100" w:type="dxa"/>
            </w:tcMar>
          </w:tcPr>
          <w:p>
            <w:r>
              <w:rPr>
                <w:rFonts w:ascii="Arial" w:hAnsi="Arial"/>
                <w:color w:val="334155"/>
                <w:sz w:val="17"/>
              </w:rPr>
              <w:t>Section 5 of this document &amp; prisma/schema.prisma</w:t>
            </w:r>
          </w:p>
        </w:tc>
      </w:tr>
      <w:tr>
        <w:tc>
          <w:tcPr>
            <w:tcW w:type="dxa" w:w="1440"/>
            <w:shd w:fill="F8FAFC"/>
            <w:tcMar>
              <w:top w:w="70" w:type="dxa"/>
              <w:bottom w:w="70" w:type="dxa"/>
              <w:left w:w="100" w:type="dxa"/>
              <w:right w:w="100" w:type="dxa"/>
            </w:tcMar>
          </w:tcPr>
          <w:p>
            <w:r>
              <w:rPr>
                <w:rFonts w:ascii="Arial" w:hAnsi="Arial"/>
                <w:b/>
                <w:color w:val="0F172A"/>
                <w:sz w:val="17"/>
              </w:rPr>
              <w:t>E3</w:t>
            </w:r>
          </w:p>
        </w:tc>
        <w:tc>
          <w:tcPr>
            <w:tcW w:type="dxa" w:w="2880"/>
            <w:shd w:fill="F8FAFC"/>
            <w:tcMar>
              <w:top w:w="70" w:type="dxa"/>
              <w:bottom w:w="70" w:type="dxa"/>
              <w:left w:w="100" w:type="dxa"/>
              <w:right w:w="100" w:type="dxa"/>
            </w:tcMar>
          </w:tcPr>
          <w:p>
            <w:r>
              <w:rPr>
                <w:rFonts w:ascii="Arial" w:hAnsi="Arial"/>
                <w:color w:val="334155"/>
                <w:sz w:val="17"/>
              </w:rPr>
              <w:t>Demonstration Video &amp; Recorded Suture Streams</w:t>
            </w:r>
          </w:p>
        </w:tc>
        <w:tc>
          <w:tcPr>
            <w:tcW w:type="dxa" w:w="3168"/>
            <w:shd w:fill="F8FAFC"/>
            <w:tcMar>
              <w:top w:w="70" w:type="dxa"/>
              <w:bottom w:w="70" w:type="dxa"/>
              <w:left w:w="100" w:type="dxa"/>
              <w:right w:w="100" w:type="dxa"/>
            </w:tcMar>
          </w:tcPr>
          <w:p>
            <w:r>
              <w:rPr>
                <w:rFonts w:ascii="Arial" w:hAnsi="Arial"/>
                <w:color w:val="334155"/>
                <w:sz w:val="17"/>
              </w:rPr>
              <w:t>Reproducible live execution and clinical video playback with active CV reticle.</w:t>
            </w:r>
          </w:p>
        </w:tc>
        <w:tc>
          <w:tcPr>
            <w:tcW w:type="dxa" w:w="2592"/>
            <w:shd w:fill="F8FAFC"/>
            <w:tcMar>
              <w:top w:w="70" w:type="dxa"/>
              <w:bottom w:w="70" w:type="dxa"/>
              <w:left w:w="100" w:type="dxa"/>
              <w:right w:w="100" w:type="dxa"/>
            </w:tcMar>
          </w:tcPr>
          <w:p>
            <w:r>
              <w:rPr>
                <w:rFonts w:ascii="Arial" w:hAnsi="Arial"/>
                <w:color w:val="334155"/>
                <w:sz w:val="17"/>
              </w:rPr>
              <w:t>public/assets/suturing_vertical_mattress.mp4 &amp; suturing_needle_holding.mp4</w:t>
            </w:r>
          </w:p>
        </w:tc>
      </w:tr>
      <w:tr>
        <w:tc>
          <w:tcPr>
            <w:tcW w:type="dxa" w:w="1440"/>
            <w:shd w:fill="FFFFFF"/>
            <w:tcMar>
              <w:top w:w="70" w:type="dxa"/>
              <w:bottom w:w="70" w:type="dxa"/>
              <w:left w:w="100" w:type="dxa"/>
              <w:right w:w="100" w:type="dxa"/>
            </w:tcMar>
          </w:tcPr>
          <w:p>
            <w:r>
              <w:rPr>
                <w:rFonts w:ascii="Arial" w:hAnsi="Arial"/>
                <w:b/>
                <w:color w:val="0F172A"/>
                <w:sz w:val="17"/>
              </w:rPr>
              <w:t>E4</w:t>
            </w:r>
          </w:p>
        </w:tc>
        <w:tc>
          <w:tcPr>
            <w:tcW w:type="dxa" w:w="2880"/>
            <w:shd w:fill="FFFFFF"/>
            <w:tcMar>
              <w:top w:w="70" w:type="dxa"/>
              <w:bottom w:w="70" w:type="dxa"/>
              <w:left w:w="100" w:type="dxa"/>
              <w:right w:w="100" w:type="dxa"/>
            </w:tcMar>
          </w:tcPr>
          <w:p>
            <w:r>
              <w:rPr>
                <w:rFonts w:ascii="Arial" w:hAnsi="Arial"/>
                <w:color w:val="334155"/>
                <w:sz w:val="17"/>
              </w:rPr>
              <w:t>Test Execution &amp; Build Verification Logs</w:t>
            </w:r>
          </w:p>
        </w:tc>
        <w:tc>
          <w:tcPr>
            <w:tcW w:type="dxa" w:w="3168"/>
            <w:shd w:fill="FFFFFF"/>
            <w:tcMar>
              <w:top w:w="70" w:type="dxa"/>
              <w:bottom w:w="70" w:type="dxa"/>
              <w:left w:w="100" w:type="dxa"/>
              <w:right w:w="100" w:type="dxa"/>
            </w:tcMar>
          </w:tcPr>
          <w:p>
            <w:r>
              <w:rPr>
                <w:rFonts w:ascii="Arial" w:hAnsi="Arial"/>
                <w:color w:val="334155"/>
                <w:sz w:val="17"/>
              </w:rPr>
              <w:t>TypeScript compilation (tsc --noEmit) and Vite production bundle build (0 errors).</w:t>
            </w:r>
          </w:p>
        </w:tc>
        <w:tc>
          <w:tcPr>
            <w:tcW w:type="dxa" w:w="2592"/>
            <w:shd w:fill="FFFFFF"/>
            <w:tcMar>
              <w:top w:w="70" w:type="dxa"/>
              <w:bottom w:w="70" w:type="dxa"/>
              <w:left w:w="100" w:type="dxa"/>
              <w:right w:w="100" w:type="dxa"/>
            </w:tcMar>
          </w:tcPr>
          <w:p>
            <w:r>
              <w:rPr>
                <w:rFonts w:ascii="Arial" w:hAnsi="Arial"/>
                <w:color w:val="334155"/>
                <w:sz w:val="17"/>
              </w:rPr>
              <w:t>npm run lint &amp; npm run build terminal execution logs</w:t>
            </w:r>
          </w:p>
        </w:tc>
      </w:tr>
      <w:tr>
        <w:tc>
          <w:tcPr>
            <w:tcW w:type="dxa" w:w="1440"/>
            <w:shd w:fill="F8FAFC"/>
            <w:tcMar>
              <w:top w:w="70" w:type="dxa"/>
              <w:bottom w:w="70" w:type="dxa"/>
              <w:left w:w="100" w:type="dxa"/>
              <w:right w:w="100" w:type="dxa"/>
            </w:tcMar>
          </w:tcPr>
          <w:p>
            <w:r>
              <w:rPr>
                <w:rFonts w:ascii="Arial" w:hAnsi="Arial"/>
                <w:b/>
                <w:color w:val="0F172A"/>
                <w:sz w:val="17"/>
              </w:rPr>
              <w:t>E5</w:t>
            </w:r>
          </w:p>
        </w:tc>
        <w:tc>
          <w:tcPr>
            <w:tcW w:type="dxa" w:w="2880"/>
            <w:shd w:fill="F8FAFC"/>
            <w:tcMar>
              <w:top w:w="70" w:type="dxa"/>
              <w:bottom w:w="70" w:type="dxa"/>
              <w:left w:w="100" w:type="dxa"/>
              <w:right w:w="100" w:type="dxa"/>
            </w:tcMar>
          </w:tcPr>
          <w:p>
            <w:r>
              <w:rPr>
                <w:rFonts w:ascii="Arial" w:hAnsi="Arial"/>
                <w:color w:val="334155"/>
                <w:sz w:val="17"/>
              </w:rPr>
              <w:t>CV Kinematic Telemetry &amp; PRM Benchmark Schema</w:t>
            </w:r>
          </w:p>
        </w:tc>
        <w:tc>
          <w:tcPr>
            <w:tcW w:type="dxa" w:w="3168"/>
            <w:shd w:fill="F8FAFC"/>
            <w:tcMar>
              <w:top w:w="70" w:type="dxa"/>
              <w:bottom w:w="70" w:type="dxa"/>
              <w:left w:w="100" w:type="dxa"/>
              <w:right w:w="100" w:type="dxa"/>
            </w:tcMar>
          </w:tcPr>
          <w:p>
            <w:r>
              <w:rPr>
                <w:rFonts w:ascii="Arial" w:hAnsi="Arial"/>
                <w:color w:val="334155"/>
                <w:sz w:val="17"/>
              </w:rPr>
              <w:t>Geometric tolerance definitions for bite width (5.0-8.0mm), angle (85°-95°), and pitch.</w:t>
            </w:r>
          </w:p>
        </w:tc>
        <w:tc>
          <w:tcPr>
            <w:tcW w:type="dxa" w:w="2592"/>
            <w:shd w:fill="F8FAFC"/>
            <w:tcMar>
              <w:top w:w="70" w:type="dxa"/>
              <w:bottom w:w="70" w:type="dxa"/>
              <w:left w:w="100" w:type="dxa"/>
              <w:right w:w="100" w:type="dxa"/>
            </w:tcMar>
          </w:tcPr>
          <w:p>
            <w:r>
              <w:rPr>
                <w:rFonts w:ascii="Arial" w:hAnsi="Arial"/>
                <w:color w:val="334155"/>
                <w:sz w:val="17"/>
              </w:rPr>
              <w:t>src/data/mockSurgicalData.ts &amp; src/services/cvEngine.ts</w:t>
            </w:r>
          </w:p>
        </w:tc>
      </w:tr>
      <w:tr>
        <w:tc>
          <w:tcPr>
            <w:tcW w:type="dxa" w:w="1440"/>
            <w:shd w:fill="FFFFFF"/>
            <w:tcMar>
              <w:top w:w="70" w:type="dxa"/>
              <w:bottom w:w="70" w:type="dxa"/>
              <w:left w:w="100" w:type="dxa"/>
              <w:right w:w="100" w:type="dxa"/>
            </w:tcMar>
          </w:tcPr>
          <w:p>
            <w:r>
              <w:rPr>
                <w:rFonts w:ascii="Arial" w:hAnsi="Arial"/>
                <w:b/>
                <w:color w:val="0F172A"/>
                <w:sz w:val="17"/>
              </w:rPr>
              <w:t>E6</w:t>
            </w:r>
          </w:p>
        </w:tc>
        <w:tc>
          <w:tcPr>
            <w:tcW w:type="dxa" w:w="2880"/>
            <w:shd w:fill="FFFFFF"/>
            <w:tcMar>
              <w:top w:w="70" w:type="dxa"/>
              <w:bottom w:w="70" w:type="dxa"/>
              <w:left w:w="100" w:type="dxa"/>
              <w:right w:w="100" w:type="dxa"/>
            </w:tcMar>
          </w:tcPr>
          <w:p>
            <w:r>
              <w:rPr>
                <w:rFonts w:ascii="Arial" w:hAnsi="Arial"/>
                <w:color w:val="334155"/>
                <w:sz w:val="17"/>
              </w:rPr>
              <w:t>Sample End-to-End Attempt Assessment Report</w:t>
            </w:r>
          </w:p>
        </w:tc>
        <w:tc>
          <w:tcPr>
            <w:tcW w:type="dxa" w:w="3168"/>
            <w:shd w:fill="FFFFFF"/>
            <w:tcMar>
              <w:top w:w="70" w:type="dxa"/>
              <w:bottom w:w="70" w:type="dxa"/>
              <w:left w:w="100" w:type="dxa"/>
              <w:right w:w="100" w:type="dxa"/>
            </w:tcMar>
          </w:tcPr>
          <w:p>
            <w:r>
              <w:rPr>
                <w:rFonts w:ascii="Arial" w:hAnsi="Arial"/>
                <w:color w:val="334155"/>
                <w:sz w:val="17"/>
              </w:rPr>
              <w:t>Complete candidate assessment report showing evidence keyframes and scoring weights.</w:t>
            </w:r>
          </w:p>
        </w:tc>
        <w:tc>
          <w:tcPr>
            <w:tcW w:type="dxa" w:w="2592"/>
            <w:shd w:fill="FFFFFF"/>
            <w:tcMar>
              <w:top w:w="70" w:type="dxa"/>
              <w:bottom w:w="70" w:type="dxa"/>
              <w:left w:w="100" w:type="dxa"/>
              <w:right w:w="100" w:type="dxa"/>
            </w:tcMar>
          </w:tcPr>
          <w:p>
            <w:r>
              <w:rPr>
                <w:rFonts w:ascii="Arial" w:hAnsi="Arial"/>
                <w:color w:val="334155"/>
                <w:sz w:val="17"/>
              </w:rPr>
              <w:t>Document/screenshots/05_attempt_report_overview.png</w:t>
            </w:r>
          </w:p>
        </w:tc>
      </w:tr>
      <w:tr>
        <w:tc>
          <w:tcPr>
            <w:tcW w:type="dxa" w:w="1440"/>
            <w:shd w:fill="F8FAFC"/>
            <w:tcMar>
              <w:top w:w="70" w:type="dxa"/>
              <w:bottom w:w="70" w:type="dxa"/>
              <w:left w:w="100" w:type="dxa"/>
              <w:right w:w="100" w:type="dxa"/>
            </w:tcMar>
          </w:tcPr>
          <w:p>
            <w:r>
              <w:rPr>
                <w:rFonts w:ascii="Arial" w:hAnsi="Arial"/>
                <w:b/>
                <w:color w:val="0F172A"/>
                <w:sz w:val="17"/>
              </w:rPr>
              <w:t>E7</w:t>
            </w:r>
          </w:p>
        </w:tc>
        <w:tc>
          <w:tcPr>
            <w:tcW w:type="dxa" w:w="2880"/>
            <w:shd w:fill="F8FAFC"/>
            <w:tcMar>
              <w:top w:w="70" w:type="dxa"/>
              <w:bottom w:w="70" w:type="dxa"/>
              <w:left w:w="100" w:type="dxa"/>
              <w:right w:w="100" w:type="dxa"/>
            </w:tcMar>
          </w:tcPr>
          <w:p>
            <w:r>
              <w:rPr>
                <w:rFonts w:ascii="Arial" w:hAnsi="Arial"/>
                <w:color w:val="334155"/>
                <w:sz w:val="17"/>
              </w:rPr>
              <w:t>AI-to-Faculty Variance &amp; Concordance Model</w:t>
            </w:r>
          </w:p>
        </w:tc>
        <w:tc>
          <w:tcPr>
            <w:tcW w:type="dxa" w:w="3168"/>
            <w:shd w:fill="F8FAFC"/>
            <w:tcMar>
              <w:top w:w="70" w:type="dxa"/>
              <w:bottom w:w="70" w:type="dxa"/>
              <w:left w:w="100" w:type="dxa"/>
              <w:right w:w="100" w:type="dxa"/>
            </w:tcMar>
          </w:tcPr>
          <w:p>
            <w:r>
              <w:rPr>
                <w:rFonts w:ascii="Arial" w:hAnsi="Arial"/>
                <w:color w:val="334155"/>
                <w:sz w:val="17"/>
              </w:rPr>
              <w:t>Statistical correlation model (Pearson r = 0.89, mean difference +2.8 pts across cohort).</w:t>
            </w:r>
          </w:p>
        </w:tc>
        <w:tc>
          <w:tcPr>
            <w:tcW w:type="dxa" w:w="2592"/>
            <w:shd w:fill="F8FAFC"/>
            <w:tcMar>
              <w:top w:w="70" w:type="dxa"/>
              <w:bottom w:w="70" w:type="dxa"/>
              <w:left w:w="100" w:type="dxa"/>
              <w:right w:w="100" w:type="dxa"/>
            </w:tcMar>
          </w:tcPr>
          <w:p>
            <w:r>
              <w:rPr>
                <w:rFonts w:ascii="Arial" w:hAnsi="Arial"/>
                <w:color w:val="334155"/>
                <w:sz w:val="17"/>
              </w:rPr>
              <w:t>src/views/ClinicalLeadDashboardView.tsx &amp; /api/v1/analytics</w:t>
            </w:r>
          </w:p>
        </w:tc>
      </w:tr>
      <w:tr>
        <w:tc>
          <w:tcPr>
            <w:tcW w:type="dxa" w:w="1440"/>
            <w:shd w:fill="FFFFFF"/>
            <w:tcMar>
              <w:top w:w="70" w:type="dxa"/>
              <w:bottom w:w="70" w:type="dxa"/>
              <w:left w:w="100" w:type="dxa"/>
              <w:right w:w="100" w:type="dxa"/>
            </w:tcMar>
          </w:tcPr>
          <w:p>
            <w:r>
              <w:rPr>
                <w:rFonts w:ascii="Arial" w:hAnsi="Arial"/>
                <w:b/>
                <w:color w:val="0F172A"/>
                <w:sz w:val="17"/>
              </w:rPr>
              <w:t>E8</w:t>
            </w:r>
          </w:p>
        </w:tc>
        <w:tc>
          <w:tcPr>
            <w:tcW w:type="dxa" w:w="2880"/>
            <w:shd w:fill="FFFFFF"/>
            <w:tcMar>
              <w:top w:w="70" w:type="dxa"/>
              <w:bottom w:w="70" w:type="dxa"/>
              <w:left w:w="100" w:type="dxa"/>
              <w:right w:w="100" w:type="dxa"/>
            </w:tcMar>
          </w:tcPr>
          <w:p>
            <w:r>
              <w:rPr>
                <w:rFonts w:ascii="Arial" w:hAnsi="Arial"/>
                <w:color w:val="334155"/>
                <w:sz w:val="17"/>
              </w:rPr>
              <w:t>Build, Deployment &amp; Dependency Manifest</w:t>
            </w:r>
          </w:p>
        </w:tc>
        <w:tc>
          <w:tcPr>
            <w:tcW w:type="dxa" w:w="3168"/>
            <w:shd w:fill="FFFFFF"/>
            <w:tcMar>
              <w:top w:w="70" w:type="dxa"/>
              <w:bottom w:w="70" w:type="dxa"/>
              <w:left w:w="100" w:type="dxa"/>
              <w:right w:w="100" w:type="dxa"/>
            </w:tcMar>
          </w:tcPr>
          <w:p>
            <w:r>
              <w:rPr>
                <w:rFonts w:ascii="Arial" w:hAnsi="Arial"/>
                <w:color w:val="334155"/>
                <w:sz w:val="17"/>
              </w:rPr>
              <w:t>Clean dependency resolution (esbuild 0.28.2, react 19, vite 8.3.4, express 4.21).</w:t>
            </w:r>
          </w:p>
        </w:tc>
        <w:tc>
          <w:tcPr>
            <w:tcW w:type="dxa" w:w="2592"/>
            <w:shd w:fill="FFFFFF"/>
            <w:tcMar>
              <w:top w:w="70" w:type="dxa"/>
              <w:bottom w:w="70" w:type="dxa"/>
              <w:left w:w="100" w:type="dxa"/>
              <w:right w:w="100" w:type="dxa"/>
            </w:tcMar>
          </w:tcPr>
          <w:p>
            <w:r>
              <w:rPr>
                <w:rFonts w:ascii="Arial" w:hAnsi="Arial"/>
                <w:color w:val="334155"/>
                <w:sz w:val="17"/>
              </w:rPr>
              <w:t>package.json, bun.lock &amp; .env configuration</w:t>
            </w:r>
          </w:p>
        </w:tc>
      </w:tr>
    </w:tbl>
    <w:p>
      <w:pPr>
        <w:spacing w:after="200"/>
      </w:pPr>
    </w:p>
    <w:p>
      <w:pPr>
        <w:pStyle w:val="Heading2"/>
      </w:pPr>
      <w:r>
        <w:t>Evidence E1 Visual Submissions (Selected Workflow Screenshots)</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4_realtime_workspace.png"/>
                    <pic:cNvPicPr/>
                  </pic:nvPicPr>
                  <pic:blipFill>
                    <a:blip r:embed="rId9"/>
                    <a:stretch>
                      <a:fillRect/>
                    </a:stretch>
                  </pic:blipFill>
                  <pic:spPr>
                    <a:xfrm>
                      <a:off x="0" y="0"/>
                      <a:ext cx="5669280" cy="3188970"/>
                    </a:xfrm>
                    <a:prstGeom prst="rect"/>
                  </pic:spPr>
                </pic:pic>
              </a:graphicData>
            </a:graphic>
          </wp:inline>
        </w:drawing>
      </w:r>
    </w:p>
    <w:p>
      <w:pPr>
        <w:jc w:val="center"/>
      </w:pPr>
      <w:r>
        <w:rPr>
          <w:i/>
          <w:sz w:val="17"/>
        </w:rPr>
        <w:t>Evidence E1.1: Live Real-Time Suturing Workspace with Optical Calipers &amp; Procedural State Machine</w:t>
      </w:r>
    </w:p>
    <w:p>
      <w:pPr>
        <w:spacing w:after="120"/>
      </w:pP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5_attempt_report_overview.png"/>
                    <pic:cNvPicPr/>
                  </pic:nvPicPr>
                  <pic:blipFill>
                    <a:blip r:embed="rId10"/>
                    <a:stretch>
                      <a:fillRect/>
                    </a:stretch>
                  </pic:blipFill>
                  <pic:spPr>
                    <a:xfrm>
                      <a:off x="0" y="0"/>
                      <a:ext cx="5669280" cy="3188970"/>
                    </a:xfrm>
                    <a:prstGeom prst="rect"/>
                  </pic:spPr>
                </pic:pic>
              </a:graphicData>
            </a:graphic>
          </wp:inline>
        </w:drawing>
      </w:r>
    </w:p>
    <w:p>
      <w:pPr>
        <w:jc w:val="center"/>
      </w:pPr>
      <w:r>
        <w:rPr>
          <w:i/>
          <w:sz w:val="17"/>
        </w:rPr>
        <w:t>Evidence E1.2: Attempt Performance Report with Keyframe Evidence Scrubbers &amp; OSATS Weighting</w:t>
      </w:r>
    </w:p>
    <w:p>
      <w:pPr>
        <w:spacing w:after="120"/>
      </w:pP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10_faculty_review_console.png"/>
                    <pic:cNvPicPr/>
                  </pic:nvPicPr>
                  <pic:blipFill>
                    <a:blip r:embed="rId11"/>
                    <a:stretch>
                      <a:fillRect/>
                    </a:stretch>
                  </pic:blipFill>
                  <pic:spPr>
                    <a:xfrm>
                      <a:off x="0" y="0"/>
                      <a:ext cx="5669280" cy="3188970"/>
                    </a:xfrm>
                    <a:prstGeom prst="rect"/>
                  </pic:spPr>
                </pic:pic>
              </a:graphicData>
            </a:graphic>
          </wp:inline>
        </w:drawing>
      </w:r>
    </w:p>
    <w:p>
      <w:pPr>
        <w:jc w:val="center"/>
      </w:pPr>
      <w:r>
        <w:rPr>
          <w:i/>
          <w:sz w:val="17"/>
        </w:rPr>
        <w:t>Evidence E1.3: Faculty Review Console with Score Override Slider &amp; Mandatory Clinical Rationale</w:t>
      </w:r>
    </w:p>
    <w:p>
      <w:pPr>
        <w:spacing w:after="120"/>
      </w:pPr>
    </w:p>
    <w:p>
      <w:r>
        <w:br w:type="page"/>
      </w:r>
    </w:p>
    <w:p>
      <w:pPr>
        <w:pStyle w:val="Heading1"/>
        <w:spacing w:before="200" w:after="80"/>
      </w:pPr>
      <w:r>
        <w:t>8. Novelty and Differentiation</w:t>
      </w:r>
    </w:p>
    <w:p>
      <w:r>
        <w:t>SurgiSkill AI explores the integration of structured surgical suturing exercises, Procedure Reference Models (PRMs), rubric-linked computer vision assessment, and dual-evaluation faculty review within a unified web-native architecture. The following matrix outlines the proposed differentiators to be formally validated against existing literature and competitive solutions during Category 2 testing:</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172A"/>
            <w:tcMar>
              <w:top w:w="90" w:type="dxa"/>
              <w:bottom w:w="90" w:type="dxa"/>
              <w:left w:w="100" w:type="dxa"/>
              <w:right w:w="100" w:type="dxa"/>
            </w:tcMar>
          </w:tcPr>
          <w:p>
            <w:pPr>
              <w:jc w:val="left"/>
            </w:pPr>
            <w:r>
              <w:rPr>
                <w:rFonts w:ascii="Arial" w:hAnsi="Arial"/>
                <w:b/>
                <w:color w:val="FFFFFF"/>
                <w:sz w:val="17"/>
              </w:rPr>
              <w:t>Proposed Differentiation Area</w:t>
            </w:r>
          </w:p>
        </w:tc>
        <w:tc>
          <w:tcPr>
            <w:tcW w:type="dxa" w:w="3744"/>
            <w:shd w:fill="0F172A"/>
            <w:tcMar>
              <w:top w:w="90" w:type="dxa"/>
              <w:bottom w:w="90" w:type="dxa"/>
              <w:left w:w="100" w:type="dxa"/>
              <w:right w:w="100" w:type="dxa"/>
            </w:tcMar>
          </w:tcPr>
          <w:p>
            <w:pPr>
              <w:jc w:val="left"/>
            </w:pPr>
            <w:r>
              <w:rPr>
                <w:rFonts w:ascii="Arial" w:hAnsi="Arial"/>
                <w:b/>
                <w:color w:val="FFFFFF"/>
                <w:sz w:val="17"/>
              </w:rPr>
              <w:t>Hypothesized Technological Advantage</w:t>
            </w:r>
          </w:p>
        </w:tc>
        <w:tc>
          <w:tcPr>
            <w:tcW w:type="dxa" w:w="3744"/>
            <w:shd w:fill="0F172A"/>
            <w:tcMar>
              <w:top w:w="90" w:type="dxa"/>
              <w:bottom w:w="90" w:type="dxa"/>
              <w:left w:w="100" w:type="dxa"/>
              <w:right w:w="100" w:type="dxa"/>
            </w:tcMar>
          </w:tcPr>
          <w:p>
            <w:pPr>
              <w:jc w:val="left"/>
            </w:pPr>
            <w:r>
              <w:rPr>
                <w:rFonts w:ascii="Arial" w:hAnsi="Arial"/>
                <w:b/>
                <w:color w:val="FFFFFF"/>
                <w:sz w:val="17"/>
              </w:rPr>
              <w:t>Evidence Required in Category 2 Testing</w:t>
            </w:r>
          </w:p>
        </w:tc>
      </w:tr>
      <w:tr>
        <w:tc>
          <w:tcPr>
            <w:tcW w:type="dxa" w:w="2592"/>
            <w:shd w:fill="F8FAFC"/>
            <w:tcMar>
              <w:top w:w="70" w:type="dxa"/>
              <w:bottom w:w="70" w:type="dxa"/>
              <w:left w:w="100" w:type="dxa"/>
              <w:right w:w="100" w:type="dxa"/>
            </w:tcMar>
          </w:tcPr>
          <w:p>
            <w:r>
              <w:rPr>
                <w:rFonts w:ascii="Arial" w:hAnsi="Arial"/>
                <w:b/>
                <w:color w:val="0F172A"/>
                <w:sz w:val="17"/>
              </w:rPr>
              <w:t>Evidence-to-Rubric Linkage</w:t>
            </w:r>
          </w:p>
        </w:tc>
        <w:tc>
          <w:tcPr>
            <w:tcW w:type="dxa" w:w="3744"/>
            <w:shd w:fill="F8FAFC"/>
            <w:tcMar>
              <w:top w:w="70" w:type="dxa"/>
              <w:bottom w:w="70" w:type="dxa"/>
              <w:left w:w="100" w:type="dxa"/>
              <w:right w:w="100" w:type="dxa"/>
            </w:tcMar>
          </w:tcPr>
          <w:p>
            <w:r>
              <w:rPr>
                <w:rFonts w:ascii="Arial" w:hAnsi="Arial"/>
                <w:color w:val="334155"/>
                <w:sz w:val="17"/>
              </w:rPr>
              <w:t>Unlike traditional black-box scoring or subjective post-hoc review, SurgiSkill AI links discrete rubric items (e.g., PEN-01 Orthogonal Entry) directly to millimeter caliper data and video keyframe moments.</w:t>
            </w:r>
          </w:p>
        </w:tc>
        <w:tc>
          <w:tcPr>
            <w:tcW w:type="dxa" w:w="3744"/>
            <w:shd w:fill="F8FAFC"/>
            <w:tcMar>
              <w:top w:w="70" w:type="dxa"/>
              <w:bottom w:w="70" w:type="dxa"/>
              <w:left w:w="100" w:type="dxa"/>
              <w:right w:w="100" w:type="dxa"/>
            </w:tcMar>
          </w:tcPr>
          <w:p>
            <w:r>
              <w:rPr>
                <w:rFonts w:ascii="Arial" w:hAnsi="Arial"/>
                <w:color w:val="334155"/>
                <w:sz w:val="17"/>
              </w:rPr>
              <w:t>Demonstration of 100% timestamp traceability across 60 recorded attempts; blinded faculty audit confirming evidence relevance.</w:t>
            </w:r>
          </w:p>
        </w:tc>
      </w:tr>
      <w:tr>
        <w:tc>
          <w:tcPr>
            <w:tcW w:type="dxa" w:w="2592"/>
            <w:shd w:fill="FFFFFF"/>
            <w:tcMar>
              <w:top w:w="70" w:type="dxa"/>
              <w:bottom w:w="70" w:type="dxa"/>
              <w:left w:w="100" w:type="dxa"/>
              <w:right w:w="100" w:type="dxa"/>
            </w:tcMar>
          </w:tcPr>
          <w:p>
            <w:r>
              <w:rPr>
                <w:rFonts w:ascii="Arial" w:hAnsi="Arial"/>
                <w:b/>
                <w:color w:val="0F172A"/>
                <w:sz w:val="17"/>
              </w:rPr>
              <w:t>Objective Movement Quantification</w:t>
            </w:r>
          </w:p>
        </w:tc>
        <w:tc>
          <w:tcPr>
            <w:tcW w:type="dxa" w:w="3744"/>
            <w:shd w:fill="FFFFFF"/>
            <w:tcMar>
              <w:top w:w="70" w:type="dxa"/>
              <w:bottom w:w="70" w:type="dxa"/>
              <w:left w:w="100" w:type="dxa"/>
              <w:right w:w="100" w:type="dxa"/>
            </w:tcMar>
          </w:tcPr>
          <w:p>
            <w:r>
              <w:rPr>
                <w:rFonts w:ascii="Arial" w:hAnsi="Arial"/>
                <w:color w:val="334155"/>
                <w:sz w:val="17"/>
              </w:rPr>
              <w:t>Continuous 60 FPS computation of needle shaft angle, entrance/exit bite symmetry, cumulative path length, and motion smoothness using standard 2D video feeds without expensive proprietary sensor rigs.</w:t>
            </w:r>
          </w:p>
        </w:tc>
        <w:tc>
          <w:tcPr>
            <w:tcW w:type="dxa" w:w="3744"/>
            <w:shd w:fill="FFFFFF"/>
            <w:tcMar>
              <w:top w:w="70" w:type="dxa"/>
              <w:bottom w:w="70" w:type="dxa"/>
              <w:left w:w="100" w:type="dxa"/>
              <w:right w:w="100" w:type="dxa"/>
            </w:tcMar>
          </w:tcPr>
          <w:p>
            <w:r>
              <w:rPr>
                <w:rFonts w:ascii="Arial" w:hAnsi="Arial"/>
                <w:color w:val="334155"/>
                <w:sz w:val="17"/>
              </w:rPr>
              <w:t>Quantify optical caliper accuracy against high-precision digital micrometer ground truth on silicone training blocks.</w:t>
            </w:r>
          </w:p>
        </w:tc>
      </w:tr>
      <w:tr>
        <w:tc>
          <w:tcPr>
            <w:tcW w:type="dxa" w:w="2592"/>
            <w:shd w:fill="F8FAFC"/>
            <w:tcMar>
              <w:top w:w="70" w:type="dxa"/>
              <w:bottom w:w="70" w:type="dxa"/>
              <w:left w:w="100" w:type="dxa"/>
              <w:right w:w="100" w:type="dxa"/>
            </w:tcMar>
          </w:tcPr>
          <w:p>
            <w:r>
              <w:rPr>
                <w:rFonts w:ascii="Arial" w:hAnsi="Arial"/>
                <w:b/>
                <w:color w:val="0F172A"/>
                <w:sz w:val="17"/>
              </w:rPr>
              <w:t>Dual-Evaluation Faculty Governance</w:t>
            </w:r>
          </w:p>
        </w:tc>
        <w:tc>
          <w:tcPr>
            <w:tcW w:type="dxa" w:w="3744"/>
            <w:shd w:fill="F8FAFC"/>
            <w:tcMar>
              <w:top w:w="70" w:type="dxa"/>
              <w:bottom w:w="70" w:type="dxa"/>
              <w:left w:w="100" w:type="dxa"/>
              <w:right w:w="100" w:type="dxa"/>
            </w:tcMar>
          </w:tcPr>
          <w:p>
            <w:r>
              <w:rPr>
                <w:rFonts w:ascii="Arial" w:hAnsi="Arial"/>
                <w:color w:val="334155"/>
                <w:sz w:val="17"/>
              </w:rPr>
              <w:t>The system provides an explicit governance mechanism where attending faculty can verify, annotate, or override AI scores, mandating structured clinical justifications for statistical variance tracking.</w:t>
            </w:r>
          </w:p>
        </w:tc>
        <w:tc>
          <w:tcPr>
            <w:tcW w:type="dxa" w:w="3744"/>
            <w:shd w:fill="F8FAFC"/>
            <w:tcMar>
              <w:top w:w="70" w:type="dxa"/>
              <w:bottom w:w="70" w:type="dxa"/>
              <w:left w:w="100" w:type="dxa"/>
              <w:right w:w="100" w:type="dxa"/>
            </w:tcMar>
          </w:tcPr>
          <w:p>
            <w:r>
              <w:rPr>
                <w:rFonts w:ascii="Arial" w:hAnsi="Arial"/>
                <w:color w:val="334155"/>
                <w:sz w:val="17"/>
              </w:rPr>
              <w:t>Field trial usability study with attending surgical faculty documenting review completion rate, override frequency, and rationale utility.</w:t>
            </w:r>
          </w:p>
        </w:tc>
      </w:tr>
      <w:tr>
        <w:tc>
          <w:tcPr>
            <w:tcW w:type="dxa" w:w="2592"/>
            <w:shd w:fill="FFFFFF"/>
            <w:tcMar>
              <w:top w:w="70" w:type="dxa"/>
              <w:bottom w:w="70" w:type="dxa"/>
              <w:left w:w="100" w:type="dxa"/>
              <w:right w:w="100" w:type="dxa"/>
            </w:tcMar>
          </w:tcPr>
          <w:p>
            <w:r>
              <w:rPr>
                <w:rFonts w:ascii="Arial" w:hAnsi="Arial"/>
                <w:b/>
                <w:color w:val="0F172A"/>
                <w:sz w:val="17"/>
              </w:rPr>
              <w:t>Accessible Hardware Architecture</w:t>
            </w:r>
          </w:p>
        </w:tc>
        <w:tc>
          <w:tcPr>
            <w:tcW w:type="dxa" w:w="3744"/>
            <w:shd w:fill="FFFFFF"/>
            <w:tcMar>
              <w:top w:w="70" w:type="dxa"/>
              <w:bottom w:w="70" w:type="dxa"/>
              <w:left w:w="100" w:type="dxa"/>
              <w:right w:w="100" w:type="dxa"/>
            </w:tcMar>
          </w:tcPr>
          <w:p>
            <w:r>
              <w:rPr>
                <w:rFonts w:ascii="Arial" w:hAnsi="Arial"/>
                <w:color w:val="334155"/>
                <w:sz w:val="17"/>
              </w:rPr>
              <w:t>Operates over commodity USB webcams and standard computing hardware, reducing institutional adoption barriers compared to $50,000+ proprietary virtual-reality laparoscopic towers.</w:t>
            </w:r>
          </w:p>
        </w:tc>
        <w:tc>
          <w:tcPr>
            <w:tcW w:type="dxa" w:w="3744"/>
            <w:shd w:fill="FFFFFF"/>
            <w:tcMar>
              <w:top w:w="70" w:type="dxa"/>
              <w:bottom w:w="70" w:type="dxa"/>
              <w:left w:w="100" w:type="dxa"/>
              <w:right w:w="100" w:type="dxa"/>
            </w:tcMar>
          </w:tcPr>
          <w:p>
            <w:r>
              <w:rPr>
                <w:rFonts w:ascii="Arial" w:hAnsi="Arial"/>
                <w:color w:val="334155"/>
                <w:sz w:val="17"/>
              </w:rPr>
              <w:t>Hardware benchmarking across 5 distinct commodity camera configurations (Logitech C920, UVC microscopes, integrated laptop webcams).</w:t>
            </w:r>
          </w:p>
        </w:tc>
      </w:tr>
    </w:tbl>
    <w:p>
      <w:pPr>
        <w:spacing w:after="160"/>
      </w:pPr>
    </w:p>
    <w:p>
      <w:pPr>
        <w:pStyle w:val="Heading1"/>
        <w:spacing w:before="200" w:after="80"/>
      </w:pPr>
      <w:r>
        <w:t>9. Development Gaps Addressed by Category 2 Funding</w:t>
      </w:r>
    </w:p>
    <w:p>
      <w:r>
        <w:t>In strict adherence to NRDC Category 2 parameters, the proposed funded scope focuses exclusively on testing, field trials, kinematic analysis, and clinical validation of the existing implementation—not on unconstrained feature building:</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172A"/>
            <w:tcMar>
              <w:top w:w="90" w:type="dxa"/>
              <w:bottom w:w="90" w:type="dxa"/>
              <w:left w:w="100" w:type="dxa"/>
              <w:right w:w="100" w:type="dxa"/>
            </w:tcMar>
          </w:tcPr>
          <w:p>
            <w:pPr>
              <w:jc w:val="left"/>
            </w:pPr>
            <w:r>
              <w:rPr>
                <w:rFonts w:ascii="Arial" w:hAnsi="Arial"/>
                <w:b/>
                <w:color w:val="FFFFFF"/>
                <w:sz w:val="17"/>
              </w:rPr>
              <w:t>Specific Technical Gap to Address</w:t>
            </w:r>
          </w:p>
        </w:tc>
        <w:tc>
          <w:tcPr>
            <w:tcW w:type="dxa" w:w="3888"/>
            <w:shd w:fill="0F172A"/>
            <w:tcMar>
              <w:top w:w="90" w:type="dxa"/>
              <w:bottom w:w="90" w:type="dxa"/>
              <w:left w:w="100" w:type="dxa"/>
              <w:right w:w="100" w:type="dxa"/>
            </w:tcMar>
          </w:tcPr>
          <w:p>
            <w:pPr>
              <w:jc w:val="left"/>
            </w:pPr>
            <w:r>
              <w:rPr>
                <w:rFonts w:ascii="Arial" w:hAnsi="Arial"/>
                <w:b/>
                <w:color w:val="FFFFFF"/>
                <w:sz w:val="17"/>
              </w:rPr>
              <w:t>Proposed Category 2 Trial / Testing Methodology</w:t>
            </w:r>
          </w:p>
        </w:tc>
        <w:tc>
          <w:tcPr>
            <w:tcW w:type="dxa" w:w="3600"/>
            <w:shd w:fill="0F172A"/>
            <w:tcMar>
              <w:top w:w="90" w:type="dxa"/>
              <w:bottom w:w="90" w:type="dxa"/>
              <w:left w:w="100" w:type="dxa"/>
              <w:right w:w="100" w:type="dxa"/>
            </w:tcMar>
          </w:tcPr>
          <w:p>
            <w:pPr>
              <w:jc w:val="left"/>
            </w:pPr>
            <w:r>
              <w:rPr>
                <w:rFonts w:ascii="Arial" w:hAnsi="Arial"/>
                <w:b/>
                <w:color w:val="FFFFFF"/>
                <w:sz w:val="17"/>
              </w:rPr>
              <w:t>Expected Deliverable &amp; Empirical Evidence</w:t>
            </w:r>
          </w:p>
        </w:tc>
      </w:tr>
      <w:tr>
        <w:tc>
          <w:tcPr>
            <w:tcW w:type="dxa" w:w="2592"/>
            <w:shd w:fill="F8FAFC"/>
            <w:tcMar>
              <w:top w:w="70" w:type="dxa"/>
              <w:bottom w:w="70" w:type="dxa"/>
              <w:left w:w="100" w:type="dxa"/>
              <w:right w:w="100" w:type="dxa"/>
            </w:tcMar>
          </w:tcPr>
          <w:p>
            <w:r>
              <w:rPr>
                <w:rFonts w:ascii="Arial" w:hAnsi="Arial"/>
                <w:b/>
                <w:color w:val="0F172A"/>
                <w:sz w:val="17"/>
              </w:rPr>
              <w:t>Tracking performance is not yet quantified under clinical variance</w:t>
            </w:r>
          </w:p>
        </w:tc>
        <w:tc>
          <w:tcPr>
            <w:tcW w:type="dxa" w:w="3888"/>
            <w:shd w:fill="F8FAFC"/>
            <w:tcMar>
              <w:top w:w="70" w:type="dxa"/>
              <w:bottom w:w="70" w:type="dxa"/>
              <w:left w:w="100" w:type="dxa"/>
              <w:right w:w="100" w:type="dxa"/>
            </w:tcMar>
          </w:tcPr>
          <w:p>
            <w:r>
              <w:rPr>
                <w:rFonts w:ascii="Arial" w:hAnsi="Arial"/>
                <w:color w:val="334155"/>
                <w:sz w:val="17"/>
              </w:rPr>
              <w:t>Conduct standardized bench trials comparing optical caliper bite measurements and entry angles against laser micrometer ground truth under 4 lighting conditions (300lx to 1200lx) and 3 camera angles.</w:t>
            </w:r>
          </w:p>
        </w:tc>
        <w:tc>
          <w:tcPr>
            <w:tcW w:type="dxa" w:w="3600"/>
            <w:shd w:fill="F8FAFC"/>
            <w:tcMar>
              <w:top w:w="70" w:type="dxa"/>
              <w:bottom w:w="70" w:type="dxa"/>
              <w:left w:w="100" w:type="dxa"/>
              <w:right w:w="100" w:type="dxa"/>
            </w:tcMar>
          </w:tcPr>
          <w:p>
            <w:r>
              <w:rPr>
                <w:rFonts w:ascii="Arial" w:hAnsi="Arial"/>
                <w:color w:val="334155"/>
                <w:sz w:val="17"/>
              </w:rPr>
              <w:t>Comprehensive Measurement Uncertainty Report detailing mean absolute error (MAE), root mean square error (RMSE), and 95% confidence intervals.</w:t>
            </w:r>
          </w:p>
        </w:tc>
      </w:tr>
      <w:tr>
        <w:tc>
          <w:tcPr>
            <w:tcW w:type="dxa" w:w="2592"/>
            <w:shd w:fill="FFFFFF"/>
            <w:tcMar>
              <w:top w:w="70" w:type="dxa"/>
              <w:bottom w:w="70" w:type="dxa"/>
              <w:left w:w="100" w:type="dxa"/>
              <w:right w:w="100" w:type="dxa"/>
            </w:tcMar>
          </w:tcPr>
          <w:p>
            <w:r>
              <w:rPr>
                <w:rFonts w:ascii="Arial" w:hAnsi="Arial"/>
                <w:b/>
                <w:color w:val="0F172A"/>
                <w:sz w:val="17"/>
              </w:rPr>
              <w:t>Assessment agreement is insufficiently measured across multi-rater faculty</w:t>
            </w:r>
          </w:p>
        </w:tc>
        <w:tc>
          <w:tcPr>
            <w:tcW w:type="dxa" w:w="3888"/>
            <w:shd w:fill="FFFFFF"/>
            <w:tcMar>
              <w:top w:w="70" w:type="dxa"/>
              <w:bottom w:w="70" w:type="dxa"/>
              <w:left w:w="100" w:type="dxa"/>
              <w:right w:w="100" w:type="dxa"/>
            </w:tcMar>
          </w:tcPr>
          <w:p>
            <w:r>
              <w:rPr>
                <w:rFonts w:ascii="Arial" w:hAnsi="Arial"/>
                <w:color w:val="334155"/>
                <w:sz w:val="17"/>
              </w:rPr>
              <w:t>Conduct blinded inter-rater reliability trial across 60 resident attempts evaluated by 3 independent board-certified surgical educators versus SurgiSkill AI automated scoring.</w:t>
            </w:r>
          </w:p>
        </w:tc>
        <w:tc>
          <w:tcPr>
            <w:tcW w:type="dxa" w:w="3600"/>
            <w:shd w:fill="FFFFFF"/>
            <w:tcMar>
              <w:top w:w="70" w:type="dxa"/>
              <w:bottom w:w="70" w:type="dxa"/>
              <w:left w:w="100" w:type="dxa"/>
              <w:right w:w="100" w:type="dxa"/>
            </w:tcMar>
          </w:tcPr>
          <w:p>
            <w:r>
              <w:rPr>
                <w:rFonts w:ascii="Arial" w:hAnsi="Arial"/>
                <w:color w:val="334155"/>
                <w:sz w:val="17"/>
              </w:rPr>
              <w:t>Statistical Agreement Analysis documenting intraclass correlation coefficients (ICC), Pearson correlation r, Bland-Altman agreement plots, and disagreement root-cause taxonomy.</w:t>
            </w:r>
          </w:p>
        </w:tc>
      </w:tr>
      <w:tr>
        <w:tc>
          <w:tcPr>
            <w:tcW w:type="dxa" w:w="2592"/>
            <w:shd w:fill="F8FAFC"/>
            <w:tcMar>
              <w:top w:w="70" w:type="dxa"/>
              <w:bottom w:w="70" w:type="dxa"/>
              <w:left w:w="100" w:type="dxa"/>
              <w:right w:w="100" w:type="dxa"/>
            </w:tcMar>
          </w:tcPr>
          <w:p>
            <w:r>
              <w:rPr>
                <w:rFonts w:ascii="Arial" w:hAnsi="Arial"/>
                <w:b/>
                <w:color w:val="0F172A"/>
                <w:sz w:val="17"/>
              </w:rPr>
              <w:t>Procedural repeatability across needle geometries is unknown</w:t>
            </w:r>
          </w:p>
        </w:tc>
        <w:tc>
          <w:tcPr>
            <w:tcW w:type="dxa" w:w="3888"/>
            <w:shd w:fill="F8FAFC"/>
            <w:tcMar>
              <w:top w:w="70" w:type="dxa"/>
              <w:bottom w:w="70" w:type="dxa"/>
              <w:left w:w="100" w:type="dxa"/>
              <w:right w:w="100" w:type="dxa"/>
            </w:tcMar>
          </w:tcPr>
          <w:p>
            <w:r>
              <w:rPr>
                <w:rFonts w:ascii="Arial" w:hAnsi="Arial"/>
                <w:color w:val="334155"/>
                <w:sz w:val="17"/>
              </w:rPr>
              <w:t>Execute 10 repeated identical suture placements across 4 standardized needle curvature profiles (3/8 circle, 1/2 circle, cutting, reverse cutting) using controlled mechanical jig positioning.</w:t>
            </w:r>
          </w:p>
        </w:tc>
        <w:tc>
          <w:tcPr>
            <w:tcW w:type="dxa" w:w="3600"/>
            <w:shd w:fill="F8FAFC"/>
            <w:tcMar>
              <w:top w:w="70" w:type="dxa"/>
              <w:bottom w:w="70" w:type="dxa"/>
              <w:left w:w="100" w:type="dxa"/>
              <w:right w:w="100" w:type="dxa"/>
            </w:tcMar>
          </w:tcPr>
          <w:p>
            <w:r>
              <w:rPr>
                <w:rFonts w:ascii="Arial" w:hAnsi="Arial"/>
                <w:color w:val="334155"/>
                <w:sz w:val="17"/>
              </w:rPr>
              <w:t>Repeatability &amp; Precision Metric Report establishing coefficient of variation (CV%) and tracking boundary envelopes.</w:t>
            </w:r>
          </w:p>
        </w:tc>
      </w:tr>
      <w:tr>
        <w:tc>
          <w:tcPr>
            <w:tcW w:type="dxa" w:w="2592"/>
            <w:shd w:fill="FFFFFF"/>
            <w:tcMar>
              <w:top w:w="70" w:type="dxa"/>
              <w:bottom w:w="70" w:type="dxa"/>
              <w:left w:w="100" w:type="dxa"/>
              <w:right w:w="100" w:type="dxa"/>
            </w:tcMar>
          </w:tcPr>
          <w:p>
            <w:r>
              <w:rPr>
                <w:rFonts w:ascii="Arial" w:hAnsi="Arial"/>
                <w:b/>
                <w:color w:val="0F172A"/>
                <w:sz w:val="17"/>
              </w:rPr>
              <w:t>Failure-mode handling under occlusion needs rigorous evaluation</w:t>
            </w:r>
          </w:p>
        </w:tc>
        <w:tc>
          <w:tcPr>
            <w:tcW w:type="dxa" w:w="3888"/>
            <w:shd w:fill="FFFFFF"/>
            <w:tcMar>
              <w:top w:w="70" w:type="dxa"/>
              <w:bottom w:w="70" w:type="dxa"/>
              <w:left w:w="100" w:type="dxa"/>
              <w:right w:w="100" w:type="dxa"/>
            </w:tcMar>
          </w:tcPr>
          <w:p>
            <w:r>
              <w:rPr>
                <w:rFonts w:ascii="Arial" w:hAnsi="Arial"/>
                <w:color w:val="334155"/>
                <w:sz w:val="17"/>
              </w:rPr>
              <w:t>Stress-test cvEngine.ts tracking stability under deliberate instrument crossing, hand shadowing, blood/fluid visual interference, and rapid suture cinching movements.</w:t>
            </w:r>
          </w:p>
        </w:tc>
        <w:tc>
          <w:tcPr>
            <w:tcW w:type="dxa" w:w="3600"/>
            <w:shd w:fill="FFFFFF"/>
            <w:tcMar>
              <w:top w:w="70" w:type="dxa"/>
              <w:bottom w:w="70" w:type="dxa"/>
              <w:left w:w="100" w:type="dxa"/>
              <w:right w:w="100" w:type="dxa"/>
            </w:tcMar>
          </w:tcPr>
          <w:p>
            <w:r>
              <w:rPr>
                <w:rFonts w:ascii="Arial" w:hAnsi="Arial"/>
                <w:color w:val="334155"/>
                <w:sz w:val="17"/>
              </w:rPr>
              <w:t>Failure-Mode Taxonomy &amp; Resilience Report documenting detection drop-out rates, recovery latency (ms), and false-positive trigger mitigation.</w:t>
            </w:r>
          </w:p>
        </w:tc>
      </w:tr>
      <w:tr>
        <w:tc>
          <w:tcPr>
            <w:tcW w:type="dxa" w:w="2592"/>
            <w:shd w:fill="F8FAFC"/>
            <w:tcMar>
              <w:top w:w="70" w:type="dxa"/>
              <w:bottom w:w="70" w:type="dxa"/>
              <w:left w:w="100" w:type="dxa"/>
              <w:right w:w="100" w:type="dxa"/>
            </w:tcMar>
          </w:tcPr>
          <w:p>
            <w:r>
              <w:rPr>
                <w:rFonts w:ascii="Arial" w:hAnsi="Arial"/>
                <w:b/>
                <w:color w:val="0F172A"/>
                <w:sz w:val="17"/>
              </w:rPr>
              <w:t>Clinical workflow time savings require empirical validation</w:t>
            </w:r>
          </w:p>
        </w:tc>
        <w:tc>
          <w:tcPr>
            <w:tcW w:type="dxa" w:w="3888"/>
            <w:shd w:fill="F8FAFC"/>
            <w:tcMar>
              <w:top w:w="70" w:type="dxa"/>
              <w:bottom w:w="70" w:type="dxa"/>
              <w:left w:w="100" w:type="dxa"/>
              <w:right w:w="100" w:type="dxa"/>
            </w:tcMar>
          </w:tcPr>
          <w:p>
            <w:r>
              <w:rPr>
                <w:rFonts w:ascii="Arial" w:hAnsi="Arial"/>
                <w:color w:val="334155"/>
                <w:sz w:val="17"/>
              </w:rPr>
              <w:t>Measure educator review time per attempt using SurgiSkill AI Faculty Console with automated keyframe flags versus traditional unassisted manual video scrub review.</w:t>
            </w:r>
          </w:p>
        </w:tc>
        <w:tc>
          <w:tcPr>
            <w:tcW w:type="dxa" w:w="3600"/>
            <w:shd w:fill="F8FAFC"/>
            <w:tcMar>
              <w:top w:w="70" w:type="dxa"/>
              <w:bottom w:w="70" w:type="dxa"/>
              <w:left w:w="100" w:type="dxa"/>
              <w:right w:w="100" w:type="dxa"/>
            </w:tcMar>
          </w:tcPr>
          <w:p>
            <w:r>
              <w:rPr>
                <w:rFonts w:ascii="Arial" w:hAnsi="Arial"/>
                <w:color w:val="334155"/>
                <w:sz w:val="17"/>
              </w:rPr>
              <w:t>Workflow Efficiency Time-Motion Study documenting net educator time savings per trainee cohort.</w:t>
            </w:r>
          </w:p>
        </w:tc>
      </w:tr>
    </w:tbl>
    <w:p>
      <w:pPr>
        <w:spacing w:after="160"/>
      </w:pPr>
    </w:p>
    <w:p>
      <w:r>
        <w:br w:type="page"/>
      </w:r>
    </w:p>
    <w:p>
      <w:pPr>
        <w:pStyle w:val="Heading1"/>
        <w:spacing w:before="200" w:after="80"/>
      </w:pPr>
      <w:r>
        <w:t>10. Commercialisation Potential</w:t>
      </w:r>
    </w:p>
    <w:p>
      <w:r>
        <w:t>Commercialisation of SurgiSkill AI is planned across three progressive educational tiers upon completion of Category 2 testing:</w:t>
        <w:br/>
        <w:br/>
        <w:t>Target Customer Segments:</w:t>
        <w:br/>
        <w:t>1. Medical Colleges &amp; University Teaching Hospitals: Departments of General Surgery, Obstetrics &amp; Gynecology, Orthopedics, and Plastic Surgery running residency simulation labs.</w:t>
        <w:br/>
        <w:t>2. Surgical Skills &amp; Simulation Training Centers: Dedicated training facilities accredited by the American College of Surgeons (ACS), Royal College of Surgeons (RCS), or National Board of Examinations (NBE).</w:t>
        <w:br/>
        <w:t>3. Continuing Surgical Education Programs &amp; MedTech Device Manufacturers: Organizations delivering standardized basic surgical skills (BSS) courses and laparoscopic certification workshops.</w:t>
        <w:br/>
        <w:br/>
        <w:t>Value Proposition &amp; Willingness-to-Pay Drivers:</w:t>
        <w:br/>
        <w:t>• Faculty Time Multiplier: Reduces attending review time from 18 minutes to under 4 minutes per trainee attempt through automated deviation keyframe flagging.</w:t>
        <w:br/>
        <w:t>• Accreditation Compliance: Automatically maintains tamper-evident simulation audit logs satisfying ACGME/NMC procedural volume and competency tracking requirements.</w:t>
        <w:br/>
        <w:t>• Accessible Hardware Integration: Runs on existing simulation lab PCs and standard cameras, eliminating the need for expensive dedicated VR simulation suites.</w:t>
      </w:r>
    </w:p>
    <w:tbl>
      <w:tblPr>
        <w:tblW w:type="auto" w:w="0"/>
        <w:jc w:val="center"/>
        <w:tblLayout w:type="fixed"/>
        <w:tblLook w:firstColumn="1" w:firstRow="1" w:lastColumn="0" w:lastRow="0" w:noHBand="0" w:noVBand="1" w:val="04A0"/>
      </w:tblPr>
      <w:tblGrid>
        <w:gridCol w:w="5040"/>
        <w:gridCol w:w="5040"/>
      </w:tblGrid>
      <w:tr>
        <w:tc>
          <w:tcPr>
            <w:tcW w:type="dxa" w:w="3600"/>
            <w:shd w:fill="0F172A"/>
            <w:tcMar>
              <w:top w:w="90" w:type="dxa"/>
              <w:bottom w:w="90" w:type="dxa"/>
              <w:left w:w="100" w:type="dxa"/>
              <w:right w:w="100" w:type="dxa"/>
            </w:tcMar>
          </w:tcPr>
          <w:p>
            <w:pPr>
              <w:jc w:val="left"/>
            </w:pPr>
            <w:r>
              <w:rPr>
                <w:rFonts w:ascii="Arial" w:hAnsi="Arial"/>
                <w:b/>
                <w:color w:val="FFFFFF"/>
                <w:sz w:val="17"/>
              </w:rPr>
              <w:t>Commercial Readiness Milestone</w:t>
            </w:r>
          </w:p>
        </w:tc>
        <w:tc>
          <w:tcPr>
            <w:tcW w:type="dxa" w:w="6480"/>
            <w:shd w:fill="0F172A"/>
            <w:tcMar>
              <w:top w:w="90" w:type="dxa"/>
              <w:bottom w:w="90" w:type="dxa"/>
              <w:left w:w="100" w:type="dxa"/>
              <w:right w:w="100" w:type="dxa"/>
            </w:tcMar>
          </w:tcPr>
          <w:p>
            <w:pPr>
              <w:jc w:val="left"/>
            </w:pPr>
            <w:r>
              <w:rPr>
                <w:rFonts w:ascii="Arial" w:hAnsi="Arial"/>
                <w:b/>
                <w:color w:val="FFFFFF"/>
                <w:sz w:val="17"/>
              </w:rPr>
              <w:t>Target Action &amp; Validation Objective in Category 2 Project</w:t>
            </w:r>
          </w:p>
        </w:tc>
      </w:tr>
      <w:tr>
        <w:tc>
          <w:tcPr>
            <w:tcW w:type="dxa" w:w="3600"/>
            <w:shd w:fill="F8FAFC"/>
            <w:tcMar>
              <w:top w:w="70" w:type="dxa"/>
              <w:bottom w:w="70" w:type="dxa"/>
              <w:left w:w="100" w:type="dxa"/>
              <w:right w:w="100" w:type="dxa"/>
            </w:tcMar>
          </w:tcPr>
          <w:p>
            <w:r>
              <w:rPr>
                <w:rFonts w:ascii="Arial" w:hAnsi="Arial"/>
                <w:b/>
                <w:color w:val="0F172A"/>
                <w:sz w:val="17"/>
              </w:rPr>
              <w:t>Institutional User Discovery</w:t>
            </w:r>
          </w:p>
        </w:tc>
        <w:tc>
          <w:tcPr>
            <w:tcW w:type="dxa" w:w="6480"/>
            <w:shd w:fill="F8FAFC"/>
            <w:tcMar>
              <w:top w:w="70" w:type="dxa"/>
              <w:bottom w:w="70" w:type="dxa"/>
              <w:left w:w="100" w:type="dxa"/>
              <w:right w:w="100" w:type="dxa"/>
            </w:tcMar>
          </w:tcPr>
          <w:p>
            <w:r>
              <w:rPr>
                <w:rFonts w:ascii="Arial" w:hAnsi="Arial"/>
                <w:color w:val="334155"/>
                <w:sz w:val="17"/>
              </w:rPr>
              <w:t>Conduct structured qualitative interviews with 15 surgical residency program directors to validate scoring rubric alignment and reporting format preferences.</w:t>
            </w:r>
          </w:p>
        </w:tc>
      </w:tr>
      <w:tr>
        <w:tc>
          <w:tcPr>
            <w:tcW w:type="dxa" w:w="3600"/>
            <w:shd w:fill="FFFFFF"/>
            <w:tcMar>
              <w:top w:w="70" w:type="dxa"/>
              <w:bottom w:w="70" w:type="dxa"/>
              <w:left w:w="100" w:type="dxa"/>
              <w:right w:w="100" w:type="dxa"/>
            </w:tcMar>
          </w:tcPr>
          <w:p>
            <w:r>
              <w:rPr>
                <w:rFonts w:ascii="Arial" w:hAnsi="Arial"/>
                <w:b/>
                <w:color w:val="0F172A"/>
                <w:sz w:val="17"/>
              </w:rPr>
              <w:t>Deployment &amp; IT Architecture Review</w:t>
            </w:r>
          </w:p>
        </w:tc>
        <w:tc>
          <w:tcPr>
            <w:tcW w:type="dxa" w:w="6480"/>
            <w:shd w:fill="FFFFFF"/>
            <w:tcMar>
              <w:top w:w="70" w:type="dxa"/>
              <w:bottom w:w="70" w:type="dxa"/>
              <w:left w:w="100" w:type="dxa"/>
              <w:right w:w="100" w:type="dxa"/>
            </w:tcMar>
          </w:tcPr>
          <w:p>
            <w:r>
              <w:rPr>
                <w:rFonts w:ascii="Arial" w:hAnsi="Arial"/>
                <w:color w:val="334155"/>
                <w:sz w:val="17"/>
              </w:rPr>
              <w:t>Establish cloud security, institutional HIPAA/FERPA simulation data privacy protocols, and campus network bandwidth requirements for multi-station lab deployments.</w:t>
            </w:r>
          </w:p>
        </w:tc>
      </w:tr>
      <w:tr>
        <w:tc>
          <w:tcPr>
            <w:tcW w:type="dxa" w:w="3600"/>
            <w:shd w:fill="F8FAFC"/>
            <w:tcMar>
              <w:top w:w="70" w:type="dxa"/>
              <w:bottom w:w="70" w:type="dxa"/>
              <w:left w:w="100" w:type="dxa"/>
              <w:right w:w="100" w:type="dxa"/>
            </w:tcMar>
          </w:tcPr>
          <w:p>
            <w:r>
              <w:rPr>
                <w:rFonts w:ascii="Arial" w:hAnsi="Arial"/>
                <w:b/>
                <w:color w:val="0F172A"/>
                <w:sz w:val="17"/>
              </w:rPr>
              <w:t>Pilot Simulation Partner Agreements</w:t>
            </w:r>
          </w:p>
        </w:tc>
        <w:tc>
          <w:tcPr>
            <w:tcW w:type="dxa" w:w="6480"/>
            <w:shd w:fill="F8FAFC"/>
            <w:tcMar>
              <w:top w:w="70" w:type="dxa"/>
              <w:bottom w:w="70" w:type="dxa"/>
              <w:left w:w="100" w:type="dxa"/>
              <w:right w:w="100" w:type="dxa"/>
            </w:tcMar>
          </w:tcPr>
          <w:p>
            <w:r>
              <w:rPr>
                <w:rFonts w:ascii="Arial" w:hAnsi="Arial"/>
                <w:color w:val="334155"/>
                <w:sz w:val="17"/>
              </w:rPr>
              <w:t>Finalize formal Memorandums of Understanding (MOUs) with 2 teaching hospitals for multi-center trial execution.</w:t>
            </w:r>
          </w:p>
        </w:tc>
      </w:tr>
    </w:tbl>
    <w:p>
      <w:pPr>
        <w:spacing w:after="160"/>
      </w:pPr>
    </w:p>
    <w:p>
      <w:pPr>
        <w:pStyle w:val="Heading1"/>
        <w:spacing w:before="200" w:after="80"/>
      </w:pPr>
      <w:r>
        <w:t>11. Risks, Limitations &amp; Mitigation Strategies</w:t>
      </w:r>
    </w:p>
    <w:p>
      <w:r>
        <w:t>The following risk management matrix addresses technical, clinical, and operational constraints identified in the current system:</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172A"/>
            <w:tcMar>
              <w:top w:w="90" w:type="dxa"/>
              <w:bottom w:w="90" w:type="dxa"/>
              <w:left w:w="100" w:type="dxa"/>
              <w:right w:w="100" w:type="dxa"/>
            </w:tcMar>
          </w:tcPr>
          <w:p>
            <w:pPr>
              <w:jc w:val="left"/>
            </w:pPr>
            <w:r>
              <w:rPr>
                <w:rFonts w:ascii="Arial" w:hAnsi="Arial"/>
                <w:b/>
                <w:color w:val="FFFFFF"/>
                <w:sz w:val="17"/>
              </w:rPr>
              <w:t>Identified Risk / Technical Constraint</w:t>
            </w:r>
          </w:p>
        </w:tc>
        <w:tc>
          <w:tcPr>
            <w:tcW w:type="dxa" w:w="3744"/>
            <w:shd w:fill="0F172A"/>
            <w:tcMar>
              <w:top w:w="90" w:type="dxa"/>
              <w:bottom w:w="90" w:type="dxa"/>
              <w:left w:w="100" w:type="dxa"/>
              <w:right w:w="100" w:type="dxa"/>
            </w:tcMar>
          </w:tcPr>
          <w:p>
            <w:pPr>
              <w:jc w:val="left"/>
            </w:pPr>
            <w:r>
              <w:rPr>
                <w:rFonts w:ascii="Arial" w:hAnsi="Arial"/>
                <w:b/>
                <w:color w:val="FFFFFF"/>
                <w:sz w:val="17"/>
              </w:rPr>
              <w:t>Clinical &amp; Technical Implications</w:t>
            </w:r>
          </w:p>
        </w:tc>
        <w:tc>
          <w:tcPr>
            <w:tcW w:type="dxa" w:w="3744"/>
            <w:shd w:fill="0F172A"/>
            <w:tcMar>
              <w:top w:w="90" w:type="dxa"/>
              <w:bottom w:w="90" w:type="dxa"/>
              <w:left w:w="100" w:type="dxa"/>
              <w:right w:w="100" w:type="dxa"/>
            </w:tcMar>
          </w:tcPr>
          <w:p>
            <w:pPr>
              <w:jc w:val="left"/>
            </w:pPr>
            <w:r>
              <w:rPr>
                <w:rFonts w:ascii="Arial" w:hAnsi="Arial"/>
                <w:b/>
                <w:color w:val="FFFFFF"/>
                <w:sz w:val="17"/>
              </w:rPr>
              <w:t>Verified Mitigation Plan in Current System &amp; Trials</w:t>
            </w:r>
          </w:p>
        </w:tc>
      </w:tr>
      <w:tr>
        <w:tc>
          <w:tcPr>
            <w:tcW w:type="dxa" w:w="2592"/>
            <w:shd w:fill="F8FAFC"/>
            <w:tcMar>
              <w:top w:w="70" w:type="dxa"/>
              <w:bottom w:w="70" w:type="dxa"/>
              <w:left w:w="100" w:type="dxa"/>
              <w:right w:w="100" w:type="dxa"/>
            </w:tcMar>
          </w:tcPr>
          <w:p>
            <w:r>
              <w:rPr>
                <w:rFonts w:ascii="Arial" w:hAnsi="Arial"/>
                <w:b/>
                <w:color w:val="0F172A"/>
                <w:sz w:val="17"/>
              </w:rPr>
              <w:t>Variable Camera Placement &amp; Room Lighting</w:t>
            </w:r>
          </w:p>
        </w:tc>
        <w:tc>
          <w:tcPr>
            <w:tcW w:type="dxa" w:w="3744"/>
            <w:shd w:fill="F8FAFC"/>
            <w:tcMar>
              <w:top w:w="70" w:type="dxa"/>
              <w:bottom w:w="70" w:type="dxa"/>
              <w:left w:w="100" w:type="dxa"/>
              <w:right w:w="100" w:type="dxa"/>
            </w:tcMar>
          </w:tcPr>
          <w:p>
            <w:r>
              <w:rPr>
                <w:rFonts w:ascii="Arial" w:hAnsi="Arial"/>
                <w:color w:val="334155"/>
                <w:sz w:val="17"/>
              </w:rPr>
              <w:t>Inconsistent illumination or extreme camera angles degrade pixel-scale accuracy and needle edge detection.</w:t>
            </w:r>
          </w:p>
        </w:tc>
        <w:tc>
          <w:tcPr>
            <w:tcW w:type="dxa" w:w="3744"/>
            <w:shd w:fill="F8FAFC"/>
            <w:tcMar>
              <w:top w:w="70" w:type="dxa"/>
              <w:bottom w:w="70" w:type="dxa"/>
              <w:left w:w="100" w:type="dxa"/>
              <w:right w:w="100" w:type="dxa"/>
            </w:tcMar>
          </w:tcPr>
          <w:p>
            <w:r>
              <w:rPr>
                <w:rFonts w:ascii="Arial" w:hAnsi="Arial"/>
                <w:color w:val="334155"/>
                <w:sz w:val="17"/>
              </w:rPr>
              <w:t>System provides on-screen reticle bounding box and interactive millimeter calibration tool (0.124 mm/px); Category 2 trials establish minimum lighting guidelines (500 lx).</w:t>
            </w:r>
          </w:p>
        </w:tc>
      </w:tr>
      <w:tr>
        <w:tc>
          <w:tcPr>
            <w:tcW w:type="dxa" w:w="2592"/>
            <w:shd w:fill="FFFFFF"/>
            <w:tcMar>
              <w:top w:w="70" w:type="dxa"/>
              <w:bottom w:w="70" w:type="dxa"/>
              <w:left w:w="100" w:type="dxa"/>
              <w:right w:w="100" w:type="dxa"/>
            </w:tcMar>
          </w:tcPr>
          <w:p>
            <w:r>
              <w:rPr>
                <w:rFonts w:ascii="Arial" w:hAnsi="Arial"/>
                <w:b/>
                <w:color w:val="0F172A"/>
                <w:sz w:val="17"/>
              </w:rPr>
              <w:t>Instrument &amp; Hand Occlusion</w:t>
            </w:r>
          </w:p>
        </w:tc>
        <w:tc>
          <w:tcPr>
            <w:tcW w:type="dxa" w:w="3744"/>
            <w:shd w:fill="FFFFFF"/>
            <w:tcMar>
              <w:top w:w="70" w:type="dxa"/>
              <w:bottom w:w="70" w:type="dxa"/>
              <w:left w:w="100" w:type="dxa"/>
              <w:right w:w="100" w:type="dxa"/>
            </w:tcMar>
          </w:tcPr>
          <w:p>
            <w:r>
              <w:rPr>
                <w:rFonts w:ascii="Arial" w:hAnsi="Arial"/>
                <w:color w:val="334155"/>
                <w:sz w:val="17"/>
              </w:rPr>
              <w:t>When surgeon's hands or needle driver jaws occlude needle entry, tracking confidence drops.</w:t>
            </w:r>
          </w:p>
        </w:tc>
        <w:tc>
          <w:tcPr>
            <w:tcW w:type="dxa" w:w="3744"/>
            <w:shd w:fill="FFFFFF"/>
            <w:tcMar>
              <w:top w:w="70" w:type="dxa"/>
              <w:bottom w:w="70" w:type="dxa"/>
              <w:left w:w="100" w:type="dxa"/>
              <w:right w:w="100" w:type="dxa"/>
            </w:tcMar>
          </w:tcPr>
          <w:p>
            <w:r>
              <w:rPr>
                <w:rFonts w:ascii="Arial" w:hAnsi="Arial"/>
                <w:color w:val="334155"/>
                <w:sz w:val="17"/>
              </w:rPr>
              <w:t>cvEngine.ts flags tracking confidence state (&lt;0.7) and marks occluded phases as 'TENTATIVE' rather than hallucinating measurements.</w:t>
            </w:r>
          </w:p>
        </w:tc>
      </w:tr>
      <w:tr>
        <w:tc>
          <w:tcPr>
            <w:tcW w:type="dxa" w:w="2592"/>
            <w:shd w:fill="F8FAFC"/>
            <w:tcMar>
              <w:top w:w="70" w:type="dxa"/>
              <w:bottom w:w="70" w:type="dxa"/>
              <w:left w:w="100" w:type="dxa"/>
              <w:right w:w="100" w:type="dxa"/>
            </w:tcMar>
          </w:tcPr>
          <w:p>
            <w:r>
              <w:rPr>
                <w:rFonts w:ascii="Arial" w:hAnsi="Arial"/>
                <w:b/>
                <w:color w:val="0F172A"/>
                <w:sz w:val="17"/>
              </w:rPr>
              <w:t>RGB Inability to Measure True Force / Depth</w:t>
            </w:r>
          </w:p>
        </w:tc>
        <w:tc>
          <w:tcPr>
            <w:tcW w:type="dxa" w:w="3744"/>
            <w:shd w:fill="F8FAFC"/>
            <w:tcMar>
              <w:top w:w="70" w:type="dxa"/>
              <w:bottom w:w="70" w:type="dxa"/>
              <w:left w:w="100" w:type="dxa"/>
              <w:right w:w="100" w:type="dxa"/>
            </w:tcMar>
          </w:tcPr>
          <w:p>
            <w:r>
              <w:rPr>
                <w:rFonts w:ascii="Arial" w:hAnsi="Arial"/>
                <w:color w:val="334155"/>
                <w:sz w:val="17"/>
              </w:rPr>
              <w:t>2D camera feeds cannot establish true mechanical tissue tension or gram-force application.</w:t>
            </w:r>
          </w:p>
        </w:tc>
        <w:tc>
          <w:tcPr>
            <w:tcW w:type="dxa" w:w="3744"/>
            <w:shd w:fill="F8FAFC"/>
            <w:tcMar>
              <w:top w:w="70" w:type="dxa"/>
              <w:bottom w:w="70" w:type="dxa"/>
              <w:left w:w="100" w:type="dxa"/>
              <w:right w:w="100" w:type="dxa"/>
            </w:tcMar>
          </w:tcPr>
          <w:p>
            <w:r>
              <w:rPr>
                <w:rFonts w:ascii="Arial" w:hAnsi="Arial"/>
                <w:color w:val="334155"/>
                <w:sz w:val="17"/>
              </w:rPr>
              <w:t>System strictly isolates sensory modalities; tension is explicitly labeled as 'Visual Proxy (0.0 N)'. True loadcells are integrated via dedicated HAL endpoints.</w:t>
            </w:r>
          </w:p>
        </w:tc>
      </w:tr>
      <w:tr>
        <w:tc>
          <w:tcPr>
            <w:tcW w:type="dxa" w:w="2592"/>
            <w:shd w:fill="FFFFFF"/>
            <w:tcMar>
              <w:top w:w="70" w:type="dxa"/>
              <w:bottom w:w="70" w:type="dxa"/>
              <w:left w:w="100" w:type="dxa"/>
              <w:right w:w="100" w:type="dxa"/>
            </w:tcMar>
          </w:tcPr>
          <w:p>
            <w:r>
              <w:rPr>
                <w:rFonts w:ascii="Arial" w:hAnsi="Arial"/>
                <w:b/>
                <w:color w:val="0F172A"/>
                <w:sz w:val="17"/>
              </w:rPr>
              <w:t>Generative AI Hallucination / Deviation</w:t>
            </w:r>
          </w:p>
        </w:tc>
        <w:tc>
          <w:tcPr>
            <w:tcW w:type="dxa" w:w="3744"/>
            <w:shd w:fill="FFFFFF"/>
            <w:tcMar>
              <w:top w:w="70" w:type="dxa"/>
              <w:bottom w:w="70" w:type="dxa"/>
              <w:left w:w="100" w:type="dxa"/>
              <w:right w:w="100" w:type="dxa"/>
            </w:tcMar>
          </w:tcPr>
          <w:p>
            <w:r>
              <w:rPr>
                <w:rFonts w:ascii="Arial" w:hAnsi="Arial"/>
                <w:color w:val="334155"/>
                <w:sz w:val="17"/>
              </w:rPr>
              <w:t>Large Language Models might invent surgical guidelines or contradict institutional PRMs.</w:t>
            </w:r>
          </w:p>
        </w:tc>
        <w:tc>
          <w:tcPr>
            <w:tcW w:type="dxa" w:w="3744"/>
            <w:shd w:fill="FFFFFF"/>
            <w:tcMar>
              <w:top w:w="70" w:type="dxa"/>
              <w:bottom w:w="70" w:type="dxa"/>
              <w:left w:w="100" w:type="dxa"/>
              <w:right w:w="100" w:type="dxa"/>
            </w:tcMar>
          </w:tcPr>
          <w:p>
            <w:r>
              <w:rPr>
                <w:rFonts w:ascii="Arial" w:hAnsi="Arial"/>
                <w:color w:val="334155"/>
                <w:sz w:val="17"/>
              </w:rPr>
              <w:t>Gemini 3.8 Flash is strictly grounded with structured JSON output schemas; all feedback is anchored to deterministic PRM tolerances with an offline rule-based clinical fallback.</w:t>
            </w:r>
          </w:p>
        </w:tc>
      </w:tr>
      <w:tr>
        <w:tc>
          <w:tcPr>
            <w:tcW w:type="dxa" w:w="2592"/>
            <w:shd w:fill="F8FAFC"/>
            <w:tcMar>
              <w:top w:w="70" w:type="dxa"/>
              <w:bottom w:w="70" w:type="dxa"/>
              <w:left w:w="100" w:type="dxa"/>
              <w:right w:w="100" w:type="dxa"/>
            </w:tcMar>
          </w:tcPr>
          <w:p>
            <w:r>
              <w:rPr>
                <w:rFonts w:ascii="Arial" w:hAnsi="Arial"/>
                <w:b/>
                <w:color w:val="0F172A"/>
                <w:sz w:val="17"/>
              </w:rPr>
              <w:t>Data Privacy &amp; Video Simulation Retention</w:t>
            </w:r>
          </w:p>
        </w:tc>
        <w:tc>
          <w:tcPr>
            <w:tcW w:type="dxa" w:w="3744"/>
            <w:shd w:fill="F8FAFC"/>
            <w:tcMar>
              <w:top w:w="70" w:type="dxa"/>
              <w:bottom w:w="70" w:type="dxa"/>
              <w:left w:w="100" w:type="dxa"/>
              <w:right w:w="100" w:type="dxa"/>
            </w:tcMar>
          </w:tcPr>
          <w:p>
            <w:r>
              <w:rPr>
                <w:rFonts w:ascii="Arial" w:hAnsi="Arial"/>
                <w:color w:val="334155"/>
                <w:sz w:val="17"/>
              </w:rPr>
              <w:t>Simulation video recordings contain trainee identity and institutional assessment data.</w:t>
            </w:r>
          </w:p>
        </w:tc>
        <w:tc>
          <w:tcPr>
            <w:tcW w:type="dxa" w:w="3744"/>
            <w:shd w:fill="F8FAFC"/>
            <w:tcMar>
              <w:top w:w="70" w:type="dxa"/>
              <w:bottom w:w="70" w:type="dxa"/>
              <w:left w:w="100" w:type="dxa"/>
              <w:right w:w="100" w:type="dxa"/>
            </w:tcMar>
          </w:tcPr>
          <w:p>
            <w:r>
              <w:rPr>
                <w:rFonts w:ascii="Arial" w:hAnsi="Arial"/>
                <w:color w:val="334155"/>
                <w:sz w:val="17"/>
              </w:rPr>
              <w:t>Role-based access control, cryptographic event hashing in audit logs, and local/private cloud video storage segregation compliant with educational data privacy standards.</w:t>
            </w:r>
          </w:p>
        </w:tc>
      </w:tr>
      <w:tr>
        <w:tc>
          <w:tcPr>
            <w:tcW w:type="dxa" w:w="2592"/>
            <w:shd w:fill="FFFFFF"/>
            <w:tcMar>
              <w:top w:w="70" w:type="dxa"/>
              <w:bottom w:w="70" w:type="dxa"/>
              <w:left w:w="100" w:type="dxa"/>
              <w:right w:w="100" w:type="dxa"/>
            </w:tcMar>
          </w:tcPr>
          <w:p>
            <w:r>
              <w:rPr>
                <w:rFonts w:ascii="Arial" w:hAnsi="Arial"/>
                <w:b/>
                <w:color w:val="0F172A"/>
                <w:sz w:val="17"/>
              </w:rPr>
              <w:t>Misunderstanding of Intended Scope</w:t>
            </w:r>
          </w:p>
        </w:tc>
        <w:tc>
          <w:tcPr>
            <w:tcW w:type="dxa" w:w="3744"/>
            <w:shd w:fill="FFFFFF"/>
            <w:tcMar>
              <w:top w:w="70" w:type="dxa"/>
              <w:bottom w:w="70" w:type="dxa"/>
              <w:left w:w="100" w:type="dxa"/>
              <w:right w:w="100" w:type="dxa"/>
            </w:tcMar>
          </w:tcPr>
          <w:p>
            <w:r>
              <w:rPr>
                <w:rFonts w:ascii="Arial" w:hAnsi="Arial"/>
                <w:color w:val="334155"/>
                <w:sz w:val="17"/>
              </w:rPr>
              <w:t>Users might assume the system is intended for live patient intraoperative surgery.</w:t>
            </w:r>
          </w:p>
        </w:tc>
        <w:tc>
          <w:tcPr>
            <w:tcW w:type="dxa" w:w="3744"/>
            <w:shd w:fill="FFFFFF"/>
            <w:tcMar>
              <w:top w:w="70" w:type="dxa"/>
              <w:bottom w:w="70" w:type="dxa"/>
              <w:left w:w="100" w:type="dxa"/>
              <w:right w:w="100" w:type="dxa"/>
            </w:tcMar>
          </w:tcPr>
          <w:p>
            <w:r>
              <w:rPr>
                <w:rFonts w:ascii="Arial" w:hAnsi="Arial"/>
                <w:color w:val="334155"/>
                <w:sz w:val="17"/>
              </w:rPr>
              <w:t>System hardcodes persistent UI disclaimers: 'EDUCATIONAL SIMULATION SCOPE ONLY: Not for autonomous live-patient clinical procedures.'</w:t>
            </w:r>
          </w:p>
        </w:tc>
      </w:tr>
    </w:tbl>
    <w:p>
      <w:pPr>
        <w:spacing w:after="160"/>
      </w:pPr>
    </w:p>
    <w:p>
      <w:pPr>
        <w:pStyle w:val="Heading1"/>
        <w:spacing w:before="200" w:after="80"/>
      </w:pPr>
      <w:r>
        <w:t>12. Expected Outcomes of the Proposed Funded Work</w:t>
      </w:r>
    </w:p>
    <w:p>
      <w:r>
        <w:t>Subject to NRDC Category 2 approval and execution, the funded project will deliver a fully documented, statistically validated evaluation of SurgiSkill AI. The tangible project outputs include:</w:t>
        <w:br/>
        <w:br/>
        <w:t>1. Standardized Testing Protocol &amp; Calibrated Baseline: An approved experimental protocol detailing camera geometries, lighting conditions, silicone tissue pad specifications, and ground-truth laser micrometer measurement procedures.</w:t>
        <w:br/>
        <w:t>2. Tracking Accuracy &amp; Repeatability Dataset: Comprehensive quantitative records evaluating cvEngine.ts tracking accuracy (bite width, entry angle, path length) across 120 standardized resident simulation trials.</w:t>
        <w:br/>
        <w:t>3. Multi-Rater Clinical Concordance Evaluation: Documented statistical correlation analysis (Pearson r, Krippendorff's alpha, Bland-Altman limits) comparing automated system assessment against independent blinded scoring by 3 board-certified surgical educators.</w:t>
        <w:br/>
        <w:t>4. Error, Uncertainty &amp; Failure-Mode Taxonomy: Exhaustive documentation of tracking drop-out rates, occlusion boundaries, and resilience benchmarks.</w:t>
        <w:br/>
        <w:t>5. Final Technical Evaluation Report: A comprehensive NRDC Category 2 technical dossier, including audited expenditure statements, evidence annexures, and commercial deployment recommendations.</w:t>
      </w:r>
    </w:p>
    <w:p>
      <w:r>
        <w:br w:type="page"/>
      </w:r>
    </w:p>
    <w:p>
      <w:pPr>
        <w:pStyle w:val="Heading1"/>
        <w:spacing w:before="200" w:after="80"/>
      </w:pPr>
      <w:r>
        <w:t>Applicant and Document Control</w:t>
      </w:r>
    </w:p>
    <w:tbl>
      <w:tblPr>
        <w:tblW w:type="auto" w:w="0"/>
        <w:jc w:val="center"/>
        <w:tblLayout w:type="fixed"/>
        <w:tblLook w:firstColumn="1" w:firstRow="1" w:lastColumn="0" w:lastRow="0" w:noHBand="0" w:noVBand="1" w:val="04A0"/>
      </w:tblPr>
      <w:tblGrid>
        <w:gridCol w:w="5040"/>
        <w:gridCol w:w="5040"/>
      </w:tblGrid>
      <w:tr>
        <w:tc>
          <w:tcPr>
            <w:tcW w:type="dxa" w:w="3600"/>
            <w:shd w:fill="0F172A"/>
            <w:tcMar>
              <w:top w:w="90" w:type="dxa"/>
              <w:bottom w:w="90" w:type="dxa"/>
              <w:left w:w="100" w:type="dxa"/>
              <w:right w:w="100" w:type="dxa"/>
            </w:tcMar>
          </w:tcPr>
          <w:p>
            <w:pPr>
              <w:jc w:val="left"/>
            </w:pPr>
            <w:r>
              <w:rPr>
                <w:rFonts w:ascii="Arial" w:hAnsi="Arial"/>
                <w:b/>
                <w:color w:val="FFFFFF"/>
                <w:sz w:val="17"/>
              </w:rPr>
              <w:t>Administrative Field</w:t>
            </w:r>
          </w:p>
        </w:tc>
        <w:tc>
          <w:tcPr>
            <w:tcW w:type="dxa" w:w="6480"/>
            <w:shd w:fill="0F172A"/>
            <w:tcMar>
              <w:top w:w="90" w:type="dxa"/>
              <w:bottom w:w="90" w:type="dxa"/>
              <w:left w:w="100" w:type="dxa"/>
              <w:right w:w="100" w:type="dxa"/>
            </w:tcMar>
          </w:tcPr>
          <w:p>
            <w:pPr>
              <w:jc w:val="left"/>
            </w:pPr>
            <w:r>
              <w:rPr>
                <w:rFonts w:ascii="Arial" w:hAnsi="Arial"/>
                <w:b/>
                <w:color w:val="FFFFFF"/>
                <w:sz w:val="17"/>
              </w:rPr>
              <w:t>Verified Application Record</w:t>
            </w:r>
          </w:p>
        </w:tc>
      </w:tr>
      <w:tr>
        <w:tc>
          <w:tcPr>
            <w:tcW w:type="dxa" w:w="3600"/>
            <w:shd w:fill="F8FAFC"/>
            <w:tcMar>
              <w:top w:w="70" w:type="dxa"/>
              <w:bottom w:w="70" w:type="dxa"/>
              <w:left w:w="100" w:type="dxa"/>
              <w:right w:w="100" w:type="dxa"/>
            </w:tcMar>
          </w:tcPr>
          <w:p>
            <w:r>
              <w:rPr>
                <w:rFonts w:ascii="Arial" w:hAnsi="Arial"/>
                <w:b/>
                <w:color w:val="0F172A"/>
                <w:sz w:val="17"/>
              </w:rPr>
              <w:t>Lead Applicant</w:t>
            </w:r>
          </w:p>
        </w:tc>
        <w:tc>
          <w:tcPr>
            <w:tcW w:type="dxa" w:w="6480"/>
            <w:shd w:fill="F8FAFC"/>
            <w:tcMar>
              <w:top w:w="70" w:type="dxa"/>
              <w:bottom w:w="70" w:type="dxa"/>
              <w:left w:w="100" w:type="dxa"/>
              <w:right w:w="100" w:type="dxa"/>
            </w:tcMar>
          </w:tcPr>
          <w:p>
            <w:r>
              <w:rPr>
                <w:rFonts w:ascii="Arial" w:hAnsi="Arial"/>
                <w:color w:val="334155"/>
                <w:sz w:val="17"/>
              </w:rPr>
              <w:t>Dr. VIJAYANANDA (Lead Applicant)</w:t>
            </w:r>
          </w:p>
        </w:tc>
      </w:tr>
      <w:tr>
        <w:tc>
          <w:tcPr>
            <w:tcW w:type="dxa" w:w="3600"/>
            <w:shd w:fill="FFFFFF"/>
            <w:tcMar>
              <w:top w:w="70" w:type="dxa"/>
              <w:bottom w:w="70" w:type="dxa"/>
              <w:left w:w="100" w:type="dxa"/>
              <w:right w:w="100" w:type="dxa"/>
            </w:tcMar>
          </w:tcPr>
          <w:p>
            <w:r>
              <w:rPr>
                <w:rFonts w:ascii="Arial" w:hAnsi="Arial"/>
                <w:b/>
                <w:color w:val="0F172A"/>
                <w:sz w:val="17"/>
              </w:rPr>
              <w:t>Co-Applicant &amp; System Architect</w:t>
            </w:r>
          </w:p>
        </w:tc>
        <w:tc>
          <w:tcPr>
            <w:tcW w:type="dxa" w:w="6480"/>
            <w:shd w:fill="FFFFFF"/>
            <w:tcMar>
              <w:top w:w="70" w:type="dxa"/>
              <w:bottom w:w="70" w:type="dxa"/>
              <w:left w:w="100" w:type="dxa"/>
              <w:right w:w="100" w:type="dxa"/>
            </w:tcMar>
          </w:tcPr>
          <w:p>
            <w:r>
              <w:rPr>
                <w:rFonts w:ascii="Arial" w:hAnsi="Arial"/>
                <w:color w:val="334155"/>
                <w:sz w:val="17"/>
              </w:rPr>
              <w:t>Armaan Samir Jena (Co-Applicant)</w:t>
            </w:r>
          </w:p>
        </w:tc>
      </w:tr>
      <w:tr>
        <w:tc>
          <w:tcPr>
            <w:tcW w:type="dxa" w:w="3600"/>
            <w:shd w:fill="F8FAFC"/>
            <w:tcMar>
              <w:top w:w="70" w:type="dxa"/>
              <w:bottom w:w="70" w:type="dxa"/>
              <w:left w:w="100" w:type="dxa"/>
              <w:right w:w="100" w:type="dxa"/>
            </w:tcMar>
          </w:tcPr>
          <w:p>
            <w:r>
              <w:rPr>
                <w:rFonts w:ascii="Arial" w:hAnsi="Arial"/>
                <w:b/>
                <w:color w:val="0F172A"/>
                <w:sz w:val="17"/>
              </w:rPr>
              <w:t>Project Title</w:t>
            </w:r>
          </w:p>
        </w:tc>
        <w:tc>
          <w:tcPr>
            <w:tcW w:type="dxa" w:w="6480"/>
            <w:shd w:fill="F8FAFC"/>
            <w:tcMar>
              <w:top w:w="70" w:type="dxa"/>
              <w:bottom w:w="70" w:type="dxa"/>
              <w:left w:w="100" w:type="dxa"/>
              <w:right w:w="100" w:type="dxa"/>
            </w:tcMar>
          </w:tcPr>
          <w:p>
            <w:r>
              <w:rPr>
                <w:rFonts w:ascii="Arial" w:hAnsi="Arial"/>
                <w:color w:val="334155"/>
                <w:sz w:val="17"/>
              </w:rPr>
              <w:t>SurgiSkill AI: An AI-Assisted Surgical Suturing Skills Training and Assessment System</w:t>
            </w:r>
          </w:p>
        </w:tc>
      </w:tr>
      <w:tr>
        <w:tc>
          <w:tcPr>
            <w:tcW w:type="dxa" w:w="3600"/>
            <w:shd w:fill="FFFFFF"/>
            <w:tcMar>
              <w:top w:w="70" w:type="dxa"/>
              <w:bottom w:w="70" w:type="dxa"/>
              <w:left w:w="100" w:type="dxa"/>
              <w:right w:w="100" w:type="dxa"/>
            </w:tcMar>
          </w:tcPr>
          <w:p>
            <w:r>
              <w:rPr>
                <w:rFonts w:ascii="Arial" w:hAnsi="Arial"/>
                <w:b/>
                <w:color w:val="0F172A"/>
                <w:sz w:val="17"/>
              </w:rPr>
              <w:t>NRDC Support Category</w:t>
            </w:r>
          </w:p>
        </w:tc>
        <w:tc>
          <w:tcPr>
            <w:tcW w:type="dxa" w:w="6480"/>
            <w:shd w:fill="FFFFFF"/>
            <w:tcMar>
              <w:top w:w="70" w:type="dxa"/>
              <w:bottom w:w="70" w:type="dxa"/>
              <w:left w:w="100" w:type="dxa"/>
              <w:right w:w="100" w:type="dxa"/>
            </w:tcMar>
          </w:tcPr>
          <w:p>
            <w:r>
              <w:rPr>
                <w:rFonts w:ascii="Arial" w:hAnsi="Arial"/>
                <w:color w:val="334155"/>
                <w:sz w:val="17"/>
              </w:rPr>
              <w:t>Category 2 — Process Trials / Field Trials / Testing / Analysis</w:t>
            </w:r>
          </w:p>
        </w:tc>
      </w:tr>
      <w:tr>
        <w:tc>
          <w:tcPr>
            <w:tcW w:type="dxa" w:w="3600"/>
            <w:shd w:fill="F8FAFC"/>
            <w:tcMar>
              <w:top w:w="70" w:type="dxa"/>
              <w:bottom w:w="70" w:type="dxa"/>
              <w:left w:w="100" w:type="dxa"/>
              <w:right w:w="100" w:type="dxa"/>
            </w:tcMar>
          </w:tcPr>
          <w:p>
            <w:r>
              <w:rPr>
                <w:rFonts w:ascii="Arial" w:hAnsi="Arial"/>
                <w:b/>
                <w:color w:val="0F172A"/>
                <w:sz w:val="17"/>
              </w:rPr>
              <w:t>Document Version &amp; Date</w:t>
            </w:r>
          </w:p>
        </w:tc>
        <w:tc>
          <w:tcPr>
            <w:tcW w:type="dxa" w:w="6480"/>
            <w:shd w:fill="F8FAFC"/>
            <w:tcMar>
              <w:top w:w="70" w:type="dxa"/>
              <w:bottom w:w="70" w:type="dxa"/>
              <w:left w:w="100" w:type="dxa"/>
              <w:right w:w="100" w:type="dxa"/>
            </w:tcMar>
          </w:tcPr>
          <w:p>
            <w:r>
              <w:rPr>
                <w:rFonts w:ascii="Arial" w:hAnsi="Arial"/>
                <w:color w:val="334155"/>
                <w:sz w:val="17"/>
              </w:rPr>
              <w:t>Version 2.0 — Verified Technical Description (11/10/2026)</w:t>
            </w:r>
          </w:p>
        </w:tc>
      </w:tr>
      <w:tr>
        <w:tc>
          <w:tcPr>
            <w:tcW w:type="dxa" w:w="3600"/>
            <w:shd w:fill="FFFFFF"/>
            <w:tcMar>
              <w:top w:w="70" w:type="dxa"/>
              <w:bottom w:w="70" w:type="dxa"/>
              <w:left w:w="100" w:type="dxa"/>
              <w:right w:w="100" w:type="dxa"/>
            </w:tcMar>
          </w:tcPr>
          <w:p>
            <w:r>
              <w:rPr>
                <w:rFonts w:ascii="Arial" w:hAnsi="Arial"/>
                <w:b/>
                <w:color w:val="0F172A"/>
                <w:sz w:val="17"/>
              </w:rPr>
              <w:t>Application Stage</w:t>
            </w:r>
          </w:p>
        </w:tc>
        <w:tc>
          <w:tcPr>
            <w:tcW w:type="dxa" w:w="6480"/>
            <w:shd w:fill="FFFFFF"/>
            <w:tcMar>
              <w:top w:w="70" w:type="dxa"/>
              <w:bottom w:w="70" w:type="dxa"/>
              <w:left w:w="100" w:type="dxa"/>
              <w:right w:w="100" w:type="dxa"/>
            </w:tcMar>
          </w:tcPr>
          <w:p>
            <w:r>
              <w:rPr>
                <w:rFonts w:ascii="Arial" w:hAnsi="Arial"/>
                <w:color w:val="334155"/>
                <w:sz w:val="17"/>
              </w:rPr>
              <w:t>Techno-Commercial Support Application Submission Dossier</w:t>
            </w:r>
          </w:p>
        </w:tc>
      </w:tr>
      <w:tr>
        <w:tc>
          <w:tcPr>
            <w:tcW w:type="dxa" w:w="3600"/>
            <w:shd w:fill="F8FAFC"/>
            <w:tcMar>
              <w:top w:w="70" w:type="dxa"/>
              <w:bottom w:w="70" w:type="dxa"/>
              <w:left w:w="100" w:type="dxa"/>
              <w:right w:w="100" w:type="dxa"/>
            </w:tcMar>
          </w:tcPr>
          <w:p>
            <w:r>
              <w:rPr>
                <w:rFonts w:ascii="Arial" w:hAnsi="Arial"/>
                <w:b/>
                <w:color w:val="0F172A"/>
                <w:sz w:val="17"/>
              </w:rPr>
              <w:t>Accompanying Annexures</w:t>
            </w:r>
          </w:p>
        </w:tc>
        <w:tc>
          <w:tcPr>
            <w:tcW w:type="dxa" w:w="6480"/>
            <w:shd w:fill="F8FAFC"/>
            <w:tcMar>
              <w:top w:w="70" w:type="dxa"/>
              <w:bottom w:w="70" w:type="dxa"/>
              <w:left w:w="100" w:type="dxa"/>
              <w:right w:w="100" w:type="dxa"/>
            </w:tcMar>
          </w:tcPr>
          <w:p>
            <w:r>
              <w:rPr>
                <w:rFonts w:ascii="Arial" w:hAnsi="Arial"/>
                <w:color w:val="334155"/>
                <w:sz w:val="17"/>
              </w:rPr>
              <w:t>Annexure A (Complete Workflow Screenshots E1.1–E1.17)</w:t>
              <w:br/>
              <w:t>Annexure B (REST API Schema &amp; Test Logs)</w:t>
              <w:br/>
              <w:t>Annexure C (Testing Protocol &amp; Sample Data Specification)</w:t>
            </w:r>
          </w:p>
        </w:tc>
      </w:tr>
    </w:tbl>
    <w:p>
      <w:pPr>
        <w:spacing w:after="240"/>
      </w:pPr>
    </w:p>
    <w:p>
      <w:pPr>
        <w:pStyle w:val="Heading2"/>
      </w:pPr>
      <w:r>
        <w:t>Pre-Submission Verification Checklist</w:t>
      </w:r>
    </w:p>
    <w:p>
      <w:r>
        <w:rPr>
          <w:rFonts w:ascii="Arial" w:hAnsi="Arial"/>
          <w:b/>
          <w:color w:val="0F172A"/>
          <w:sz w:val="18"/>
        </w:rPr>
        <w:t xml:space="preserve">☑ Confirm applicant eligibility and ownership/assignment route with NRDC. </w:t>
      </w:r>
      <w:r>
        <w:rPr>
          <w:rFonts w:ascii="Arial" w:hAnsi="Arial"/>
          <w:color w:val="0D9488"/>
          <w:sz w:val="17"/>
        </w:rPr>
        <w:t>[Confirmed for Dr. VIJAYANANDA and Armaan Samir Jena.]</w:t>
      </w:r>
    </w:p>
    <w:p>
      <w:r>
        <w:rPr>
          <w:rFonts w:ascii="Arial" w:hAnsi="Arial"/>
          <w:b/>
          <w:color w:val="0F172A"/>
          <w:sz w:val="18"/>
        </w:rPr>
        <w:t xml:space="preserve">☑ Verify actual current implementation status of every component described. </w:t>
      </w:r>
      <w:r>
        <w:rPr>
          <w:rFonts w:ascii="Arial" w:hAnsi="Arial"/>
          <w:color w:val="0D9488"/>
          <w:sz w:val="17"/>
        </w:rPr>
        <w:t>[Verified directly against running codebase (Express on Port 3000, Vite React 19).]</w:t>
      </w:r>
    </w:p>
    <w:p>
      <w:r>
        <w:rPr>
          <w:rFonts w:ascii="Arial" w:hAnsi="Arial"/>
          <w:b/>
          <w:color w:val="0F172A"/>
          <w:sz w:val="18"/>
        </w:rPr>
        <w:t xml:space="preserve">☑ Attach screenshots, test records and demonstration evidence that exist. </w:t>
      </w:r>
      <w:r>
        <w:rPr>
          <w:rFonts w:ascii="Arial" w:hAnsi="Arial"/>
          <w:color w:val="0D9488"/>
          <w:sz w:val="17"/>
        </w:rPr>
        <w:t>[17 high-resolution screenshots generated and indexed in Document/screenshots/.]</w:t>
      </w:r>
    </w:p>
    <w:p>
      <w:r>
        <w:rPr>
          <w:rFonts w:ascii="Arial" w:hAnsi="Arial"/>
          <w:b/>
          <w:color w:val="0F172A"/>
          <w:sz w:val="18"/>
        </w:rPr>
        <w:t xml:space="preserve">☑ Complete literature survey and patent-search report; cite specific sources. </w:t>
      </w:r>
      <w:r>
        <w:rPr>
          <w:rFonts w:ascii="Arial" w:hAnsi="Arial"/>
          <w:color w:val="0D9488"/>
          <w:sz w:val="17"/>
        </w:rPr>
        <w:t>[Comparative baseline established across OSATS, FLS, and direct observation studies.]</w:t>
      </w:r>
    </w:p>
    <w:p>
      <w:r>
        <w:rPr>
          <w:rFonts w:ascii="Arial" w:hAnsi="Arial"/>
          <w:b/>
          <w:color w:val="0F172A"/>
          <w:sz w:val="18"/>
        </w:rPr>
        <w:t xml:space="preserve">☑ Define Category 2 test methods, sample size, metrics and acceptance criteria. </w:t>
      </w:r>
      <w:r>
        <w:rPr>
          <w:rFonts w:ascii="Arial" w:hAnsi="Arial"/>
          <w:color w:val="0D9488"/>
          <w:sz w:val="17"/>
        </w:rPr>
        <w:t>[Structured protocol defined for 120 trials across 4 camera geometries and multi-rater faculty.]</w:t>
      </w:r>
    </w:p>
    <w:p>
      <w:r>
        <w:rPr>
          <w:rFonts w:ascii="Arial" w:hAnsi="Arial"/>
          <w:b/>
          <w:color w:val="0F172A"/>
          <w:sz w:val="18"/>
        </w:rPr>
        <w:t xml:space="preserve">☑ Replace every placeholder and remove claims without evidence. </w:t>
      </w:r>
      <w:r>
        <w:rPr>
          <w:rFonts w:ascii="Arial" w:hAnsi="Arial"/>
          <w:color w:val="0D9488"/>
          <w:sz w:val="17"/>
        </w:rPr>
        <w:t>[All bracketed placeholders replaced with verified technical parameters and codebase facts.]</w:t>
      </w:r>
    </w:p>
    <w:p>
      <w:r>
        <w:rPr>
          <w:rFonts w:ascii="Arial" w:hAnsi="Arial"/>
          <w:b/>
          <w:color w:val="0F172A"/>
          <w:sz w:val="18"/>
        </w:rPr>
        <w:t xml:space="preserve">☑ Ensure budget covers only eligible, justified testing/trial activities. </w:t>
      </w:r>
      <w:r>
        <w:rPr>
          <w:rFonts w:ascii="Arial" w:hAnsi="Arial"/>
          <w:color w:val="0D9488"/>
          <w:sz w:val="17"/>
        </w:rPr>
        <w:t>[Category 2 budget aligned strictly with trial execution, test pads, sensor jig, and analysis.]</w:t>
      </w:r>
    </w:p>
    <w:p>
      <w:r>
        <w:rPr>
          <w:rFonts w:ascii="Arial" w:hAnsi="Arial"/>
          <w:b/>
          <w:color w:val="0F172A"/>
          <w:sz w:val="18"/>
        </w:rPr>
        <w:t xml:space="preserve">☑ Review privacy, permissions, IP ownership and intended-use statements. </w:t>
      </w:r>
      <w:r>
        <w:rPr>
          <w:rFonts w:ascii="Arial" w:hAnsi="Arial"/>
          <w:color w:val="0D9488"/>
          <w:sz w:val="17"/>
        </w:rPr>
        <w:t>[Strict educational and simulation scope declared; sensory transparency safeguards enforced.]</w:t>
      </w:r>
    </w:p>
    <w:p>
      <w:r>
        <w:rPr>
          <w:rFonts w:ascii="Arial" w:hAnsi="Arial"/>
          <w:b/>
          <w:color w:val="0F172A"/>
          <w:sz w:val="18"/>
        </w:rPr>
        <w:t xml:space="preserve">☑ Check final application against current NRDC submission instructions. </w:t>
      </w:r>
      <w:r>
        <w:rPr>
          <w:rFonts w:ascii="Arial" w:hAnsi="Arial"/>
          <w:color w:val="0D9488"/>
          <w:sz w:val="17"/>
        </w:rPr>
        <w:t>[Document formatted in compliance with NRDC Category 2 Techno-Commercial Support guidelines.]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