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AF969" w14:textId="77777777" w:rsidR="00614C7B" w:rsidRDefault="00000000">
      <w:pPr>
        <w:spacing w:after="40"/>
      </w:pPr>
      <w:r>
        <w:rPr>
          <w:rFonts w:ascii="Arial" w:hAnsi="Arial"/>
          <w:b/>
          <w:color w:val="0D9488"/>
          <w:sz w:val="17"/>
        </w:rPr>
        <w:t>NATIONAL RESEARCH DEVELOPMENT CORPORATION (NRDC)  •  ADVANTAGES &amp; FUNDING DISCLOSURE</w:t>
      </w:r>
    </w:p>
    <w:p w14:paraId="1FBEF661" w14:textId="77777777" w:rsidR="00614C7B" w:rsidRDefault="00000000">
      <w:pPr>
        <w:spacing w:after="60"/>
      </w:pPr>
      <w:r>
        <w:rPr>
          <w:rFonts w:ascii="Arial" w:hAnsi="Arial"/>
          <w:b/>
          <w:color w:val="0F172A"/>
          <w:sz w:val="36"/>
        </w:rPr>
        <w:t>ANNEXURE: ADVANTAGES ANNEXURE &amp; OTHER-FUNDING DISCLOSURE</w:t>
      </w:r>
    </w:p>
    <w:p w14:paraId="7BFEBAC8" w14:textId="77777777" w:rsidR="00614C7B" w:rsidRDefault="00000000">
      <w:pPr>
        <w:spacing w:after="240"/>
      </w:pPr>
      <w:r>
        <w:rPr>
          <w:rFonts w:ascii="Arial" w:hAnsi="Arial"/>
          <w:color w:val="475569"/>
          <w:sz w:val="21"/>
        </w:rPr>
        <w:t>Techno-Commercial Differentiation, Societal Impact, and Statutory Declaration of Non-Duplication of Funding</w:t>
      </w:r>
    </w:p>
    <w:p w14:paraId="765078CC" w14:textId="77777777" w:rsidR="00614C7B" w:rsidRDefault="00000000">
      <w:pPr>
        <w:pStyle w:val="Heading1"/>
      </w:pPr>
      <w:r>
        <w:t>PART 1: ADVANTAGES ANNEXURE (TECHNO-COMMERCIAL MERITS)</w:t>
      </w:r>
    </w:p>
    <w:p w14:paraId="08372AEA" w14:textId="77777777" w:rsidR="00614C7B" w:rsidRDefault="00000000">
      <w:r>
        <w:t>SurgiSkill AI introduces five significant techno-commercial and educational advantages over conventional surgical training methods:</w:t>
      </w:r>
    </w:p>
    <w:tbl>
      <w:tblPr>
        <w:tblW w:w="0" w:type="auto"/>
        <w:jc w:val="center"/>
        <w:tblLayout w:type="fixed"/>
        <w:tblLook w:val="04A0" w:firstRow="1" w:lastRow="0" w:firstColumn="1" w:lastColumn="0" w:noHBand="0" w:noVBand="1"/>
      </w:tblPr>
      <w:tblGrid>
        <w:gridCol w:w="2592"/>
        <w:gridCol w:w="3744"/>
        <w:gridCol w:w="3744"/>
      </w:tblGrid>
      <w:tr w:rsidR="00614C7B" w14:paraId="31B7152B" w14:textId="77777777">
        <w:trPr>
          <w:jc w:val="center"/>
        </w:trPr>
        <w:tc>
          <w:tcPr>
            <w:tcW w:w="2592" w:type="dxa"/>
            <w:shd w:val="clear" w:color="auto" w:fill="0F172A"/>
            <w:tcMar>
              <w:top w:w="70" w:type="dxa"/>
              <w:left w:w="90" w:type="dxa"/>
              <w:bottom w:w="70" w:type="dxa"/>
              <w:right w:w="90" w:type="dxa"/>
            </w:tcMar>
          </w:tcPr>
          <w:p w14:paraId="47760FC6" w14:textId="77777777" w:rsidR="00614C7B" w:rsidRDefault="00000000">
            <w:r>
              <w:rPr>
                <w:rFonts w:ascii="Arial" w:hAnsi="Arial"/>
                <w:b/>
                <w:color w:val="FFFFFF"/>
                <w:sz w:val="17"/>
              </w:rPr>
              <w:t>Advantage Dimension</w:t>
            </w:r>
          </w:p>
        </w:tc>
        <w:tc>
          <w:tcPr>
            <w:tcW w:w="3744" w:type="dxa"/>
            <w:shd w:val="clear" w:color="auto" w:fill="0F172A"/>
            <w:tcMar>
              <w:top w:w="70" w:type="dxa"/>
              <w:left w:w="90" w:type="dxa"/>
              <w:bottom w:w="70" w:type="dxa"/>
              <w:right w:w="90" w:type="dxa"/>
            </w:tcMar>
          </w:tcPr>
          <w:p w14:paraId="174804AF" w14:textId="77777777" w:rsidR="00614C7B" w:rsidRDefault="00000000">
            <w:r>
              <w:rPr>
                <w:rFonts w:ascii="Arial" w:hAnsi="Arial"/>
                <w:b/>
                <w:color w:val="FFFFFF"/>
                <w:sz w:val="17"/>
              </w:rPr>
              <w:t>Current Conventional State</w:t>
            </w:r>
          </w:p>
        </w:tc>
        <w:tc>
          <w:tcPr>
            <w:tcW w:w="3744" w:type="dxa"/>
            <w:shd w:val="clear" w:color="auto" w:fill="0F172A"/>
            <w:tcMar>
              <w:top w:w="70" w:type="dxa"/>
              <w:left w:w="90" w:type="dxa"/>
              <w:bottom w:w="70" w:type="dxa"/>
              <w:right w:w="90" w:type="dxa"/>
            </w:tcMar>
          </w:tcPr>
          <w:p w14:paraId="40E87AAD" w14:textId="77777777" w:rsidR="00614C7B" w:rsidRDefault="00000000">
            <w:r>
              <w:rPr>
                <w:rFonts w:ascii="Arial" w:hAnsi="Arial"/>
                <w:b/>
                <w:color w:val="FFFFFF"/>
                <w:sz w:val="17"/>
              </w:rPr>
              <w:t>SurgiSkill AI Demonstrated Advantage</w:t>
            </w:r>
          </w:p>
        </w:tc>
      </w:tr>
      <w:tr w:rsidR="00614C7B" w14:paraId="1836BC0C" w14:textId="77777777">
        <w:trPr>
          <w:jc w:val="center"/>
        </w:trPr>
        <w:tc>
          <w:tcPr>
            <w:tcW w:w="2592" w:type="dxa"/>
            <w:shd w:val="clear" w:color="auto" w:fill="F8FAFC"/>
            <w:tcMar>
              <w:top w:w="60" w:type="dxa"/>
              <w:left w:w="90" w:type="dxa"/>
              <w:bottom w:w="60" w:type="dxa"/>
              <w:right w:w="90" w:type="dxa"/>
            </w:tcMar>
          </w:tcPr>
          <w:p w14:paraId="57B3CFB0" w14:textId="77777777" w:rsidR="00614C7B" w:rsidRDefault="00000000">
            <w:r>
              <w:rPr>
                <w:rFonts w:ascii="Arial" w:hAnsi="Arial"/>
                <w:b/>
                <w:color w:val="0F172A"/>
                <w:sz w:val="16"/>
              </w:rPr>
              <w:t>1. Measurement Objectivity &amp; Millimeter Precision</w:t>
            </w:r>
          </w:p>
        </w:tc>
        <w:tc>
          <w:tcPr>
            <w:tcW w:w="3744" w:type="dxa"/>
            <w:shd w:val="clear" w:color="auto" w:fill="F8FAFC"/>
            <w:tcMar>
              <w:top w:w="60" w:type="dxa"/>
              <w:left w:w="90" w:type="dxa"/>
              <w:bottom w:w="60" w:type="dxa"/>
              <w:right w:w="90" w:type="dxa"/>
            </w:tcMar>
          </w:tcPr>
          <w:p w14:paraId="28336E34" w14:textId="77777777" w:rsidR="00614C7B" w:rsidRDefault="00000000">
            <w:r>
              <w:rPr>
                <w:rFonts w:ascii="Arial" w:hAnsi="Arial"/>
                <w:color w:val="334155"/>
                <w:sz w:val="16"/>
              </w:rPr>
              <w:t>Subjective visual impressions (e.g. 'needle entered obliquely' or 'bite was too small') without quantitative evidence.</w:t>
            </w:r>
          </w:p>
        </w:tc>
        <w:tc>
          <w:tcPr>
            <w:tcW w:w="3744" w:type="dxa"/>
            <w:shd w:val="clear" w:color="auto" w:fill="F8FAFC"/>
            <w:tcMar>
              <w:top w:w="60" w:type="dxa"/>
              <w:left w:w="90" w:type="dxa"/>
              <w:bottom w:w="60" w:type="dxa"/>
              <w:right w:w="90" w:type="dxa"/>
            </w:tcMar>
          </w:tcPr>
          <w:p w14:paraId="58177D82" w14:textId="77777777" w:rsidR="00614C7B" w:rsidRDefault="00000000">
            <w:r>
              <w:rPr>
                <w:rFonts w:ascii="Arial" w:hAnsi="Arial"/>
                <w:color w:val="334155"/>
                <w:sz w:val="16"/>
              </w:rPr>
              <w:t>Continuous 60 FPS computation of needle entry angle (85°-95°), bite width millimeters (0.124 mm/px), and tool path length.</w:t>
            </w:r>
          </w:p>
        </w:tc>
      </w:tr>
      <w:tr w:rsidR="00614C7B" w14:paraId="1B279A9E" w14:textId="77777777">
        <w:trPr>
          <w:jc w:val="center"/>
        </w:trPr>
        <w:tc>
          <w:tcPr>
            <w:tcW w:w="2592" w:type="dxa"/>
            <w:shd w:val="clear" w:color="auto" w:fill="FFFFFF"/>
            <w:tcMar>
              <w:top w:w="60" w:type="dxa"/>
              <w:left w:w="90" w:type="dxa"/>
              <w:bottom w:w="60" w:type="dxa"/>
              <w:right w:w="90" w:type="dxa"/>
            </w:tcMar>
          </w:tcPr>
          <w:p w14:paraId="06D8C758" w14:textId="77777777" w:rsidR="00614C7B" w:rsidRDefault="00000000">
            <w:r>
              <w:rPr>
                <w:rFonts w:ascii="Arial" w:hAnsi="Arial"/>
                <w:b/>
                <w:color w:val="0F172A"/>
                <w:sz w:val="16"/>
              </w:rPr>
              <w:t>2. Faculty Time Efficiency Multiplier</w:t>
            </w:r>
          </w:p>
        </w:tc>
        <w:tc>
          <w:tcPr>
            <w:tcW w:w="3744" w:type="dxa"/>
            <w:shd w:val="clear" w:color="auto" w:fill="FFFFFF"/>
            <w:tcMar>
              <w:top w:w="60" w:type="dxa"/>
              <w:left w:w="90" w:type="dxa"/>
              <w:bottom w:w="60" w:type="dxa"/>
              <w:right w:w="90" w:type="dxa"/>
            </w:tcMar>
          </w:tcPr>
          <w:p w14:paraId="45642A2C" w14:textId="77777777" w:rsidR="00614C7B" w:rsidRDefault="00000000">
            <w:r>
              <w:rPr>
                <w:rFonts w:ascii="Arial" w:hAnsi="Arial"/>
                <w:color w:val="334155"/>
                <w:sz w:val="16"/>
              </w:rPr>
              <w:t>Attending surgeons spend 15–20 minutes reviewing and scrubbing a single 5-minute video recording.</w:t>
            </w:r>
          </w:p>
        </w:tc>
        <w:tc>
          <w:tcPr>
            <w:tcW w:w="3744" w:type="dxa"/>
            <w:shd w:val="clear" w:color="auto" w:fill="FFFFFF"/>
            <w:tcMar>
              <w:top w:w="60" w:type="dxa"/>
              <w:left w:w="90" w:type="dxa"/>
              <w:bottom w:w="60" w:type="dxa"/>
              <w:right w:w="90" w:type="dxa"/>
            </w:tcMar>
          </w:tcPr>
          <w:p w14:paraId="2EB2C475" w14:textId="77777777" w:rsidR="00614C7B" w:rsidRDefault="00000000">
            <w:r>
              <w:rPr>
                <w:rFonts w:ascii="Arial" w:hAnsi="Arial"/>
                <w:color w:val="334155"/>
                <w:sz w:val="16"/>
              </w:rPr>
              <w:t>Automated deviation keyframe flagging reduces faculty review duration to under 4 minutes per attempt (400% efficiency gain).</w:t>
            </w:r>
          </w:p>
        </w:tc>
      </w:tr>
      <w:tr w:rsidR="00614C7B" w14:paraId="69F36892" w14:textId="77777777">
        <w:trPr>
          <w:jc w:val="center"/>
        </w:trPr>
        <w:tc>
          <w:tcPr>
            <w:tcW w:w="2592" w:type="dxa"/>
            <w:shd w:val="clear" w:color="auto" w:fill="F8FAFC"/>
            <w:tcMar>
              <w:top w:w="60" w:type="dxa"/>
              <w:left w:w="90" w:type="dxa"/>
              <w:bottom w:w="60" w:type="dxa"/>
              <w:right w:w="90" w:type="dxa"/>
            </w:tcMar>
          </w:tcPr>
          <w:p w14:paraId="59635845" w14:textId="77777777" w:rsidR="00614C7B" w:rsidRDefault="00000000">
            <w:r>
              <w:rPr>
                <w:rFonts w:ascii="Arial" w:hAnsi="Arial"/>
                <w:b/>
                <w:color w:val="0F172A"/>
                <w:sz w:val="16"/>
              </w:rPr>
              <w:t>3. Explainable Clinical Biomechanics</w:t>
            </w:r>
          </w:p>
        </w:tc>
        <w:tc>
          <w:tcPr>
            <w:tcW w:w="3744" w:type="dxa"/>
            <w:shd w:val="clear" w:color="auto" w:fill="F8FAFC"/>
            <w:tcMar>
              <w:top w:w="60" w:type="dxa"/>
              <w:left w:w="90" w:type="dxa"/>
              <w:bottom w:w="60" w:type="dxa"/>
              <w:right w:w="90" w:type="dxa"/>
            </w:tcMar>
          </w:tcPr>
          <w:p w14:paraId="533E23BC" w14:textId="77777777" w:rsidR="00614C7B" w:rsidRDefault="00000000">
            <w:r>
              <w:rPr>
                <w:rFonts w:ascii="Arial" w:hAnsi="Arial"/>
                <w:color w:val="334155"/>
                <w:sz w:val="16"/>
              </w:rPr>
              <w:t>Traditional checklists record pass/fail without explaining tissue biology or biomechanics.</w:t>
            </w:r>
          </w:p>
        </w:tc>
        <w:tc>
          <w:tcPr>
            <w:tcW w:w="3744" w:type="dxa"/>
            <w:shd w:val="clear" w:color="auto" w:fill="F8FAFC"/>
            <w:tcMar>
              <w:top w:w="60" w:type="dxa"/>
              <w:left w:w="90" w:type="dxa"/>
              <w:bottom w:w="60" w:type="dxa"/>
              <w:right w:w="90" w:type="dxa"/>
            </w:tcMar>
          </w:tcPr>
          <w:p w14:paraId="11EDC6E1" w14:textId="77777777" w:rsidR="00614C7B" w:rsidRDefault="00000000">
            <w:r>
              <w:rPr>
                <w:rFonts w:ascii="Arial" w:hAnsi="Arial"/>
                <w:color w:val="334155"/>
                <w:sz w:val="16"/>
              </w:rPr>
              <w:t>Gemini 3.8 Flash multimodal reasoning synthesizes why oblique angles cause dermal inversion and recommends targeted 5-minute drills.</w:t>
            </w:r>
          </w:p>
        </w:tc>
      </w:tr>
      <w:tr w:rsidR="00614C7B" w14:paraId="4211BC3F" w14:textId="77777777">
        <w:trPr>
          <w:jc w:val="center"/>
        </w:trPr>
        <w:tc>
          <w:tcPr>
            <w:tcW w:w="2592" w:type="dxa"/>
            <w:shd w:val="clear" w:color="auto" w:fill="FFFFFF"/>
            <w:tcMar>
              <w:top w:w="60" w:type="dxa"/>
              <w:left w:w="90" w:type="dxa"/>
              <w:bottom w:w="60" w:type="dxa"/>
              <w:right w:w="90" w:type="dxa"/>
            </w:tcMar>
          </w:tcPr>
          <w:p w14:paraId="39FFAA24" w14:textId="77777777" w:rsidR="00614C7B" w:rsidRDefault="00000000">
            <w:r>
              <w:rPr>
                <w:rFonts w:ascii="Arial" w:hAnsi="Arial"/>
                <w:b/>
                <w:color w:val="0F172A"/>
                <w:sz w:val="16"/>
              </w:rPr>
              <w:t>4. Dual Evaluation Governance</w:t>
            </w:r>
          </w:p>
        </w:tc>
        <w:tc>
          <w:tcPr>
            <w:tcW w:w="3744" w:type="dxa"/>
            <w:shd w:val="clear" w:color="auto" w:fill="FFFFFF"/>
            <w:tcMar>
              <w:top w:w="60" w:type="dxa"/>
              <w:left w:w="90" w:type="dxa"/>
              <w:bottom w:w="60" w:type="dxa"/>
              <w:right w:w="90" w:type="dxa"/>
            </w:tcMar>
          </w:tcPr>
          <w:p w14:paraId="202EFFA5" w14:textId="77777777" w:rsidR="00614C7B" w:rsidRDefault="00000000">
            <w:r>
              <w:rPr>
                <w:rFonts w:ascii="Arial" w:hAnsi="Arial"/>
                <w:color w:val="334155"/>
                <w:sz w:val="16"/>
              </w:rPr>
              <w:t>Total reliance on either automated scoring or unassisted subjective review.</w:t>
            </w:r>
          </w:p>
        </w:tc>
        <w:tc>
          <w:tcPr>
            <w:tcW w:w="3744" w:type="dxa"/>
            <w:shd w:val="clear" w:color="auto" w:fill="FFFFFF"/>
            <w:tcMar>
              <w:top w:w="60" w:type="dxa"/>
              <w:left w:w="90" w:type="dxa"/>
              <w:bottom w:w="60" w:type="dxa"/>
              <w:right w:w="90" w:type="dxa"/>
            </w:tcMar>
          </w:tcPr>
          <w:p w14:paraId="46122B3E" w14:textId="77777777" w:rsidR="00614C7B" w:rsidRDefault="00000000">
            <w:r>
              <w:rPr>
                <w:rFonts w:ascii="Arial" w:hAnsi="Arial"/>
                <w:color w:val="334155"/>
                <w:sz w:val="16"/>
              </w:rPr>
              <w:t>Attending surgeons maintain final scoring authority with mandatory clinical justifications for any AI score override.</w:t>
            </w:r>
          </w:p>
        </w:tc>
      </w:tr>
      <w:tr w:rsidR="00614C7B" w14:paraId="12DF4CA6" w14:textId="77777777">
        <w:trPr>
          <w:jc w:val="center"/>
        </w:trPr>
        <w:tc>
          <w:tcPr>
            <w:tcW w:w="2592" w:type="dxa"/>
            <w:shd w:val="clear" w:color="auto" w:fill="F8FAFC"/>
            <w:tcMar>
              <w:top w:w="60" w:type="dxa"/>
              <w:left w:w="90" w:type="dxa"/>
              <w:bottom w:w="60" w:type="dxa"/>
              <w:right w:w="90" w:type="dxa"/>
            </w:tcMar>
          </w:tcPr>
          <w:p w14:paraId="3D6F84BE" w14:textId="77777777" w:rsidR="00614C7B" w:rsidRDefault="00000000">
            <w:r>
              <w:rPr>
                <w:rFonts w:ascii="Arial" w:hAnsi="Arial"/>
                <w:b/>
                <w:color w:val="0F172A"/>
                <w:sz w:val="16"/>
              </w:rPr>
              <w:t>5. Hardware Cost Accessibility</w:t>
            </w:r>
          </w:p>
        </w:tc>
        <w:tc>
          <w:tcPr>
            <w:tcW w:w="3744" w:type="dxa"/>
            <w:shd w:val="clear" w:color="auto" w:fill="F8FAFC"/>
            <w:tcMar>
              <w:top w:w="60" w:type="dxa"/>
              <w:left w:w="90" w:type="dxa"/>
              <w:bottom w:w="60" w:type="dxa"/>
              <w:right w:w="90" w:type="dxa"/>
            </w:tcMar>
          </w:tcPr>
          <w:p w14:paraId="7A444E47" w14:textId="77777777" w:rsidR="00614C7B" w:rsidRDefault="00000000">
            <w:r>
              <w:rPr>
                <w:rFonts w:ascii="Arial" w:hAnsi="Arial"/>
                <w:color w:val="334155"/>
                <w:sz w:val="16"/>
              </w:rPr>
              <w:t>Dedicated proprietary virtual-reality simulators cost $40,000–$120,000 per simulator station.</w:t>
            </w:r>
          </w:p>
        </w:tc>
        <w:tc>
          <w:tcPr>
            <w:tcW w:w="3744" w:type="dxa"/>
            <w:shd w:val="clear" w:color="auto" w:fill="F8FAFC"/>
            <w:tcMar>
              <w:top w:w="60" w:type="dxa"/>
              <w:left w:w="90" w:type="dxa"/>
              <w:bottom w:w="60" w:type="dxa"/>
              <w:right w:w="90" w:type="dxa"/>
            </w:tcMar>
          </w:tcPr>
          <w:p w14:paraId="297BF128" w14:textId="77777777" w:rsidR="00614C7B" w:rsidRDefault="00000000">
            <w:r>
              <w:rPr>
                <w:rFonts w:ascii="Arial" w:hAnsi="Arial"/>
                <w:color w:val="334155"/>
                <w:sz w:val="16"/>
              </w:rPr>
              <w:t>Operates over standard PCs and commodity $50 USB webcams on generic silicone pads, reducing adoption barrier by over 95%.</w:t>
            </w:r>
          </w:p>
        </w:tc>
      </w:tr>
    </w:tbl>
    <w:p w14:paraId="1B8C29DD" w14:textId="77777777" w:rsidR="00614C7B" w:rsidRDefault="00614C7B">
      <w:pPr>
        <w:spacing w:after="160"/>
      </w:pPr>
    </w:p>
    <w:p w14:paraId="6B2EC78B" w14:textId="77777777" w:rsidR="00614C7B" w:rsidRDefault="00000000">
      <w:pPr>
        <w:pStyle w:val="Heading1"/>
      </w:pPr>
      <w:r>
        <w:t>PART 2: STATUTORY OTHER-FUNDING DISCLOSURE</w:t>
      </w:r>
    </w:p>
    <w:p w14:paraId="7CAA0B8A" w14:textId="77777777" w:rsidR="00614C7B" w:rsidRDefault="00000000">
      <w:r>
        <w:t>In compliance with General Financial Rules (GFR) and NRDC techno-commercial support regulations, the applicants make the following statutory disclosure regarding financial support:</w:t>
      </w:r>
      <w:r>
        <w:br/>
      </w:r>
      <w:r>
        <w:br/>
        <w:t>1. Declaration of Non-Duplication:</w:t>
      </w:r>
      <w:r>
        <w:br/>
        <w:t>We hereby declare that NO financial assistance has been received, applied for, or sanctioned from any other Central or State Government Ministry, Department, or Agency (including DST, DBT, BIRAC, MeitY, ICMR, CSIR, or AICTE), or private funding agency, for the specific activities, testing protocols, consumables, and hardware items budgeted under this Category 2 proposal (₹1,70,000).</w:t>
      </w:r>
      <w:r>
        <w:br/>
      </w:r>
      <w:r>
        <w:br/>
        <w:t>2. Previous Funding History:</w:t>
      </w:r>
      <w:r>
        <w:br/>
        <w:t>The initial conceptual development of SurgiSkill AI and prototype software implementation was self-</w:t>
      </w:r>
      <w:r>
        <w:lastRenderedPageBreak/>
        <w:t>funded by the applicants using personal savings and internal academic simulation laboratory facilities. Zero external grant funds have been drawn for the prototype.</w:t>
      </w:r>
      <w:r>
        <w:br/>
      </w:r>
      <w:r>
        <w:br/>
        <w:t>3. Commitment of Non-Double Dipping:</w:t>
      </w:r>
      <w:r>
        <w:br/>
        <w:t>The applicants undertake that in the event of receiving any concurrent funding from any other agency for identical activities during the tenure of the NRDC grant, the same shall be immediately communicated in writing to NRDC, and unspent grant funds will be refunded.</w:t>
      </w:r>
    </w:p>
    <w:tbl>
      <w:tblPr>
        <w:tblW w:w="0" w:type="auto"/>
        <w:jc w:val="center"/>
        <w:tblLook w:val="04A0" w:firstRow="1" w:lastRow="0" w:firstColumn="1" w:lastColumn="0" w:noHBand="0" w:noVBand="1"/>
      </w:tblPr>
      <w:tblGrid>
        <w:gridCol w:w="10080"/>
      </w:tblGrid>
      <w:tr w:rsidR="00614C7B" w14:paraId="166412A6" w14:textId="77777777">
        <w:trPr>
          <w:jc w:val="center"/>
        </w:trPr>
        <w:tc>
          <w:tcPr>
            <w:tcW w:w="10080" w:type="dxa"/>
            <w:tcBorders>
              <w:left w:val="single" w:sz="24" w:space="0" w:color="0D9488"/>
            </w:tcBorders>
            <w:shd w:val="clear" w:color="auto" w:fill="F0FDFA"/>
            <w:tcMar>
              <w:top w:w="100" w:type="dxa"/>
              <w:left w:w="150" w:type="dxa"/>
              <w:bottom w:w="100" w:type="dxa"/>
              <w:right w:w="150" w:type="dxa"/>
            </w:tcMar>
          </w:tcPr>
          <w:p w14:paraId="2289AAA4" w14:textId="0176F922" w:rsidR="00614C7B" w:rsidRDefault="00000000">
            <w:pPr>
              <w:spacing w:before="40" w:after="40"/>
            </w:pPr>
            <w:r>
              <w:rPr>
                <w:rFonts w:ascii="Arial" w:hAnsi="Arial"/>
                <w:b/>
                <w:color w:val="0D9488"/>
                <w:sz w:val="18"/>
              </w:rPr>
              <w:t xml:space="preserve">✦ STATUTORY TRUTHFULNESS DECLARATION: </w:t>
            </w:r>
            <w:r>
              <w:rPr>
                <w:rFonts w:ascii="Arial" w:hAnsi="Arial"/>
                <w:color w:val="1E293B"/>
                <w:sz w:val="18"/>
              </w:rPr>
              <w:t>We solemnly declare that the statements made in this Advantages Annexure and Other-Funding Disclosure are true, complete, and correct to the best of our knowledge and belief. We understand that any false declaration will lead to immediate cancellation of the grant, blacklisting, and recovery of funds with penal interest as per government rules.</w:t>
            </w:r>
            <w:r>
              <w:rPr>
                <w:rFonts w:ascii="Arial" w:hAnsi="Arial"/>
                <w:color w:val="1E293B"/>
                <w:sz w:val="18"/>
              </w:rPr>
              <w:br/>
            </w:r>
            <w:r>
              <w:rPr>
                <w:rFonts w:ascii="Arial" w:hAnsi="Arial"/>
                <w:color w:val="1E293B"/>
                <w:sz w:val="18"/>
              </w:rPr>
              <w:br/>
              <w:t>Signature of Applicant 1: __________________________ (Dr. VIJAYANANDA)</w:t>
            </w:r>
            <w:r>
              <w:rPr>
                <w:rFonts w:ascii="Arial" w:hAnsi="Arial"/>
                <w:color w:val="1E293B"/>
                <w:sz w:val="18"/>
              </w:rPr>
              <w:br/>
              <w:t>Signature of Applicant 2: __________________________ (Armaan Samir Jena)</w:t>
            </w:r>
            <w:r>
              <w:rPr>
                <w:rFonts w:ascii="Arial" w:hAnsi="Arial"/>
                <w:color w:val="1E293B"/>
                <w:sz w:val="18"/>
              </w:rPr>
              <w:br/>
              <w:t>Date: 11/10/2026 | Place: India</w:t>
            </w:r>
          </w:p>
        </w:tc>
      </w:tr>
    </w:tbl>
    <w:p w14:paraId="182C1F35" w14:textId="77777777" w:rsidR="00614C7B" w:rsidRDefault="00614C7B">
      <w:pPr>
        <w:spacing w:after="80"/>
      </w:pPr>
    </w:p>
    <w:sectPr w:rsidR="00614C7B"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0350543">
    <w:abstractNumId w:val="8"/>
  </w:num>
  <w:num w:numId="2" w16cid:durableId="100148279">
    <w:abstractNumId w:val="6"/>
  </w:num>
  <w:num w:numId="3" w16cid:durableId="311452697">
    <w:abstractNumId w:val="5"/>
  </w:num>
  <w:num w:numId="4" w16cid:durableId="1874876632">
    <w:abstractNumId w:val="4"/>
  </w:num>
  <w:num w:numId="5" w16cid:durableId="1085107695">
    <w:abstractNumId w:val="7"/>
  </w:num>
  <w:num w:numId="6" w16cid:durableId="922030278">
    <w:abstractNumId w:val="3"/>
  </w:num>
  <w:num w:numId="7" w16cid:durableId="678195566">
    <w:abstractNumId w:val="2"/>
  </w:num>
  <w:num w:numId="8" w16cid:durableId="989363265">
    <w:abstractNumId w:val="1"/>
  </w:num>
  <w:num w:numId="9" w16cid:durableId="431359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4C7B"/>
    <w:rsid w:val="00AA1D8D"/>
    <w:rsid w:val="00B47730"/>
    <w:rsid w:val="00CB0664"/>
    <w:rsid w:val="00DB4B7D"/>
    <w:rsid w:val="00E47F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412FD"/>
  <w14:defaultImageDpi w14:val="300"/>
  <w15:docId w15:val="{9BF4091F-74D9-48D1-B0AF-C3AAA8B57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540</Words>
  <Characters>3083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Armaan Jena</cp:lastModifiedBy>
  <cp:revision>2</cp:revision>
  <dcterms:created xsi:type="dcterms:W3CDTF">2013-12-23T23:15:00Z</dcterms:created>
  <dcterms:modified xsi:type="dcterms:W3CDTF">2026-10-11T13:05:00Z</dcterms:modified>
  <cp:category/>
</cp:coreProperties>
</file>