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D9488"/>
          <w:sz w:val="17"/>
        </w:rPr>
        <w:t>NATIONAL RESEARCH DEVELOPMENT CORPORATION (NRDC)  •  WORK PLAN &amp; MILESTONES</w:t>
      </w:r>
    </w:p>
    <w:p>
      <w:pPr>
        <w:spacing w:after="60"/>
      </w:pPr>
      <w:r>
        <w:rPr>
          <w:rFonts w:ascii="Arial" w:hAnsi="Arial"/>
          <w:b/>
          <w:color w:val="0F172A"/>
          <w:sz w:val="36"/>
        </w:rPr>
        <w:t>ANNEXURE: QUARTERLY WORK PLAN &amp; MILESTONES</w:t>
      </w:r>
    </w:p>
    <w:p>
      <w:pPr>
        <w:spacing w:after="240"/>
      </w:pPr>
      <w:r>
        <w:rPr>
          <w:rFonts w:ascii="Arial" w:hAnsi="Arial"/>
          <w:color w:val="475569"/>
          <w:sz w:val="21"/>
        </w:rPr>
        <w:t>Detailed 6-Month Timeline, Work Packages, Milestone Deliverables and Responsibilities Aligned with ₹1,70,000 Budget</w:t>
      </w:r>
    </w:p>
    <w:p>
      <w:pPr>
        <w:pStyle w:val="Heading1"/>
      </w:pPr>
      <w:r>
        <w:t>1. Project Executive Schedule &amp; Work Breakdown Structure</w:t>
      </w:r>
    </w:p>
    <w:p>
      <w:r>
        <w:t>The proposed Category 2 testing and trial program is structured over a tightly managed 6-month duration (2 Quarters: Month 1 to Month 6). It focuses strictly on quantifiable bench testing, multi-rater concordance evaluation, repeatability benchmarking, and failure-mode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Quarter / Month</w:t>
            </w:r>
          </w:p>
        </w:tc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Work Package (WP)</w:t>
            </w:r>
          </w:p>
        </w:tc>
        <w:tc>
          <w:tcPr>
            <w:tcW w:type="dxa" w:w="388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Detailed Experimental Activities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Responsible Lead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Q1: Month 1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WP1: Experimental Jig &amp; Bench Protocol Setup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Procurement of multi-layer silicone pads and calibration targets. Fabrication of rigid overhead camera mount. Laser-micrometer baseline calibration (0.124 mm/px scale validation).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Armaan Samir Jena (Applicant 2 / Engineering Lead)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Q1: Month 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WP2: Optical Calibration &amp; Lighting Stress Trials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Execution of 60 standardized suture bench trials under 4 controlled lighting levels (300lx, 600lx, 900lx, 1200lx). Quantitative measurement of needle tip localization error and angle variance.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Armaan Samir Jena (Applicant 2) &amp; Research Staff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Q1: Month 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WP3: Needle Curvature Repeatability Benchmark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Testing repeatability across 4 standard surgical needle geometries (3/8 circle, 1/2 circle, reverse cutting, round-bodied). Mid-term technical review and milestone M1 report compilation.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Dr. VIJAYANANDA (Applicant 1 / Clinical Lead)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Q2: Month 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WP4: Multi-Rater Faculty Inter-Rater Reliability Trials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Conducting 60 resident simulation trials evaluated concurrently by 3 independent blinded attending surgeons using the Faculty Review Console. Calculation of Intraclass Correlation (ICC) and Bland-Altman limits.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Dr. VIJAYANANDA (Applicant 1) &amp; Faculty Reviewers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Q2: Month 5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WP5: Occlusion &amp; Failure-Mode Stress Analysis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Evaluating tracking drop-out under rapid suture knot cinching, instrument hand-crossing, and fluid visual distortion. Testing automated fallback and recovery latency in cvEngine.ts.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Armaan Samir Jena (Applicant 2) &amp; Simulation Staff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Q2: Month 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WP6: Statistical Synthesis, Audit &amp; Final Reporting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Independent statistical verification of concordance data. Compilation of final technical dossier, CA audited Utilization Certificate (UC), and institutional commercialization roadmap.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Dr. VIJAYANANDA (Applicant 1) &amp; Armaan Samir Jena (Applicant 2)</w:t>
            </w:r>
          </w:p>
        </w:tc>
      </w:tr>
    </w:tbl>
    <w:p>
      <w:pPr>
        <w:spacing w:after="160"/>
      </w:pPr>
    </w:p>
    <w:p>
      <w:pPr>
        <w:pStyle w:val="Heading1"/>
      </w:pPr>
      <w:r>
        <w:t>2. Milestone Deliverables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Target Deadline</w:t>
            </w:r>
          </w:p>
        </w:tc>
        <w:tc>
          <w:tcPr>
            <w:tcW w:type="dxa" w:w="460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Verifiable Milestone Output / Deliverable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Funding Linkage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Milestone M1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End of Month 2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Calibrated Bench Setup &amp; Optical Scale Uncertainty Report (0.124 mm/px validation data)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Tranche 1 (₹85,000)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Milestone M2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End of Month 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Mid-Term Progress Report &amp; Needle Geometry Repeatability Dataset (60 trials)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Tranche 1 Audit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Milestone M3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End of Month 4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Multi-Rater Faculty Agreement Dossier (ICC &amp; Bland-Altman Concordance Analysis across 60 resident trials)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Tranche 2 (₹85,000)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Milestone M4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End of Month 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Failure-Mode Resilience &amp; Recovery Latency Technical Report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Tranche 2 Review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Milestone M5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End of Month 6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Final Comprehensive Technical Evaluation Dossier, Audited UC, and Commercialization Plan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Project Completion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D9488"/>
                <w:sz w:val="18"/>
              </w:rPr>
              <w:t xml:space="preserve">✦ WORK PLAN COMPLIANCE STATEMENT: </w:t>
            </w:r>
            <w:r>
              <w:rPr>
                <w:rFonts w:ascii="Arial" w:hAnsi="Arial"/>
                <w:color w:val="1E293B"/>
                <w:sz w:val="18"/>
              </w:rPr>
              <w:t>Every activity outlined in this work plan is directly linked to the ₹1,70,000 itemised budget. No capital expenditure or unbudgeted activities are included. All trials are non-clinical and conducted in simulation laboratories.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