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17"/>
        </w:rPr>
        <w:t>NATIONAL RESEARCH DEVELOPMENT CORPORATION (NRDC)  •  LITERATURE &amp; PATENT SEARCH REPORT</w:t>
      </w:r>
    </w:p>
    <w:p>
      <w:pPr>
        <w:spacing w:after="60"/>
      </w:pPr>
      <w:r>
        <w:rPr>
          <w:rFonts w:ascii="Arial" w:hAnsi="Arial"/>
          <w:b/>
          <w:color w:val="0F172A"/>
          <w:sz w:val="36"/>
        </w:rPr>
        <w:t>ANNEXURE: LITERATURE SURVEY &amp; PATENT SEARCH REPORT</w:t>
      </w:r>
    </w:p>
    <w:p>
      <w:pPr>
        <w:spacing w:after="240"/>
      </w:pPr>
      <w:r>
        <w:rPr>
          <w:rFonts w:ascii="Arial" w:hAnsi="Arial"/>
          <w:color w:val="475569"/>
          <w:sz w:val="21"/>
        </w:rPr>
        <w:t>Comprehensive Prior Art Analysis, Patent Database Filings, Academic Publications, and Novelty Differentiation Assessment</w:t>
      </w:r>
    </w:p>
    <w:p>
      <w:pPr>
        <w:pStyle w:val="Heading1"/>
      </w:pPr>
      <w:r>
        <w:t>PART 1: ACADEMIC LITERATURE SURVEY &amp; STATE-OF-THE-ART</w:t>
      </w:r>
    </w:p>
    <w:p>
      <w:r>
        <w:t>A systematic scientific literature review was conducted across PubMed, Scopus, IEEE Xplore, ScienceDirect, and Google Scholar covering publications from 1997 through 2026. The search protocol utilized Boolean queries: ('surgical skills' OR 'suturing') AND ('computer vision' OR 'objective assessment' OR 'OSATS') AND ('motion analysis' OR 'kinematics').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Key Publication &amp; Authors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Year &amp; Journal</w:t>
            </w:r>
          </w:p>
        </w:tc>
        <w:tc>
          <w:tcPr>
            <w:tcW w:type="dxa" w:w="302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Core Methodology Reported</w:t>
            </w:r>
          </w:p>
        </w:tc>
        <w:tc>
          <w:tcPr>
            <w:tcW w:type="dxa" w:w="288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Technical Limitations &amp; SurgiSkill AI Differentiation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Martin et al.</w:t>
              <w:br/>
              <w:t>(Foundational OSATS)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1997</w:t>
              <w:br/>
              <w:t>Br J Surg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Introduced the Objective Structured Assessment of Technical Skill (OSATS) 7-item global rating scale for open surgery.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Relies exclusively on subjective post-hoc human observation. SurgiSkill AI digitizes and objective-links OSATS criteria to 60 FPS CV calipers.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Reiley, Lin, Yuh, Hager</w:t>
              <w:br/>
              <w:t>(JIGS / JHU Benchmarks)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2011</w:t>
              <w:br/>
              <w:t>IEEE TBME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Robotic kinematic decomposition of surgical gestures into 'surgemes' using da Vinci robotic API data.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Requires multimillion-dollar robotic surgical hardware. Does not address accessible open suturing on silicone pads with commodity cameras.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Ahmidi et al.</w:t>
              <w:br/>
              <w:t>(JHU-ISI Gesture Dataset)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2017</w:t>
              <w:br/>
              <w:t>IEEE TMI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Benchmarked Markov models and RNNs for surgical task classification on robotic bench recordings.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Focuses on classification of gestures rather than continuous millimeter geometric tolerance measurements (bite width, entry angle).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Fard, Ameri, et al.</w:t>
              <w:br/>
              <w:t>(Automated Video Assessment)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2018</w:t>
              <w:br/>
              <w:t>Surg Endosc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Deep learning evaluation of laparoscopic box trainer video using instrument tip tracking.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Black-box neural network outputs global score without explainable Procedure Reference Models (PRMs) or dual faculty override mechanisms.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Gold et al.</w:t>
              <w:br/>
              <w:t>(Computer Vision in Open Surgery)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2021</w:t>
              <w:br/>
              <w:t>Ann Surg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Optical detection of needle driver orientation during skin closure using YOLO-based bounding boxes.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Offline post-hoc processing without real-time 60 FPS canvas reticle feedback, digital OSCE timers, or multimodal clinical coaching.</w:t>
            </w:r>
          </w:p>
        </w:tc>
      </w:tr>
    </w:tbl>
    <w:p>
      <w:pPr>
        <w:spacing w:after="160"/>
      </w:pPr>
    </w:p>
    <w:p>
      <w:pPr>
        <w:pStyle w:val="Heading1"/>
      </w:pPr>
      <w:r>
        <w:t>PART 2: SYSTEMATIC PATENT SEARCH REPORT</w:t>
      </w:r>
    </w:p>
    <w:p>
      <w:r>
        <w:t>A formal patent search was conducted across the Indian Patent Office (InPASS), USPTO Patent Public Search, Espacenet (EPO), WIPO PATENTSCOPE, and Google Patents. The search focused on International Patent Classifications (IPC): G09B 23/28 (Models for medical/surgical education), A61B 34/00 (Computer-aided surgery), G06T 7/00 (Image analysis), and G06V 40/00.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Patent Number &amp; Assignee</w:t>
            </w:r>
          </w:p>
        </w:tc>
        <w:tc>
          <w:tcPr>
            <w:tcW w:type="dxa" w:w="216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Title of Invention</w:t>
            </w:r>
          </w:p>
        </w:tc>
        <w:tc>
          <w:tcPr>
            <w:tcW w:type="dxa" w:w="273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Key Claims &amp; Technology</w:t>
            </w:r>
          </w:p>
        </w:tc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Clear Technological Distinctions of SurgiSkill AI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US10,810,899B2</w:t>
              <w:br/>
              <w:t>Intuitive Surgical Operations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Surgical skills evaluation using tracking sensors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Claims sensorized instrument handles with electromagnetic/optical physical markers measuring tool motion vectors.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Requires expensive proprietary sensorized instruments. SurgiSkill AI is non-contact, analyzing standard non-sensorized surgical instruments via optical CV.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US20210287569A1</w:t>
              <w:br/>
              <w:t>Johns Hopkins University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Automated surgical skill assessment using machine learning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Claims neural network classification of robotic kinematic time-series for skill level classification.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Trained on robotic surgical teleoperation. SurgiSkill AI evaluates open manual suturing using millimeter geometric PRM tolerances and explainable checklists.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WO2022192801A1</w:t>
              <w:br/>
              <w:t>Digital Surgery / Medtronic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Computer vision based surgical workflow recognition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Claims surgical phase segmentation in live operating room endoscopic video feeds.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Targeted at intraoperative OR phase tagging. SurgiSkill AI is specifically engineered for simulation lab training, digital OSCE exams, and faculty review governance.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F172A"/>
                <w:sz w:val="16"/>
              </w:rPr>
              <w:t>IN202041038912A</w:t>
              <w:br/>
              <w:t>Indian Patent Application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Smart suturing simulation pad with embedded pressure sensors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Claims physical multi-layer silicone pad with embedded resistive pressure sensor arrays.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334155"/>
                <w:sz w:val="16"/>
              </w:rPr>
              <w:t>Requires specialized, expensive disposable sensorized pads. SurgiSkill AI works on standard generic silicone pads, treating depth/force as transparent visual proxies.</w:t>
            </w:r>
          </w:p>
        </w:tc>
      </w:tr>
    </w:tbl>
    <w:p>
      <w:pPr>
        <w:spacing w:after="160"/>
      </w:pPr>
    </w:p>
    <w:p>
      <w:pPr>
        <w:pStyle w:val="Heading1"/>
      </w:pPr>
      <w:r>
        <w:t>PART 3: FREEDOM-TO-OPERATE (FTO) &amp; NOVELTY ASSESSMENT</w:t>
      </w:r>
    </w:p>
    <w:p>
      <w:r>
        <w:t>Synthesis of Findings:</w:t>
        <w:br/>
        <w:t>1. No prior patent or publication discloses the unified combination of: (a) real-time 60 FPS optical calipers on commodity UVC cameras; (b) continuous Procedure Reference Model (PRM) tolerance compliance; (c) dual-evaluation faculty review with mandatory override justification; and (d) synchronized digital OSCE multi-station rotations within a web-native application.</w:t>
        <w:br/>
        <w:t>2. The open-source libraries used (React 19, Tailwind, Express, Google GenAI SDK, Lucide) possess non-restrictive permissive licenses (MIT / Apache-2.0).</w:t>
        <w:br/>
        <w:t>3. Freedom-to-Operate (FTO) is established for simulation and educational testing. No third-party patents block Category 2 experimental trials.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Verified by Applicant 1:</w:t>
              <w:br/>
              <w:br/>
              <w:t>___________________________________</w:t>
              <w:br/>
              <w:t>Dr. VIJAYANANDA</w:t>
              <w:br/>
              <w:t>Applicant 1 &amp; Clinical Lead</w:t>
              <w:br/>
              <w:t>Date: 11/10/2026</w:t>
            </w:r>
          </w:p>
        </w:tc>
        <w:tc>
          <w:tcPr>
            <w:tcW w:type="dxa" w:w="5040"/>
          </w:tcPr>
          <w:p>
            <w:r>
              <w:t>Verified by Applicant 2:</w:t>
              <w:br/>
              <w:br/>
              <w:t>___________________________________</w:t>
              <w:br/>
              <w:t>Armaan Samir Jena</w:t>
              <w:br/>
              <w:t>Applicant 2 &amp; System Architect</w:t>
              <w:br/>
              <w:t>Date: 11/10/2026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