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programa de formación europeo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 programa de eficiencia energética en los edificios de la universidad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sistemas de riego de jardines acordes a los requerimientos de sostenibilidad de la 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 método de comunicación efectivo entre los órganos directivos y de gestión de la universidad y los estudiantes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 recursos de comunicación para facilitar la convivencia en el campus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 programas de información de becas y programas postdoctorales para nuevos estudiantes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Mejorar acceso a facultades con instalaciones para gente con discapacidad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Mejorar acceso a pago de créditos 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Mejorar Instalaciones deportivas facultad de ingeniería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Mejorar el pavimento de las pistas e instalaciones deportivas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Mejorar el sistema de becas y métodos de pago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Mejorar el sistema de consulta de fondos de la biblioteca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Quitar las tarifas de pago en el parking de estudiantes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Quitar las capillas y lugares de culto en las instalaciones de educación pública universitaria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Quitar las restricciones al acceso a instalaciones deportivas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Quitar las nuevas vallas de los jardines entre facultades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Quitar el límite horario en bibliotecas y hacerlas espacios de estudio 24h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Quitar el busto de Random Pepito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Promover programas de integración para futuros estudiantes con riesgo de fracaso escolar en institutos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Promover cursos de lenguas extrangeras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Promover curso de capacitación profesionales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Promover dinámicas de cooperación entre universidades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Promover el deporte en la vida universitaria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Promover la cultura musical y la colaboración con centros superiores de enseñanza de música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