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lang w:val="en-GB"/>
        </w:rPr>
      </w:pPr>
      <w:r>
        <w:rPr>
          <w:b/>
          <w:lang w:val="en-GB"/>
        </w:rPr>
      </w:r>
    </w:p>
    <w:sdt>
      <w:sdtPr>
        <w:docPartObj>
          <w:docPartGallery w:val="Table of Contents"/>
          <w:docPartUnique w:val="true"/>
        </w:docPartObj>
      </w:sdtPr>
      <w:sdtContent>
        <w:p>
          <w:pPr>
            <w:pStyle w:val="TOCHeading"/>
            <w:rPr>
              <w:rFonts w:ascii="Arial" w:hAnsi="Arial" w:cs="Arial"/>
              <w:lang w:val="en-GB"/>
            </w:rPr>
          </w:pPr>
          <w:r>
            <w:rPr>
              <w:rFonts w:cs="Arial" w:ascii="Arial" w:hAnsi="Arial"/>
              <w:lang w:val="en-GB"/>
            </w:rPr>
            <w:t>Content</w:t>
          </w:r>
        </w:p>
        <w:p>
          <w:pPr>
            <w:pStyle w:val="TOC2"/>
            <w:rPr>
              <w:rFonts w:eastAsia="" w:eastAsiaTheme="minorEastAsia"/>
              <w:szCs w:val="22"/>
            </w:rPr>
          </w:pPr>
          <w:r>
            <w:fldChar w:fldCharType="begin"/>
          </w:r>
          <w:r>
            <w:rPr>
              <w:webHidden/>
              <w:rStyle w:val="IndexLink"/>
              <w:rFonts w:cs="Arial" w:ascii="Arial" w:hAnsi="Arial"/>
              <w:lang w:val="en-GB"/>
            </w:rPr>
            <w:instrText xml:space="preserve"> TOC \z \o "1-3" \u \h</w:instrText>
          </w:r>
          <w:r>
            <w:rPr>
              <w:webHidden/>
              <w:rStyle w:val="IndexLink"/>
              <w:rFonts w:cs="Arial" w:ascii="Arial" w:hAnsi="Arial"/>
              <w:lang w:val="en-GB"/>
            </w:rPr>
            <w:fldChar w:fldCharType="separate"/>
          </w:r>
          <w:hyperlink w:anchor="_Toc146551739">
            <w:r>
              <w:rPr>
                <w:webHidden/>
                <w:rStyle w:val="IndexLink"/>
                <w:rFonts w:cs="Arial" w:ascii="Arial" w:hAnsi="Arial"/>
                <w:lang w:val="en-GB"/>
              </w:rPr>
              <w:t>1. Excellence</w:t>
            </w:r>
            <w:r>
              <w:rPr>
                <w:webHidden/>
              </w:rPr>
              <w:fldChar w:fldCharType="begin"/>
            </w:r>
            <w:r>
              <w:rPr>
                <w:webHidden/>
              </w:rPr>
              <w:instrText xml:space="preserve">PAGEREF _Toc146551739 \h</w:instrText>
            </w:r>
            <w:r>
              <w:rPr>
                <w:webHidden/>
              </w:rPr>
              <w:fldChar w:fldCharType="separate"/>
            </w:r>
            <w:r>
              <w:rPr>
                <w:rStyle w:val="IndexLink"/>
                <w:vanish w:val="false"/>
              </w:rPr>
              <w:tab/>
              <w:t>2</w:t>
            </w:r>
            <w:r>
              <w:rPr>
                <w:webHidden/>
              </w:rPr>
              <w:fldChar w:fldCharType="end"/>
            </w:r>
          </w:hyperlink>
        </w:p>
        <w:p>
          <w:pPr>
            <w:pStyle w:val="TOC3"/>
            <w:tabs>
              <w:tab w:val="left" w:pos="1100" w:leader="none"/>
              <w:tab w:val="right" w:pos="10194" w:leader="dot"/>
            </w:tabs>
            <w:rPr>
              <w:rFonts w:eastAsia="" w:eastAsiaTheme="minorEastAsia"/>
              <w:szCs w:val="22"/>
            </w:rPr>
          </w:pPr>
          <w:hyperlink w:anchor="_Toc146551740">
            <w:r>
              <w:rPr>
                <w:webHidden/>
                <w:rStyle w:val="IndexLink"/>
                <w:rFonts w:cs="Arial" w:ascii="Arial" w:hAnsi="Arial"/>
                <w:lang w:val="en-GB"/>
              </w:rPr>
              <w:t>1.1</w:t>
            </w:r>
            <w:r>
              <w:rPr>
                <w:rStyle w:val="IndexLink"/>
                <w:rFonts w:eastAsia="" w:eastAsiaTheme="minorEastAsia"/>
                <w:szCs w:val="22"/>
              </w:rPr>
              <w:tab/>
            </w:r>
            <w:r>
              <w:rPr>
                <w:rStyle w:val="IndexLink"/>
                <w:rFonts w:cs="Arial" w:ascii="Arial" w:hAnsi="Arial"/>
                <w:lang w:val="en-GB"/>
              </w:rPr>
              <w:t>PROJECT OBJECTIVES</w:t>
            </w:r>
            <w:r>
              <w:rPr>
                <w:webHidden/>
              </w:rPr>
              <w:fldChar w:fldCharType="begin"/>
            </w:r>
            <w:r>
              <w:rPr>
                <w:webHidden/>
              </w:rPr>
              <w:instrText xml:space="preserve">PAGEREF _Toc146551740 \h</w:instrText>
            </w:r>
            <w:r>
              <w:rPr>
                <w:webHidden/>
              </w:rPr>
              <w:fldChar w:fldCharType="separate"/>
            </w:r>
            <w:r>
              <w:rPr>
                <w:rStyle w:val="IndexLink"/>
                <w:vanish w:val="false"/>
              </w:rPr>
              <w:tab/>
              <w:t>2</w:t>
            </w:r>
            <w:r>
              <w:rPr>
                <w:webHidden/>
              </w:rPr>
              <w:fldChar w:fldCharType="end"/>
            </w:r>
          </w:hyperlink>
        </w:p>
        <w:p>
          <w:pPr>
            <w:pStyle w:val="TOC3"/>
            <w:rPr>
              <w:rFonts w:ascii="Arial" w:hAnsi="Arial" w:eastAsia="" w:cs="Arial" w:eastAsiaTheme="minorEastAsia"/>
              <w:szCs w:val="22"/>
            </w:rPr>
          </w:pPr>
          <w:hyperlink w:anchor="_Toc146551741">
            <w:r>
              <w:rPr>
                <w:webHidden/>
                <w:rStyle w:val="IndexLink"/>
                <w:rFonts w:cs="Arial" w:ascii="Arial" w:hAnsi="Arial"/>
                <w:lang w:val="en-GB"/>
              </w:rPr>
              <w:t>1.2 RELEVANCE, QUALITY AND NOVELTY OF THE PROJECT</w:t>
            </w:r>
            <w:r>
              <w:rPr>
                <w:webHidden/>
              </w:rPr>
              <w:fldChar w:fldCharType="begin"/>
            </w:r>
            <w:r>
              <w:rPr>
                <w:webHidden/>
              </w:rPr>
              <w:instrText xml:space="preserve">PAGEREF _Toc146551741 \h</w:instrText>
            </w:r>
            <w:r>
              <w:rPr>
                <w:webHidden/>
              </w:rPr>
              <w:fldChar w:fldCharType="separate"/>
            </w:r>
            <w:r>
              <w:rPr>
                <w:rStyle w:val="IndexLink"/>
                <w:rFonts w:cs="Arial" w:ascii="Arial" w:hAnsi="Arial"/>
                <w:vanish w:val="false"/>
              </w:rPr>
              <w:tab/>
              <w:t>3</w:t>
            </w:r>
            <w:r>
              <w:rPr>
                <w:webHidden/>
              </w:rPr>
              <w:fldChar w:fldCharType="end"/>
            </w:r>
          </w:hyperlink>
        </w:p>
        <w:p>
          <w:pPr>
            <w:pStyle w:val="TOC3"/>
            <w:rPr>
              <w:rFonts w:ascii="Arial" w:hAnsi="Arial" w:eastAsia="" w:cs="Arial" w:eastAsiaTheme="minorEastAsia"/>
              <w:szCs w:val="22"/>
            </w:rPr>
          </w:pPr>
          <w:hyperlink w:anchor="_Toc146551742">
            <w:r>
              <w:rPr>
                <w:webHidden/>
                <w:rStyle w:val="IndexLink"/>
                <w:rFonts w:cs="Arial" w:ascii="Arial" w:hAnsi="Arial"/>
                <w:lang w:val="en-GB"/>
              </w:rPr>
              <w:t>1.3 METHODOLOGY</w:t>
            </w:r>
            <w:r>
              <w:rPr>
                <w:webHidden/>
              </w:rPr>
              <w:fldChar w:fldCharType="begin"/>
            </w:r>
            <w:r>
              <w:rPr>
                <w:webHidden/>
              </w:rPr>
              <w:instrText xml:space="preserve">PAGEREF _Toc146551742 \h</w:instrText>
            </w:r>
            <w:r>
              <w:rPr>
                <w:webHidden/>
              </w:rPr>
              <w:fldChar w:fldCharType="separate"/>
            </w:r>
            <w:r>
              <w:rPr>
                <w:rStyle w:val="IndexLink"/>
                <w:rFonts w:cs="Arial" w:ascii="Arial" w:hAnsi="Arial"/>
                <w:vanish w:val="false"/>
              </w:rPr>
              <w:tab/>
              <w:t>5</w:t>
            </w:r>
            <w:r>
              <w:rPr>
                <w:webHidden/>
              </w:rPr>
              <w:fldChar w:fldCharType="end"/>
            </w:r>
          </w:hyperlink>
        </w:p>
        <w:p>
          <w:pPr>
            <w:pStyle w:val="TOC3"/>
            <w:rPr>
              <w:rFonts w:ascii="Arial" w:hAnsi="Arial" w:eastAsia="" w:cs="Arial" w:eastAsiaTheme="minorEastAsia"/>
              <w:szCs w:val="22"/>
            </w:rPr>
          </w:pPr>
          <w:hyperlink w:anchor="_Toc146551743">
            <w:r>
              <w:rPr>
                <w:webHidden/>
                <w:rStyle w:val="IndexLink"/>
                <w:rFonts w:cs="Arial" w:ascii="Arial" w:hAnsi="Arial"/>
                <w:lang w:val="en-GB"/>
              </w:rPr>
              <w:t>1.4 EXCELLENCE OF THE RESEARCHER</w:t>
            </w:r>
            <w:r>
              <w:rPr>
                <w:webHidden/>
              </w:rPr>
              <w:fldChar w:fldCharType="begin"/>
            </w:r>
            <w:r>
              <w:rPr>
                <w:webHidden/>
              </w:rPr>
              <w:instrText xml:space="preserve">PAGEREF _Toc146551743 \h</w:instrText>
            </w:r>
            <w:r>
              <w:rPr>
                <w:webHidden/>
              </w:rPr>
              <w:fldChar w:fldCharType="separate"/>
            </w:r>
            <w:r>
              <w:rPr>
                <w:rStyle w:val="IndexLink"/>
                <w:rFonts w:cs="Arial" w:ascii="Arial" w:hAnsi="Arial"/>
                <w:vanish w:val="false"/>
              </w:rPr>
              <w:tab/>
              <w:t>5</w:t>
            </w:r>
            <w:r>
              <w:rPr>
                <w:webHidden/>
              </w:rPr>
              <w:fldChar w:fldCharType="end"/>
            </w:r>
          </w:hyperlink>
        </w:p>
        <w:p>
          <w:pPr>
            <w:pStyle w:val="TOC3"/>
            <w:rPr>
              <w:rFonts w:ascii="Arial" w:hAnsi="Arial" w:eastAsia="" w:cs="Arial" w:eastAsiaTheme="minorEastAsia"/>
              <w:szCs w:val="22"/>
            </w:rPr>
          </w:pPr>
          <w:hyperlink w:anchor="_Toc146551744">
            <w:r>
              <w:rPr>
                <w:webHidden/>
                <w:rStyle w:val="IndexLink"/>
                <w:rFonts w:cs="Arial" w:ascii="Arial" w:hAnsi="Arial"/>
                <w:lang w:val="en-GB"/>
              </w:rPr>
              <w:t>1.5 EXCELLENCE OF THE APPLICANT/HOST ORGANISATION</w:t>
            </w:r>
            <w:r>
              <w:rPr>
                <w:webHidden/>
              </w:rPr>
              <w:fldChar w:fldCharType="begin"/>
            </w:r>
            <w:r>
              <w:rPr>
                <w:webHidden/>
              </w:rPr>
              <w:instrText xml:space="preserve">PAGEREF _Toc146551744 \h</w:instrText>
            </w:r>
            <w:r>
              <w:rPr>
                <w:webHidden/>
              </w:rPr>
              <w:fldChar w:fldCharType="separate"/>
            </w:r>
            <w:r>
              <w:rPr>
                <w:rStyle w:val="IndexLink"/>
                <w:rFonts w:cs="Arial" w:ascii="Arial" w:hAnsi="Arial"/>
                <w:vanish w:val="false"/>
              </w:rPr>
              <w:tab/>
              <w:t>8</w:t>
            </w:r>
            <w:r>
              <w:rPr>
                <w:webHidden/>
              </w:rPr>
              <w:fldChar w:fldCharType="end"/>
            </w:r>
          </w:hyperlink>
        </w:p>
        <w:p>
          <w:pPr>
            <w:pStyle w:val="TOC2"/>
            <w:tabs>
              <w:tab w:val="left" w:pos="660" w:leader="none"/>
              <w:tab w:val="right" w:pos="10204" w:leader="dot"/>
            </w:tabs>
            <w:rPr>
              <w:rFonts w:ascii="Arial" w:hAnsi="Arial" w:eastAsia="" w:cs="Arial" w:eastAsiaTheme="minorEastAsia"/>
              <w:szCs w:val="22"/>
            </w:rPr>
          </w:pPr>
          <w:hyperlink w:anchor="_Toc146551745">
            <w:r>
              <w:rPr>
                <w:webHidden/>
                <w:rStyle w:val="IndexLink"/>
                <w:rFonts w:cs="Arial" w:ascii="Arial" w:hAnsi="Arial"/>
                <w:lang w:val="en-GB"/>
              </w:rPr>
              <w:t>2.</w:t>
            </w:r>
            <w:r>
              <w:rPr>
                <w:rStyle w:val="IndexLink"/>
                <w:rFonts w:eastAsia="" w:cs="Arial" w:ascii="Arial" w:hAnsi="Arial" w:eastAsiaTheme="minorEastAsia"/>
                <w:szCs w:val="22"/>
              </w:rPr>
              <w:t xml:space="preserve"> </w:t>
            </w:r>
            <w:r>
              <w:rPr>
                <w:rStyle w:val="IndexLink"/>
                <w:rFonts w:cs="Arial" w:ascii="Arial" w:hAnsi="Arial"/>
                <w:lang w:val="en-GB"/>
              </w:rPr>
              <w:t>Impact</w:t>
            </w:r>
            <w:r>
              <w:rPr>
                <w:webHidden/>
              </w:rPr>
              <w:fldChar w:fldCharType="begin"/>
            </w:r>
            <w:r>
              <w:rPr>
                <w:webHidden/>
              </w:rPr>
              <w:instrText xml:space="preserve">PAGEREF _Toc146551745 \h</w:instrText>
            </w:r>
            <w:r>
              <w:rPr>
                <w:webHidden/>
              </w:rPr>
              <w:fldChar w:fldCharType="separate"/>
            </w:r>
            <w:r>
              <w:rPr>
                <w:rStyle w:val="IndexLink"/>
                <w:rFonts w:cs="Arial" w:ascii="Arial" w:hAnsi="Arial"/>
                <w:vanish w:val="false"/>
              </w:rPr>
              <w:tab/>
              <w:t>9</w:t>
            </w:r>
            <w:r>
              <w:rPr>
                <w:webHidden/>
              </w:rPr>
              <w:fldChar w:fldCharType="end"/>
            </w:r>
          </w:hyperlink>
        </w:p>
        <w:p>
          <w:pPr>
            <w:pStyle w:val="TOC3"/>
            <w:rPr>
              <w:rFonts w:ascii="Arial" w:hAnsi="Arial" w:eastAsia="" w:cs="Arial" w:eastAsiaTheme="minorEastAsia"/>
              <w:szCs w:val="22"/>
            </w:rPr>
          </w:pPr>
          <w:hyperlink w:anchor="_Toc146551746">
            <w:r>
              <w:rPr>
                <w:webHidden/>
                <w:rStyle w:val="IndexLink"/>
                <w:rFonts w:cs="Arial" w:ascii="Arial" w:hAnsi="Arial"/>
                <w:lang w:val="en-GB"/>
              </w:rPr>
              <w:t>2.1 THE WIDER IMPACT OF THE PROJECT</w:t>
            </w:r>
            <w:r>
              <w:rPr>
                <w:webHidden/>
              </w:rPr>
              <w:fldChar w:fldCharType="begin"/>
            </w:r>
            <w:r>
              <w:rPr>
                <w:webHidden/>
              </w:rPr>
              <w:instrText xml:space="preserve">PAGEREF _Toc146551746 \h</w:instrText>
            </w:r>
            <w:r>
              <w:rPr>
                <w:webHidden/>
              </w:rPr>
              <w:fldChar w:fldCharType="separate"/>
            </w:r>
            <w:r>
              <w:rPr>
                <w:rStyle w:val="IndexLink"/>
                <w:rFonts w:cs="Arial" w:ascii="Arial" w:hAnsi="Arial"/>
                <w:vanish w:val="false"/>
              </w:rPr>
              <w:tab/>
              <w:t>9</w:t>
            </w:r>
            <w:r>
              <w:rPr>
                <w:webHidden/>
              </w:rPr>
              <w:fldChar w:fldCharType="end"/>
            </w:r>
          </w:hyperlink>
        </w:p>
        <w:p>
          <w:pPr>
            <w:pStyle w:val="TOC3"/>
            <w:rPr>
              <w:rFonts w:ascii="Arial" w:hAnsi="Arial" w:eastAsia="" w:cs="Arial" w:eastAsiaTheme="minorEastAsia"/>
              <w:szCs w:val="22"/>
            </w:rPr>
          </w:pPr>
          <w:hyperlink w:anchor="_Toc146551747">
            <w:r>
              <w:rPr>
                <w:webHidden/>
                <w:rStyle w:val="IndexLink"/>
                <w:rFonts w:cs="Arial" w:ascii="Arial" w:hAnsi="Arial"/>
                <w:lang w:val="en-GB"/>
              </w:rPr>
              <w:t>2.2 MEASURES TO MAXIMISE IMPACT – DISEMINATION AND COMMUNICATION, EXPLOITATION OF RESULTS</w:t>
            </w:r>
            <w:r>
              <w:rPr>
                <w:webHidden/>
              </w:rPr>
              <w:fldChar w:fldCharType="begin"/>
            </w:r>
            <w:r>
              <w:rPr>
                <w:webHidden/>
              </w:rPr>
              <w:instrText xml:space="preserve">PAGEREF _Toc146551747 \h</w:instrText>
            </w:r>
            <w:r>
              <w:rPr>
                <w:webHidden/>
              </w:rPr>
              <w:fldChar w:fldCharType="separate"/>
            </w:r>
            <w:r>
              <w:rPr>
                <w:rStyle w:val="IndexLink"/>
                <w:rFonts w:cs="Arial" w:ascii="Arial" w:hAnsi="Arial"/>
                <w:vanish w:val="false"/>
              </w:rPr>
              <w:tab/>
              <w:t>11</w:t>
            </w:r>
            <w:r>
              <w:rPr>
                <w:webHidden/>
              </w:rPr>
              <w:fldChar w:fldCharType="end"/>
            </w:r>
          </w:hyperlink>
        </w:p>
        <w:p>
          <w:pPr>
            <w:pStyle w:val="TOC2"/>
            <w:tabs>
              <w:tab w:val="left" w:pos="660" w:leader="none"/>
              <w:tab w:val="right" w:pos="10204" w:leader="dot"/>
            </w:tabs>
            <w:rPr>
              <w:rFonts w:ascii="Arial" w:hAnsi="Arial" w:eastAsia="" w:cs="Arial" w:eastAsiaTheme="minorEastAsia"/>
              <w:szCs w:val="22"/>
            </w:rPr>
          </w:pPr>
          <w:hyperlink w:anchor="_Toc146551748">
            <w:r>
              <w:rPr>
                <w:webHidden/>
                <w:rStyle w:val="IndexLink"/>
                <w:rFonts w:cs="Arial" w:ascii="Arial" w:hAnsi="Arial"/>
                <w:lang w:val="en-GB"/>
              </w:rPr>
              <w:t>3.</w:t>
            </w:r>
            <w:r>
              <w:rPr>
                <w:rStyle w:val="IndexLink"/>
                <w:rFonts w:eastAsia="" w:cs="Arial" w:ascii="Arial" w:hAnsi="Arial" w:eastAsiaTheme="minorEastAsia"/>
                <w:szCs w:val="22"/>
              </w:rPr>
              <w:t xml:space="preserve"> </w:t>
            </w:r>
            <w:bookmarkStart w:id="0" w:name="_GoBack"/>
            <w:bookmarkEnd w:id="0"/>
            <w:r>
              <w:rPr>
                <w:rStyle w:val="IndexLink"/>
                <w:rFonts w:cs="Arial" w:ascii="Arial" w:hAnsi="Arial"/>
                <w:lang w:val="en-GB"/>
              </w:rPr>
              <w:t>Implementation</w:t>
            </w:r>
            <w:r>
              <w:rPr>
                <w:webHidden/>
              </w:rPr>
              <w:fldChar w:fldCharType="begin"/>
            </w:r>
            <w:r>
              <w:rPr>
                <w:webHidden/>
              </w:rPr>
              <w:instrText xml:space="preserve">PAGEREF _Toc146551748 \h</w:instrText>
            </w:r>
            <w:r>
              <w:rPr>
                <w:webHidden/>
              </w:rPr>
              <w:fldChar w:fldCharType="separate"/>
            </w:r>
            <w:r>
              <w:rPr>
                <w:rStyle w:val="IndexLink"/>
                <w:rFonts w:cs="Arial" w:ascii="Arial" w:hAnsi="Arial"/>
                <w:vanish w:val="false"/>
              </w:rPr>
              <w:tab/>
              <w:t>11</w:t>
            </w:r>
            <w:r>
              <w:rPr>
                <w:webHidden/>
              </w:rPr>
              <w:fldChar w:fldCharType="end"/>
            </w:r>
          </w:hyperlink>
        </w:p>
        <w:p>
          <w:pPr>
            <w:pStyle w:val="TOC3"/>
            <w:rPr>
              <w:rFonts w:ascii="Arial" w:hAnsi="Arial" w:eastAsia="" w:cs="Arial" w:eastAsiaTheme="minorEastAsia"/>
              <w:szCs w:val="22"/>
            </w:rPr>
          </w:pPr>
          <w:hyperlink w:anchor="_Toc146551749">
            <w:r>
              <w:rPr>
                <w:webHidden/>
                <w:rStyle w:val="IndexLink"/>
                <w:rFonts w:cs="Arial" w:ascii="Arial" w:hAnsi="Arial"/>
                <w:lang w:val="en-GB"/>
              </w:rPr>
              <w:t>3.1 PROJECT PLAN AND DELIVERABLES</w:t>
            </w:r>
            <w:r>
              <w:rPr>
                <w:webHidden/>
              </w:rPr>
              <w:fldChar w:fldCharType="begin"/>
            </w:r>
            <w:r>
              <w:rPr>
                <w:webHidden/>
              </w:rPr>
              <w:instrText xml:space="preserve">PAGEREF _Toc146551749 \h</w:instrText>
            </w:r>
            <w:r>
              <w:rPr>
                <w:webHidden/>
              </w:rPr>
              <w:fldChar w:fldCharType="separate"/>
            </w:r>
            <w:r>
              <w:rPr>
                <w:rStyle w:val="IndexLink"/>
                <w:rFonts w:cs="Arial" w:ascii="Arial" w:hAnsi="Arial"/>
                <w:vanish w:val="false"/>
              </w:rPr>
              <w:tab/>
              <w:t>12</w:t>
            </w:r>
            <w:r>
              <w:rPr>
                <w:webHidden/>
              </w:rPr>
              <w:fldChar w:fldCharType="end"/>
            </w:r>
          </w:hyperlink>
        </w:p>
        <w:p>
          <w:pPr>
            <w:pStyle w:val="TOC3"/>
            <w:rPr>
              <w:rFonts w:ascii="Arial" w:hAnsi="Arial" w:eastAsia="" w:cs="Arial" w:eastAsiaTheme="minorEastAsia"/>
              <w:szCs w:val="22"/>
            </w:rPr>
          </w:pPr>
          <w:hyperlink w:anchor="_Toc146551750">
            <w:r>
              <w:rPr>
                <w:webHidden/>
                <w:rStyle w:val="IndexLink"/>
                <w:rFonts w:cs="Arial" w:ascii="Arial" w:hAnsi="Arial"/>
                <w:lang w:val="en-GB"/>
              </w:rPr>
              <w:t>3.2 IMPLEMENTATION RISKS AND PROPOSED MEASURES</w:t>
            </w:r>
            <w:r>
              <w:rPr>
                <w:webHidden/>
              </w:rPr>
              <w:fldChar w:fldCharType="begin"/>
            </w:r>
            <w:r>
              <w:rPr>
                <w:webHidden/>
              </w:rPr>
              <w:instrText xml:space="preserve">PAGEREF _Toc146551750 \h</w:instrText>
            </w:r>
            <w:r>
              <w:rPr>
                <w:webHidden/>
              </w:rPr>
              <w:fldChar w:fldCharType="separate"/>
            </w:r>
            <w:r>
              <w:rPr>
                <w:rStyle w:val="IndexLink"/>
                <w:rFonts w:cs="Arial" w:ascii="Arial" w:hAnsi="Arial"/>
                <w:vanish w:val="false"/>
              </w:rPr>
              <w:tab/>
              <w:t>17</w:t>
            </w:r>
            <w:r>
              <w:rPr>
                <w:webHidden/>
              </w:rPr>
              <w:fldChar w:fldCharType="end"/>
            </w:r>
          </w:hyperlink>
        </w:p>
        <w:p>
          <w:pPr>
            <w:pStyle w:val="TOC3"/>
            <w:rPr>
              <w:rFonts w:ascii="Arial" w:hAnsi="Arial" w:eastAsia="" w:cs="Arial" w:eastAsiaTheme="minorEastAsia"/>
              <w:szCs w:val="22"/>
            </w:rPr>
          </w:pPr>
          <w:hyperlink w:anchor="_Toc146551751">
            <w:r>
              <w:rPr>
                <w:webHidden/>
                <w:rStyle w:val="IndexLink"/>
                <w:rFonts w:cs="Arial" w:ascii="Arial" w:hAnsi="Arial"/>
                <w:lang w:val="en-GB"/>
              </w:rPr>
              <w:t>3.3 OPERATIONAL CAPACITY OF THE APPLICANT/HOST ORGANISATION</w:t>
            </w:r>
            <w:r>
              <w:rPr>
                <w:webHidden/>
              </w:rPr>
              <w:fldChar w:fldCharType="begin"/>
            </w:r>
            <w:r>
              <w:rPr>
                <w:webHidden/>
              </w:rPr>
              <w:instrText xml:space="preserve">PAGEREF _Toc146551751 \h</w:instrText>
            </w:r>
            <w:r>
              <w:rPr>
                <w:webHidden/>
              </w:rPr>
              <w:fldChar w:fldCharType="separate"/>
            </w:r>
            <w:r>
              <w:rPr>
                <w:rStyle w:val="IndexLink"/>
                <w:rFonts w:cs="Arial" w:ascii="Arial" w:hAnsi="Arial"/>
                <w:vanish w:val="false"/>
              </w:rPr>
              <w:tab/>
              <w:t>18</w:t>
            </w:r>
            <w:r>
              <w:rPr>
                <w:webHidden/>
              </w:rPr>
              <w:fldChar w:fldCharType="end"/>
            </w:r>
          </w:hyperlink>
        </w:p>
        <w:p>
          <w:pPr>
            <w:pStyle w:val="Normal"/>
            <w:ind w:hanging="347" w:left="567"/>
            <w:rPr>
              <w:lang w:val="en-GB"/>
            </w:rPr>
          </w:pPr>
          <w:r>
            <w:rPr>
              <w:lang w:val="en-GB"/>
            </w:rPr>
          </w:r>
          <w:r>
            <w:rPr>
              <w:lang w:val="en-GB"/>
            </w:rPr>
            <w:fldChar w:fldCharType="end"/>
          </w:r>
        </w:p>
      </w:sdtContent>
    </w:sdt>
    <w:p>
      <w:pPr>
        <w:pStyle w:val="P68B1DB1-Normlny7"/>
        <w:tabs>
          <w:tab w:val="clear" w:pos="708"/>
          <w:tab w:val="left" w:pos="7920" w:leader="none"/>
        </w:tabs>
        <w:rPr>
          <w:lang w:val="en-GB"/>
        </w:rPr>
      </w:pPr>
      <w:r>
        <w:rPr>
          <w:lang w:val="en-GB"/>
        </w:rPr>
        <w:tab/>
      </w:r>
    </w:p>
    <w:p>
      <w:pPr>
        <w:pStyle w:val="P68B1DB1-Normlny8"/>
        <w:tabs>
          <w:tab w:val="clear" w:pos="708"/>
          <w:tab w:val="left" w:pos="7920" w:leader="none"/>
        </w:tabs>
        <w:rPr>
          <w:color w:themeColor="accent1" w:themeShade="bf" w:val="2E74B5"/>
          <w:lang w:val="en-GB"/>
        </w:rPr>
      </w:pPr>
      <w:r>
        <w:rPr>
          <w:color w:themeColor="accent1" w:themeShade="bf" w:val="2E74B5"/>
          <w:lang w:val="en-GB"/>
        </w:rPr>
      </w:r>
      <w:r>
        <w:br w:type="page"/>
      </w:r>
    </w:p>
    <w:p>
      <w:pPr>
        <w:pStyle w:val="P68B1DB1-Normlny9"/>
        <w:spacing w:before="0" w:after="160"/>
        <w:rPr>
          <w:lang w:val="en-GB"/>
        </w:rPr>
      </w:pPr>
      <w:r>
        <w:rPr>
          <w:lang w:val="en-GB"/>
        </w:rPr>
        <w:t xml:space="preserve">Title of the project: </w:t>
      </w:r>
    </w:p>
    <w:p>
      <w:pPr>
        <w:pStyle w:val="ListParagraph"/>
        <w:rPr>
          <w:rFonts w:ascii="Arial" w:hAnsi="Arial" w:cs="Arial"/>
        </w:rPr>
      </w:pPr>
      <w:r>
        <w:rPr>
          <w:rFonts w:cs="Arial" w:ascii="Arial" w:hAnsi="Arial"/>
          <w:u w:val="none" w:color="B02421"/>
        </w:rPr>
        <w:t>Some Aspects of Universal Algebra Constructions Applied to Classical Algebras</w:t>
      </w:r>
    </w:p>
    <w:p>
      <w:pPr>
        <w:pStyle w:val="P68B1DB1-Normlny9"/>
        <w:rPr>
          <w:lang w:val="en-GB"/>
        </w:rPr>
      </w:pPr>
      <w:r>
        <w:rPr>
          <w:lang w:val="en-GB"/>
        </w:rPr>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Short title of the project/Acronym: </w:t>
      </w:r>
      <w:r>
        <w:rPr>
          <w:rFonts w:cs="Arial" w:ascii="Arial" w:hAnsi="Arial"/>
        </w:rPr>
        <w:t xml:space="preserve">Some Aspects of Universal Algebra </w:t>
      </w:r>
    </w:p>
    <w:p>
      <w:pPr>
        <w:pStyle w:val="Normal"/>
        <w:rPr>
          <w:rFonts w:ascii="Arial" w:hAnsi="Arial" w:eastAsia="" w:cs="Arial" w:eastAsiaTheme="majorEastAsia"/>
          <w:color w:themeColor="accent1" w:themeShade="bf" w:val="2E74B5"/>
          <w:sz w:val="24"/>
          <w:lang w:val="en-GB"/>
        </w:rPr>
      </w:pPr>
      <w:r>
        <w:rPr>
          <w:rFonts w:eastAsia="" w:cs="Arial" w:ascii="Arial" w:hAnsi="Arial" w:eastAsiaTheme="majorEastAsia"/>
          <w:color w:themeColor="accent1" w:themeShade="bf" w:val="2E74B5"/>
          <w:sz w:val="24"/>
          <w:lang w:val="en-GB"/>
        </w:rPr>
        <w:t xml:space="preserve">Category of researcher: </w:t>
      </w:r>
      <w:sdt>
        <w:sdtPr>
          <w:id w:val="-585611680"/>
          <w:comboBox>
            <w:listItem w:value="Vyberte položku."/>
            <w:listItem w:displayText="R2" w:value="R2"/>
            <w:listItem w:displayText="R3" w:value="R3"/>
            <w:listItem w:displayText="R4" w:value="R4"/>
          </w:comboBox>
        </w:sdtPr>
        <w:sdtContent>
          <w:r>
            <w:rPr>
              <w:rFonts w:eastAsia="" w:cs="Arial" w:ascii="Arial" w:hAnsi="Arial" w:eastAsiaTheme="majorEastAsia"/>
              <w:color w:themeColor="accent1" w:themeShade="bf" w:val="2E74B5"/>
              <w:sz w:val="24"/>
              <w:lang w:val="en-GB"/>
            </w:rPr>
          </w:r>
          <w:r>
            <w:rPr>
              <w:rFonts w:eastAsia="" w:cs="Arial" w:ascii="Arial" w:hAnsi="Arial" w:eastAsiaTheme="majorEastAsia"/>
              <w:color w:themeColor="accent1" w:themeShade="bf" w:val="2E74B5"/>
              <w:sz w:val="24"/>
              <w:szCs w:val="24"/>
              <w:lang w:val="en-GB"/>
            </w:rPr>
            <w:t>R2</w:t>
          </w:r>
        </w:sdtContent>
      </w:sdt>
    </w:p>
    <w:p>
      <w:pPr>
        <w:pStyle w:val="Normal"/>
        <w:rPr>
          <w:rStyle w:val="PlaceholderText"/>
          <w:rFonts w:ascii="Arial" w:hAnsi="Arial" w:cs="Arial"/>
          <w:lang w:val="en-GB"/>
        </w:rPr>
      </w:pPr>
      <w:r>
        <w:rPr>
          <w:rStyle w:val="PlaceholderText"/>
          <w:rFonts w:cs="Arial" w:ascii="Arial" w:hAnsi="Arial"/>
          <w:sz w:val="24"/>
          <w:lang w:val="en-GB"/>
        </w:rPr>
        <w:t>Researcher’s job type: full-time</w:t>
      </w:r>
    </w:p>
    <w:p>
      <w:pPr>
        <w:pStyle w:val="Normal"/>
        <w:rPr>
          <w:rStyle w:val="PlaceholderText"/>
          <w:lang w:val="en-GB"/>
        </w:rPr>
      </w:pPr>
      <w:r>
        <w:rPr>
          <w:rStyle w:val="PlaceholderText"/>
          <w:rFonts w:cs="Arial" w:ascii="Arial" w:hAnsi="Arial"/>
          <w:sz w:val="24"/>
          <w:lang w:val="en-GB"/>
        </w:rPr>
        <w:t>Type of research:</w:t>
      </w:r>
      <w:r>
        <w:rPr>
          <w:rStyle w:val="PlaceholderText"/>
          <w:sz w:val="24"/>
          <w:lang w:val="en-GB"/>
        </w:rPr>
        <w:t xml:space="preserve"> </w:t>
      </w:r>
      <w:r>
        <w:rPr>
          <w:rStyle w:val="PlaceholderText"/>
          <w:rFonts w:cs="Arial" w:ascii="Arial" w:hAnsi="Arial"/>
          <w:lang w:val="en-GB"/>
        </w:rPr>
        <w:t xml:space="preserve"> independent</w:t>
      </w:r>
    </w:p>
    <w:p>
      <w:pPr>
        <w:pStyle w:val="P68B1DB1-Normlny9"/>
        <w:rPr>
          <w:lang w:val="en-GB"/>
        </w:rPr>
      </w:pPr>
      <w:r>
        <w:rPr>
          <w:lang w:val="en-GB"/>
        </w:rPr>
        <w:t>Identification of the entity involved in the implementation of the project:</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362"/>
        <w:gridCol w:w="5108"/>
        <w:gridCol w:w="2798"/>
        <w:gridCol w:w="1935"/>
      </w:tblGrid>
      <w:tr>
        <w:trPr>
          <w:trHeight w:val="300" w:hRule="atLeast"/>
        </w:trPr>
        <w:tc>
          <w:tcPr>
            <w:tcW w:w="36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240" w:before="0" w:after="0"/>
              <w:rPr>
                <w:rFonts w:ascii="Arial" w:hAnsi="Arial" w:eastAsia="Times New Roman" w:cs="Arial"/>
                <w:sz w:val="24"/>
                <w:lang w:val="en-GB"/>
              </w:rPr>
            </w:pPr>
            <w:r>
              <w:rPr>
                <w:rFonts w:eastAsia="Times New Roman" w:cs="Arial" w:ascii="Arial" w:hAnsi="Arial"/>
                <w:sz w:val="24"/>
                <w:lang w:val="en-GB"/>
              </w:rPr>
            </w:r>
          </w:p>
        </w:tc>
        <w:tc>
          <w:tcPr>
            <w:tcW w:w="5108"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lang w:val="en-GB"/>
              </w:rPr>
            </w:pPr>
            <w:r>
              <w:rPr>
                <w:lang w:val="en-GB"/>
              </w:rPr>
              <w:t>Official name of the entity</w:t>
            </w:r>
          </w:p>
        </w:tc>
        <w:tc>
          <w:tcPr>
            <w:tcW w:w="2798"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lang w:val="en-GB"/>
              </w:rPr>
            </w:pPr>
            <w:r>
              <w:rPr>
                <w:lang w:val="en-GB"/>
              </w:rPr>
              <w:t>Abbreviated name of the entity</w:t>
            </w:r>
          </w:p>
          <w:p>
            <w:pPr>
              <w:pStyle w:val="P68B1DB1-Normlny11"/>
              <w:spacing w:lineRule="auto" w:line="240" w:before="0" w:after="0"/>
              <w:rPr>
                <w:lang w:val="en-GB"/>
              </w:rPr>
            </w:pPr>
            <w:r>
              <w:rPr>
                <w:lang w:val="en-GB"/>
              </w:rPr>
            </w:r>
          </w:p>
        </w:tc>
        <w:tc>
          <w:tcPr>
            <w:tcW w:w="1935" w:type="dxa"/>
            <w:tcBorders>
              <w:top w:val="single" w:sz="4" w:space="0" w:color="000000"/>
              <w:left w:val="single" w:sz="4" w:space="0" w:color="000000"/>
              <w:bottom w:val="single" w:sz="4" w:space="0" w:color="000000"/>
              <w:right w:val="single" w:sz="4" w:space="0" w:color="000000"/>
            </w:tcBorders>
          </w:tcPr>
          <w:p>
            <w:pPr>
              <w:pStyle w:val="P68B1DB1-Normlny10"/>
              <w:spacing w:lineRule="auto" w:line="240" w:before="0" w:after="0"/>
              <w:rPr>
                <w:color w:val="000000"/>
                <w:lang w:val="en-GB"/>
              </w:rPr>
            </w:pPr>
            <w:r>
              <w:rPr>
                <w:lang w:val="en-GB"/>
              </w:rPr>
              <w:t>Role in the project</w:t>
            </w:r>
          </w:p>
        </w:tc>
      </w:tr>
      <w:tr>
        <w:trPr>
          <w:trHeight w:val="567" w:hRule="atLeast"/>
        </w:trPr>
        <w:tc>
          <w:tcPr>
            <w:tcW w:w="362"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lang w:val="en-GB"/>
              </w:rPr>
            </w:pPr>
            <w:r>
              <w:rPr>
                <w:lang w:val="en-GB"/>
              </w:rPr>
              <w:t>1</w:t>
            </w:r>
          </w:p>
        </w:tc>
        <w:tc>
          <w:tcPr>
            <w:tcW w:w="510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color w:val="000000"/>
                <w:lang w:val="en-GB"/>
              </w:rPr>
            </w:pPr>
            <w:r>
              <w:rPr>
                <w:rFonts w:eastAsia="Times New Roman" w:cs="Arial" w:ascii="Arial" w:hAnsi="Arial"/>
                <w:color w:val="000000"/>
                <w:lang w:val="en-GB"/>
              </w:rPr>
              <w:t>Mathematical Institute Slovak Academy of Sciences</w:t>
            </w:r>
          </w:p>
        </w:tc>
        <w:tc>
          <w:tcPr>
            <w:tcW w:w="279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160"/>
              <w:rPr>
                <w:rFonts w:ascii="Arial" w:hAnsi="Arial" w:eastAsia="Times New Roman" w:cs="Arial"/>
                <w:color w:themeColor="text1" w:val="000000"/>
                <w:lang w:val="en-GB"/>
              </w:rPr>
            </w:pPr>
            <w:r>
              <w:rPr>
                <w:rFonts w:eastAsia="Times New Roman" w:cs="Arial" w:ascii="Arial" w:hAnsi="Arial"/>
                <w:color w:themeColor="text1" w:val="000000"/>
                <w:lang w:val="en-GB"/>
              </w:rPr>
              <w:t>MI SAS</w:t>
            </w:r>
          </w:p>
        </w:tc>
        <w:tc>
          <w:tcPr>
            <w:tcW w:w="1935" w:type="dxa"/>
            <w:tcBorders>
              <w:top w:val="single" w:sz="4" w:space="0" w:color="000000"/>
              <w:left w:val="single" w:sz="4" w:space="0" w:color="000000"/>
              <w:bottom w:val="single" w:sz="4" w:space="0" w:color="000000"/>
              <w:right w:val="single" w:sz="4" w:space="0" w:color="000000"/>
            </w:tcBorders>
          </w:tcPr>
          <w:p>
            <w:pPr>
              <w:pStyle w:val="P68B1DB1-Normlny12"/>
              <w:spacing w:lineRule="auto" w:line="240" w:before="0" w:after="0"/>
              <w:rPr>
                <w:lang w:val="en-GB"/>
              </w:rPr>
            </w:pPr>
            <w:r>
              <w:rPr>
                <w:lang w:val="en-GB"/>
              </w:rPr>
              <w:t>Applicant</w:t>
            </w:r>
          </w:p>
        </w:tc>
      </w:tr>
    </w:tbl>
    <w:p>
      <w:pPr>
        <w:pStyle w:val="Normal"/>
        <w:rPr>
          <w:rFonts w:eastAsia="Times New Roman" w:cs="Calibri" w:cstheme="minorHAnsi"/>
          <w:i/>
          <w:i/>
          <w:highlight w:val="lightGray"/>
          <w:lang w:val="en-GB"/>
        </w:rPr>
      </w:pPr>
      <w:r>
        <w:rPr>
          <w:rFonts w:eastAsia="Times New Roman" w:cs="Calibri" w:cstheme="minorHAnsi"/>
          <w:i/>
          <w:highlight w:val="lightGray"/>
          <w:lang w:val="en-GB"/>
        </w:rPr>
      </w:r>
    </w:p>
    <w:p>
      <w:pPr>
        <w:pStyle w:val="Heading2"/>
        <w:spacing w:before="120" w:after="120"/>
        <w:rPr>
          <w:rFonts w:ascii="Arial" w:hAnsi="Arial" w:cs="Arial"/>
          <w:lang w:val="en-GB"/>
        </w:rPr>
      </w:pPr>
      <w:bookmarkStart w:id="1" w:name="_Toc146551739"/>
      <w:bookmarkStart w:id="2" w:name="_Toc117149270"/>
      <w:r>
        <w:rPr>
          <w:rStyle w:val="Nadpis2Char"/>
          <w:rFonts w:cs="Arial" w:ascii="Arial" w:hAnsi="Arial"/>
          <w:lang w:val="en-GB"/>
        </w:rPr>
        <w:t>1. Excellence</w:t>
      </w:r>
      <w:bookmarkEnd w:id="1"/>
      <w:bookmarkEnd w:id="2"/>
    </w:p>
    <w:p>
      <w:pPr>
        <w:pStyle w:val="Paragraph"/>
        <w:spacing w:beforeAutospacing="0" w:before="0" w:afterAutospacing="0" w:after="0"/>
        <w:jc w:val="both"/>
        <w:textAlignment w:val="baseline"/>
        <w:rPr>
          <w:rStyle w:val="Normaltextrun"/>
          <w:rFonts w:ascii="Arial" w:hAnsi="Arial" w:cs="Arial"/>
          <w:sz w:val="22"/>
          <w:shd w:fill="FFFFFF" w:val="clear"/>
          <w:lang w:val="en-GB"/>
        </w:rPr>
      </w:pPr>
      <w:r>
        <w:rPr>
          <w:rFonts w:cs="Arial" w:ascii="Arial" w:hAnsi="Arial"/>
          <w:sz w:val="22"/>
          <w:shd w:fill="FFFFFF" w:val="clear"/>
          <w:lang w:val="en-GB"/>
        </w:rPr>
      </w:r>
    </w:p>
    <w:p>
      <w:pPr>
        <w:pStyle w:val="Heading3"/>
        <w:numPr>
          <w:ilvl w:val="1"/>
          <w:numId w:val="2"/>
        </w:numPr>
        <w:spacing w:before="120" w:after="120"/>
        <w:rPr>
          <w:rStyle w:val="Normaltextrun"/>
          <w:lang w:val="en-GB"/>
        </w:rPr>
      </w:pPr>
      <w:bookmarkStart w:id="3" w:name="_Toc146551740"/>
      <w:r>
        <w:rPr>
          <w:rStyle w:val="Normaltextrun"/>
          <w:rFonts w:cs="Arial" w:ascii="Arial" w:hAnsi="Arial"/>
          <w:lang w:val="en-GB"/>
        </w:rPr>
        <w:t>PROJECT OBJECTIVES</w:t>
      </w:r>
      <w:bookmarkEnd w:id="3"/>
      <w:r>
        <w:rPr>
          <w:rStyle w:val="Normaltextrun"/>
          <w:lang w:val="en-GB"/>
        </w:rPr>
        <w:t xml:space="preserve"> </w:t>
      </w:r>
    </w:p>
    <w:p>
      <w:pPr>
        <w:pStyle w:val="Paragraph"/>
        <w:spacing w:before="280" w:after="120"/>
        <w:jc w:val="both"/>
        <w:textAlignment w:val="baseline"/>
        <w:rPr>
          <w:rFonts w:ascii="Arial" w:hAnsi="Arial" w:cs="Arial"/>
          <w:i/>
          <w:i/>
          <w:sz w:val="22"/>
          <w:szCs w:val="22"/>
        </w:rPr>
      </w:pPr>
      <w:r>
        <w:rPr>
          <w:rFonts w:cs="Arial" w:ascii="Arial" w:hAnsi="Arial"/>
          <w:i/>
          <w:sz w:val="22"/>
          <w:szCs w:val="22"/>
        </w:rPr>
        <w:t xml:space="preserve">The primary aim of this project is to achieve new results in universal algebra and in theory of classical algebraic structures as groups, rings, modules. The secondary aim is to capitalize on the results achieved at MI SAS for the development of European science. </w:t>
      </w:r>
    </w:p>
    <w:p>
      <w:pPr>
        <w:pStyle w:val="Paragraph"/>
        <w:spacing w:before="280" w:after="120"/>
        <w:jc w:val="both"/>
        <w:textAlignment w:val="baseline"/>
        <w:rPr>
          <w:rFonts w:ascii="Arial" w:hAnsi="Arial" w:cs="Arial"/>
          <w:i/>
          <w:i/>
          <w:sz w:val="22"/>
          <w:szCs w:val="22"/>
        </w:rPr>
      </w:pPr>
      <w:r>
        <w:rPr>
          <w:rFonts w:cs="Arial" w:ascii="Arial" w:hAnsi="Arial"/>
          <w:i/>
          <w:sz w:val="22"/>
          <w:szCs w:val="22"/>
        </w:rPr>
        <w:t>We expect a progress in the following interconnected directions:</w:t>
      </w:r>
    </w:p>
    <w:p>
      <w:pPr>
        <w:pStyle w:val="ListParagraph"/>
        <w:numPr>
          <w:ilvl w:val="0"/>
          <w:numId w:val="6"/>
        </w:numPr>
        <w:spacing w:lineRule="auto" w:line="276" w:before="0" w:after="200"/>
        <w:contextualSpacing/>
        <w:rPr>
          <w:rFonts w:ascii="Arial" w:hAnsi="Arial" w:cs="Arial"/>
          <w:lang w:val="en-US"/>
        </w:rPr>
      </w:pPr>
      <w:r>
        <w:rPr>
          <w:rFonts w:cs="Arial" w:ascii="Arial" w:hAnsi="Arial"/>
          <w:i/>
          <w:lang w:val="en-US"/>
        </w:rPr>
        <w:t>EKP property for algebras, in particular for rings and groups</w:t>
      </w:r>
      <w:r>
        <w:rPr>
          <w:rFonts w:cs="Arial" w:ascii="Arial" w:hAnsi="Arial"/>
          <w:lang w:val="en-US"/>
        </w:rPr>
        <w:t xml:space="preserve">. An algebra </w:t>
      </w:r>
      <w:r>
        <w:rPr>
          <w:rFonts w:cs="Arial" w:ascii="Arial" w:hAnsi="Arial"/>
          <w:i/>
          <w:lang w:val="en-US"/>
        </w:rPr>
        <w:t xml:space="preserve">A </w:t>
      </w:r>
      <w:r>
        <w:rPr>
          <w:rFonts w:cs="Arial" w:ascii="Arial" w:hAnsi="Arial"/>
          <w:lang w:val="en-US"/>
        </w:rPr>
        <w:t xml:space="preserve">has an endomorphism kernel property (EKP) if every congruence relation θ on </w:t>
      </w:r>
      <w:r>
        <w:rPr>
          <w:rFonts w:cs="Arial" w:ascii="Arial" w:hAnsi="Arial"/>
          <w:i/>
          <w:lang w:val="en-US"/>
        </w:rPr>
        <w:t>A</w:t>
      </w:r>
      <w:r>
        <w:rPr>
          <w:rFonts w:cs="Arial" w:ascii="Arial" w:hAnsi="Arial"/>
          <w:lang w:val="en-US"/>
        </w:rPr>
        <w:t xml:space="preserve"> different from universal congruence </w:t>
      </w:r>
      <w:r>
        <w:rPr>
          <w:rFonts w:cs="Arial" w:ascii="Arial" w:hAnsi="Arial"/>
          <w:i/>
          <w:lang w:val="en-US"/>
        </w:rPr>
        <w:t>A × A</w:t>
      </w:r>
      <w:r>
        <w:rPr>
          <w:rFonts w:cs="Arial" w:ascii="Arial" w:hAnsi="Arial"/>
          <w:lang w:val="en-US"/>
        </w:rPr>
        <w:t xml:space="preserve"> is the kernel of an endomorphism on </w:t>
      </w:r>
      <w:r>
        <w:rPr>
          <w:rFonts w:cs="Arial" w:ascii="Arial" w:hAnsi="Arial"/>
          <w:i/>
          <w:lang w:val="en-US"/>
        </w:rPr>
        <w:t>A</w:t>
      </w:r>
      <w:r>
        <w:rPr>
          <w:rFonts w:cs="Arial" w:ascii="Arial" w:hAnsi="Arial"/>
          <w:lang w:val="en-US"/>
        </w:rPr>
        <w:t>. This property has been intensively studied in recent years for various types of algebraic structures. Rings and groups are still open. EKP was investigated for distributive lattices (M.Ploščica) and unary algebras (E. Halušková) at MI SAS.</w:t>
      </w:r>
    </w:p>
    <w:p>
      <w:pPr>
        <w:pStyle w:val="ListParagraph"/>
        <w:numPr>
          <w:ilvl w:val="0"/>
          <w:numId w:val="6"/>
        </w:numPr>
        <w:spacing w:lineRule="auto" w:line="276" w:before="0" w:after="200"/>
        <w:contextualSpacing/>
        <w:rPr>
          <w:rFonts w:ascii="Arial" w:hAnsi="Arial" w:cs="Arial"/>
          <w:lang w:val="en-US"/>
        </w:rPr>
      </w:pPr>
      <w:r>
        <w:rPr>
          <w:rFonts w:cs="Arial" w:ascii="Arial" w:hAnsi="Arial"/>
          <w:i/>
          <w:lang w:val="en-US"/>
        </w:rPr>
        <w:t>Algebras with  easy direct limits</w:t>
      </w:r>
      <w:r>
        <w:rPr>
          <w:rFonts w:cs="Arial" w:ascii="Arial" w:hAnsi="Arial"/>
          <w:lang w:val="en-US"/>
        </w:rPr>
        <w:t xml:space="preserve">. This topic is connected with endomorphisms of algebras again since it is about direct families in which all algebras are isomorphic. The direct limit construction is one of  basic tools in Universal algebra to create new algebras from families of algebras.  There are many interesting and open questions.  We say that </w:t>
      </w:r>
      <w:r>
        <w:rPr>
          <w:rFonts w:cs="Arial" w:ascii="Arial" w:hAnsi="Arial"/>
          <w:i/>
          <w:lang w:val="en-US"/>
        </w:rPr>
        <w:t>A</w:t>
      </w:r>
      <w:r>
        <w:rPr>
          <w:rFonts w:cs="Arial" w:ascii="Arial" w:hAnsi="Arial"/>
          <w:lang w:val="en-US"/>
        </w:rPr>
        <w:t xml:space="preserve"> is an algebra with easy direct limits (EDL) if every direct limit of </w:t>
      </w:r>
      <w:r>
        <w:rPr>
          <w:rFonts w:cs="Arial" w:ascii="Arial" w:hAnsi="Arial"/>
          <w:i/>
          <w:lang w:val="en-US"/>
        </w:rPr>
        <w:t>A</w:t>
      </w:r>
      <w:r>
        <w:rPr>
          <w:rFonts w:cs="Arial" w:ascii="Arial" w:hAnsi="Arial"/>
          <w:lang w:val="en-US"/>
        </w:rPr>
        <w:t xml:space="preserve"> is isomorphic to a retract of </w:t>
      </w:r>
      <w:r>
        <w:rPr>
          <w:rFonts w:cs="Arial" w:ascii="Arial" w:hAnsi="Arial"/>
          <w:i/>
          <w:lang w:val="en-US"/>
        </w:rPr>
        <w:t>A</w:t>
      </w:r>
      <w:r>
        <w:rPr>
          <w:rFonts w:cs="Arial" w:ascii="Arial" w:hAnsi="Arial"/>
          <w:lang w:val="en-US"/>
        </w:rPr>
        <w:t>. It is known that every finite algebra is with EDL. A conjecture is that every simple algebra is with EDL. We recognized several examples of infinite groups and rings with EDL and we plan to generalize their properties.</w:t>
      </w:r>
    </w:p>
    <w:p>
      <w:pPr>
        <w:pStyle w:val="ListParagraph"/>
        <w:numPr>
          <w:ilvl w:val="0"/>
          <w:numId w:val="6"/>
        </w:numPr>
        <w:spacing w:lineRule="auto" w:line="276" w:before="0" w:after="200"/>
        <w:contextualSpacing/>
        <w:rPr>
          <w:rFonts w:ascii="Arial" w:hAnsi="Arial" w:cs="Arial"/>
          <w:lang w:val="en-US"/>
        </w:rPr>
      </w:pPr>
      <w:r>
        <w:rPr>
          <w:rFonts w:cs="Arial" w:ascii="Arial" w:hAnsi="Arial"/>
          <w:i/>
          <w:lang w:val="en-US"/>
        </w:rPr>
        <w:t>Classes of algebras closed with respect to direct limits</w:t>
      </w:r>
      <w:r>
        <w:rPr>
          <w:rFonts w:cs="Arial" w:ascii="Arial" w:hAnsi="Arial"/>
          <w:lang w:val="en-US"/>
        </w:rPr>
        <w:t>. Many classes of rings that are closed with respect to direct limits can be found in literature. We want to summarize them and study the lattice of classes of rings closed with respect to direct limits. It is possible that this work will contribute to the solution of problems of Universal Algebra mentioned in the next section.</w:t>
      </w:r>
    </w:p>
    <w:p>
      <w:pPr>
        <w:pStyle w:val="Paragraph"/>
        <w:spacing w:before="280" w:after="120"/>
        <w:jc w:val="both"/>
        <w:textAlignment w:val="baseline"/>
        <w:rPr>
          <w:rFonts w:ascii="Arial" w:hAnsi="Arial" w:cs="Arial"/>
          <w:i/>
          <w:i/>
          <w:sz w:val="22"/>
          <w:szCs w:val="22"/>
        </w:rPr>
      </w:pPr>
      <w:r>
        <w:rPr>
          <w:rFonts w:cs="Arial" w:ascii="Arial" w:hAnsi="Arial"/>
          <w:i/>
          <w:sz w:val="22"/>
          <w:szCs w:val="22"/>
        </w:rPr>
        <w:t>Our results  will be presented at mathematical seminars, workshops, conferences</w:t>
      </w:r>
      <w:r>
        <w:rPr/>
        <w:t xml:space="preserve"> </w:t>
      </w:r>
      <w:r>
        <w:rPr>
          <w:rFonts w:cs="Arial" w:ascii="Arial" w:hAnsi="Arial"/>
          <w:i/>
          <w:sz w:val="22"/>
          <w:szCs w:val="22"/>
        </w:rPr>
        <w:t>in Slovakia, Poland and other European countries. We assume that it will be at least 8 presentations, 4 of them at international events. Further, we submit results of the project to publication in mathematical journals registred in databases WoS, SCOPUS. We suppose that we will prepare at least 3 papers.</w:t>
      </w:r>
    </w:p>
    <w:p>
      <w:pPr>
        <w:pStyle w:val="P68B1DB1-Nadpis314"/>
        <w:spacing w:before="120" w:after="120"/>
        <w:rPr>
          <w:caps/>
          <w:lang w:val="en-GB"/>
        </w:rPr>
      </w:pPr>
      <w:bookmarkStart w:id="4" w:name="_Toc146551741"/>
      <w:bookmarkStart w:id="5" w:name="_Toc117149272"/>
      <w:r>
        <w:rPr>
          <w:lang w:val="en-GB"/>
        </w:rPr>
        <w:t xml:space="preserve">1.2 </w:t>
      </w:r>
      <w:bookmarkEnd w:id="5"/>
      <w:r>
        <w:rPr>
          <w:rStyle w:val="Normaltextrun"/>
          <w:lang w:val="en-GB"/>
        </w:rPr>
        <w:t>RELEVANCE, QUALITY AND NOVELTY OF THE PROJECT</w:t>
      </w:r>
      <w:bookmarkEnd w:id="4"/>
    </w:p>
    <w:p>
      <w:pPr>
        <w:pStyle w:val="Normal"/>
        <w:rPr>
          <w:rFonts w:ascii="Arial" w:hAnsi="Arial" w:cs="Arial"/>
          <w:lang w:val="en-US"/>
        </w:rPr>
      </w:pPr>
      <w:r>
        <w:rPr>
          <w:rFonts w:cs="Arial" w:ascii="Arial" w:hAnsi="Arial"/>
          <w:lang w:val="en-US"/>
        </w:rPr>
        <w:t xml:space="preserve">The aim of the project is to use the universal algebra methods to study the properties of particular algebraic structures such as: commutative and non-commutative rings, groups, semigroups, modules, algebras over fields. The main focus of the research will be using definitions of direct limits to describe properties of such particular algebras. These limits occur naturally in universal algebra as well as in category theory. </w:t>
      </w:r>
    </w:p>
    <w:p>
      <w:pPr>
        <w:pStyle w:val="Normal"/>
        <w:rPr>
          <w:rFonts w:ascii="Arial" w:hAnsi="Arial" w:cs="Arial"/>
        </w:rPr>
      </w:pPr>
      <w:r>
        <w:rPr>
          <w:rFonts w:cs="Arial" w:ascii="Arial" w:hAnsi="Arial"/>
          <w:lang w:val="en-US"/>
        </w:rPr>
        <w:t xml:space="preserve">One of the most important mathematical problems has long been the search for objects larger than the given ones that preserve selected properties, e.g. complex numbers were discovered as a generalization of real numbers. Over the centuries, algebraists have discovered many constructions that lead to finding new, larger objects using smaller ones. Among such constructions that have found more widespread use in ring theory, the following should be mentioned: commutative and noncommutative rings of polynomials in finitely (or infinitely) many variables over any ring, skew polynomial rings, localizations of commutative rings, rings of left or right fractions for any (noncommutative) ring, Martindale ring of quotients, direct and inverse limits of rings. Next, direct and inverse limits constructions have the advantage that they allow working with certain types of graphs. </w:t>
      </w:r>
    </w:p>
    <w:p>
      <w:pPr>
        <w:pStyle w:val="P1"/>
        <w:spacing w:before="280" w:after="280"/>
        <w:rPr>
          <w:rFonts w:ascii="Arial" w:hAnsi="Arial" w:cs="Arial"/>
          <w:sz w:val="22"/>
          <w:szCs w:val="22"/>
          <w:lang w:val="en-US"/>
        </w:rPr>
      </w:pPr>
      <w:r>
        <w:rPr>
          <w:rFonts w:cs="Arial" w:ascii="Arial" w:hAnsi="Arial"/>
          <w:sz w:val="22"/>
          <w:szCs w:val="22"/>
          <w:lang w:val="en-US"/>
        </w:rPr>
        <w:t>Direct and inverse limits in ring theory, group theory, module theory are found in many abstract algebra textbooks such as:</w:t>
      </w:r>
    </w:p>
    <w:p>
      <w:pPr>
        <w:pStyle w:val="Normal"/>
        <w:numPr>
          <w:ilvl w:val="0"/>
          <w:numId w:val="4"/>
        </w:numPr>
        <w:spacing w:lineRule="auto" w:line="240" w:beforeAutospacing="1" w:after="0"/>
        <w:rPr>
          <w:rFonts w:ascii="Arial" w:hAnsi="Arial" w:cs="Arial"/>
          <w:lang w:val="en-US"/>
        </w:rPr>
      </w:pPr>
      <w:r>
        <w:rPr>
          <w:rFonts w:cs="Arial" w:ascii="Arial" w:hAnsi="Arial"/>
          <w:lang w:val="en-US"/>
        </w:rPr>
        <w:t xml:space="preserve">M. Atiyah, I. Macdonald: </w:t>
      </w:r>
      <w:r>
        <w:rPr>
          <w:rFonts w:cs="Arial" w:ascii="Arial" w:hAnsi="Arial"/>
          <w:i/>
          <w:iCs/>
          <w:lang w:val="en-US"/>
        </w:rPr>
        <w:t>Introduction to Commutative Algebra</w:t>
      </w:r>
      <w:r>
        <w:rPr>
          <w:rFonts w:cs="Arial" w:ascii="Arial" w:hAnsi="Arial"/>
          <w:lang w:val="en-US"/>
        </w:rPr>
        <w:t>, Addison-Wesley, 1969.</w:t>
      </w:r>
    </w:p>
    <w:p>
      <w:pPr>
        <w:pStyle w:val="Normal"/>
        <w:numPr>
          <w:ilvl w:val="0"/>
          <w:numId w:val="4"/>
        </w:numPr>
        <w:spacing w:lineRule="auto" w:line="240" w:before="0" w:after="0"/>
        <w:rPr>
          <w:rFonts w:ascii="Arial" w:hAnsi="Arial" w:cs="Arial"/>
          <w:lang w:val="en-US"/>
        </w:rPr>
      </w:pPr>
      <w:r>
        <w:rPr>
          <w:rFonts w:cs="Arial" w:ascii="Arial" w:hAnsi="Arial"/>
          <w:lang w:val="de-DE"/>
        </w:rPr>
        <w:t xml:space="preserve">M. Hazewinkel, N. Gubareni, V. V. Kirichenko: </w:t>
      </w:r>
      <w:r>
        <w:rPr>
          <w:rFonts w:cs="Arial" w:ascii="Arial" w:hAnsi="Arial"/>
          <w:i/>
          <w:iCs/>
          <w:lang w:val="de-DE"/>
        </w:rPr>
        <w:t xml:space="preserve">Algebras, rings and modules. </w:t>
      </w:r>
      <w:r>
        <w:rPr>
          <w:rFonts w:cs="Arial" w:ascii="Arial" w:hAnsi="Arial"/>
          <w:i/>
          <w:iCs/>
          <w:lang w:val="en-US"/>
        </w:rPr>
        <w:t>Vol. 1</w:t>
      </w:r>
      <w:r>
        <w:rPr>
          <w:rFonts w:cs="Arial" w:ascii="Arial" w:hAnsi="Arial"/>
          <w:lang w:val="en-US"/>
        </w:rPr>
        <w:t>, Mathematics and its applications 575, Springer, 2004.</w:t>
      </w:r>
      <w:r>
        <w:rPr>
          <w:rStyle w:val="Apple-converted-space"/>
          <w:rFonts w:cs="Arial" w:ascii="Arial" w:hAnsi="Arial"/>
          <w:lang w:val="en-US"/>
        </w:rPr>
        <w:t> </w:t>
      </w:r>
    </w:p>
    <w:p>
      <w:pPr>
        <w:pStyle w:val="Normal"/>
        <w:numPr>
          <w:ilvl w:val="0"/>
          <w:numId w:val="4"/>
        </w:numPr>
        <w:spacing w:lineRule="auto" w:line="240" w:before="0" w:after="0"/>
        <w:rPr>
          <w:rFonts w:ascii="Arial" w:hAnsi="Arial" w:cs="Arial"/>
          <w:lang w:val="en-US"/>
        </w:rPr>
      </w:pPr>
      <w:r>
        <w:rPr>
          <w:rFonts w:cs="Arial" w:ascii="Arial" w:hAnsi="Arial"/>
          <w:lang w:val="en-US"/>
        </w:rPr>
        <w:t xml:space="preserve">T. Y. Lam: </w:t>
      </w:r>
      <w:r>
        <w:rPr>
          <w:rFonts w:cs="Arial" w:ascii="Arial" w:hAnsi="Arial"/>
          <w:i/>
          <w:iCs/>
          <w:lang w:val="en-US"/>
        </w:rPr>
        <w:t>Lectures on modules and rings</w:t>
      </w:r>
      <w:r>
        <w:rPr>
          <w:rFonts w:cs="Arial" w:ascii="Arial" w:hAnsi="Arial"/>
          <w:lang w:val="en-US"/>
        </w:rPr>
        <w:t>, Springer Graduate Texts in Math., Vol. 189, 1999.</w:t>
      </w:r>
    </w:p>
    <w:p>
      <w:pPr>
        <w:pStyle w:val="Normal"/>
        <w:numPr>
          <w:ilvl w:val="0"/>
          <w:numId w:val="4"/>
        </w:numPr>
        <w:spacing w:lineRule="auto" w:line="240" w:before="0" w:after="0"/>
        <w:rPr>
          <w:rFonts w:ascii="Arial" w:hAnsi="Arial" w:cs="Arial"/>
          <w:lang w:val="en-US"/>
        </w:rPr>
      </w:pPr>
      <w:r>
        <w:rPr>
          <w:rFonts w:cs="Arial" w:ascii="Arial" w:hAnsi="Arial"/>
          <w:lang w:val="en-US"/>
        </w:rPr>
        <w:t xml:space="preserve">J. J. Rotman: </w:t>
      </w:r>
      <w:r>
        <w:rPr>
          <w:rFonts w:cs="Arial" w:ascii="Arial" w:hAnsi="Arial"/>
          <w:i/>
          <w:iCs/>
          <w:lang w:val="en-US"/>
        </w:rPr>
        <w:t>An Introduction to Homological Algebra,</w:t>
      </w:r>
      <w:r>
        <w:rPr>
          <w:rFonts w:cs="Arial" w:ascii="Arial" w:hAnsi="Arial"/>
          <w:lang w:val="en-US"/>
        </w:rPr>
        <w:t xml:space="preserve"> </w:t>
      </w:r>
      <w:hyperlink r:id="rId2">
        <w:r>
          <w:rPr>
            <w:rStyle w:val="Hyperlink"/>
            <w:rFonts w:cs="Arial" w:ascii="Arial" w:hAnsi="Arial"/>
            <w:lang w:val="en-US"/>
          </w:rPr>
          <w:t>Springer-Verlag New York Inc.</w:t>
        </w:r>
      </w:hyperlink>
      <w:r>
        <w:rPr>
          <w:rStyle w:val="S1"/>
          <w:rFonts w:cs="Arial" w:ascii="Arial" w:hAnsi="Arial"/>
          <w:lang w:val="en-US"/>
        </w:rPr>
        <w:t xml:space="preserve"> 2008</w:t>
      </w:r>
      <w:r>
        <w:rPr>
          <w:rFonts w:cs="Arial" w:ascii="Arial" w:hAnsi="Arial"/>
          <w:lang w:val="en-US"/>
        </w:rPr>
        <w:t>.</w:t>
      </w:r>
    </w:p>
    <w:p>
      <w:pPr>
        <w:pStyle w:val="Normal"/>
        <w:numPr>
          <w:ilvl w:val="0"/>
          <w:numId w:val="4"/>
        </w:numPr>
        <w:spacing w:lineRule="auto" w:line="240" w:before="0" w:afterAutospacing="1"/>
        <w:rPr>
          <w:lang w:val="en-US"/>
        </w:rPr>
      </w:pPr>
      <w:r>
        <w:rPr>
          <w:rFonts w:cs="Arial" w:ascii="Arial" w:hAnsi="Arial"/>
          <w:lang w:val="en-US"/>
        </w:rPr>
        <w:t xml:space="preserve">R. Schmidt: </w:t>
      </w:r>
      <w:r>
        <w:rPr>
          <w:rFonts w:cs="Arial" w:ascii="Arial" w:hAnsi="Arial"/>
          <w:i/>
          <w:iCs/>
          <w:lang w:val="en-US"/>
        </w:rPr>
        <w:t>Subgroup lattices of groups</w:t>
      </w:r>
      <w:r>
        <w:rPr>
          <w:rFonts w:cs="Arial" w:ascii="Arial" w:hAnsi="Arial"/>
          <w:lang w:val="en-US"/>
        </w:rPr>
        <w:t>, Expositions in Math., Vol. 14, de Gruyter, 1994.</w:t>
      </w:r>
    </w:p>
    <w:p>
      <w:pPr>
        <w:pStyle w:val="Normal"/>
        <w:spacing w:lineRule="auto" w:line="240" w:beforeAutospacing="1" w:afterAutospacing="1"/>
        <w:rPr>
          <w:rFonts w:ascii="Arial" w:hAnsi="Arial" w:eastAsia="Times New Roman" w:cs="Arial"/>
        </w:rPr>
      </w:pPr>
      <w:r>
        <w:rPr>
          <w:rFonts w:eastAsia="Times New Roman" w:cs="Arial" w:ascii="Arial" w:hAnsi="Arial"/>
          <w:lang w:val="en-US"/>
        </w:rPr>
        <w:t>The recent results are in articles:</w:t>
      </w:r>
    </w:p>
    <w:p>
      <w:pPr>
        <w:pStyle w:val="Normal"/>
        <w:spacing w:lineRule="auto" w:line="240" w:before="0" w:after="0"/>
        <w:rPr>
          <w:rFonts w:ascii="Arial" w:hAnsi="Arial" w:eastAsia="Times New Roman" w:cs="Arial"/>
        </w:rPr>
      </w:pPr>
      <w:r>
        <w:rPr>
          <w:rFonts w:eastAsia="Times New Roman" w:cs="Arial" w:ascii="Arial" w:hAnsi="Arial"/>
        </w:rPr>
        <w:t></w:t>
      </w:r>
      <w:r>
        <w:rPr>
          <w:rFonts w:eastAsia="Times New Roman" w:cs="Arial" w:ascii="Arial" w:hAnsi="Arial"/>
          <w:lang w:val="de-DE"/>
        </w:rPr>
        <w:t xml:space="preserve">  </w:t>
      </w:r>
      <w:r>
        <w:rPr>
          <w:rFonts w:eastAsia="Times New Roman" w:cs="Arial" w:ascii="Arial" w:hAnsi="Arial"/>
          <w:lang w:val="de-DE"/>
        </w:rPr>
        <w:t xml:space="preserve">M. Asgharzadeh, M. Dorreh, M.  </w:t>
      </w:r>
      <w:r>
        <w:rPr>
          <w:rFonts w:eastAsia="Times New Roman" w:cs="Arial" w:ascii="Arial" w:hAnsi="Arial"/>
        </w:rPr>
        <w:t xml:space="preserve">Tousi: </w:t>
      </w:r>
      <w:r>
        <w:rPr>
          <w:rFonts w:eastAsia="Times New Roman" w:cs="Arial" w:ascii="Arial" w:hAnsi="Arial"/>
          <w:i/>
          <w:iCs/>
        </w:rPr>
        <w:t xml:space="preserve">Direct limits of Cohen–Macaulay rings, J Pure Appl Algebra, </w:t>
      </w:r>
      <w:r>
        <w:rPr>
          <w:rFonts w:eastAsia="Times New Roman" w:cs="Arial" w:ascii="Arial" w:hAnsi="Arial"/>
        </w:rPr>
        <w:t>Vol. 218, no. 9, 2014, 1730–1744. </w:t>
      </w:r>
    </w:p>
    <w:p>
      <w:pPr>
        <w:pStyle w:val="Normal"/>
        <w:spacing w:lineRule="auto" w:line="240" w:before="0" w:after="0"/>
        <w:rPr>
          <w:rFonts w:ascii="Arial" w:hAnsi="Arial" w:eastAsia="Times New Roman" w:cs="Arial"/>
        </w:rPr>
      </w:pPr>
      <w:r>
        <w:rPr>
          <w:rFonts w:eastAsia="Times New Roman" w:cs="Arial" w:ascii="Arial" w:hAnsi="Arial"/>
        </w:rPr>
        <w:t xml:space="preserve">  </w:t>
      </w:r>
      <w:r>
        <w:rPr>
          <w:rFonts w:eastAsia="Times New Roman" w:cs="Arial" w:ascii="Arial" w:hAnsi="Arial"/>
        </w:rPr>
        <w:t xml:space="preserve">G. M. Bergman: Every module is an inverse limit of injectives, </w:t>
      </w:r>
      <w:r>
        <w:rPr>
          <w:rFonts w:eastAsia="Times New Roman" w:cs="Arial" w:ascii="Arial" w:hAnsi="Arial"/>
          <w:i/>
          <w:iCs/>
        </w:rPr>
        <w:t>Proceedings of the American Mathematical Society,</w:t>
      </w:r>
      <w:r>
        <w:rPr>
          <w:rFonts w:eastAsia="Times New Roman" w:cs="Arial" w:ascii="Arial" w:hAnsi="Arial"/>
        </w:rPr>
        <w:t xml:space="preserve"> Vol 141, no. 4, 2013, 1177–83.</w:t>
      </w:r>
    </w:p>
    <w:p>
      <w:pPr>
        <w:pStyle w:val="Normal"/>
        <w:spacing w:lineRule="auto" w:line="240" w:before="0" w:after="0"/>
        <w:rPr>
          <w:rFonts w:ascii="Arial" w:hAnsi="Arial" w:eastAsia="Times New Roman" w:cs="Arial"/>
        </w:rPr>
      </w:pPr>
      <w:r>
        <w:rPr>
          <w:rFonts w:eastAsia="Times New Roman" w:cs="Arial" w:ascii="Arial" w:hAnsi="Arial"/>
        </w:rPr>
        <w:t xml:space="preserve">  </w:t>
      </w:r>
      <w:r>
        <w:rPr>
          <w:rFonts w:eastAsia="Times New Roman" w:cs="Arial" w:ascii="Arial" w:hAnsi="Arial"/>
        </w:rPr>
        <w:t xml:space="preserve">G. R. Conner, C. Kent: </w:t>
      </w:r>
      <w:r>
        <w:rPr>
          <w:rFonts w:eastAsia="Times New Roman" w:cs="Arial" w:ascii="Arial" w:hAnsi="Arial"/>
          <w:i/>
          <w:iCs/>
        </w:rPr>
        <w:t>Inverse limits of finite rank free groups</w:t>
      </w:r>
      <w:r>
        <w:rPr>
          <w:rFonts w:eastAsia="Times New Roman" w:cs="Arial" w:ascii="Arial" w:hAnsi="Arial"/>
        </w:rPr>
        <w:t>, J. Group Theory, Vol. 15, no. 6, 2012,  823–829.</w:t>
      </w:r>
    </w:p>
    <w:p>
      <w:pPr>
        <w:pStyle w:val="Normal"/>
        <w:spacing w:lineRule="auto" w:line="240" w:before="0" w:after="0"/>
        <w:rPr>
          <w:rFonts w:ascii="Arial" w:hAnsi="Arial" w:eastAsia="Times New Roman" w:cs="Arial"/>
        </w:rPr>
      </w:pPr>
      <w:r>
        <w:rPr>
          <w:rFonts w:eastAsia="Times New Roman" w:cs="Arial" w:ascii="Arial" w:hAnsi="Arial"/>
        </w:rPr>
        <w:t xml:space="preserve">  </w:t>
      </w:r>
      <w:r>
        <w:rPr>
          <w:rFonts w:eastAsia="Times New Roman" w:cs="Arial" w:ascii="Arial" w:hAnsi="Arial"/>
        </w:rPr>
        <w:t xml:space="preserve">D. Karim: </w:t>
      </w:r>
      <w:r>
        <w:rPr>
          <w:rFonts w:eastAsia="Times New Roman" w:cs="Arial" w:ascii="Arial" w:hAnsi="Arial"/>
          <w:i/>
          <w:iCs/>
        </w:rPr>
        <w:t>On Direct Limits of Finite Products of Fields as Subrings of a Commutative Ring</w:t>
      </w:r>
      <w:r>
        <w:rPr>
          <w:rFonts w:eastAsia="Times New Roman" w:cs="Arial" w:ascii="Arial" w:hAnsi="Arial"/>
        </w:rPr>
        <w:t>, Algebra Colloq., Vol 23, no. 2, 2016, 243—249.</w:t>
      </w:r>
    </w:p>
    <w:p>
      <w:pPr>
        <w:pStyle w:val="Normal"/>
        <w:spacing w:lineRule="auto" w:line="240" w:before="0" w:after="0"/>
        <w:rPr>
          <w:rFonts w:ascii="Arial" w:hAnsi="Arial" w:eastAsia="Times New Roman" w:cs="Arial"/>
        </w:rPr>
      </w:pPr>
      <w:r>
        <w:rPr>
          <w:rFonts w:eastAsia="Times New Roman" w:cs="Arial" w:ascii="Arial" w:hAnsi="Arial"/>
        </w:rPr>
        <w:t xml:space="preserve">  </w:t>
      </w:r>
      <w:r>
        <w:rPr>
          <w:rFonts w:eastAsia="Times New Roman" w:cs="Arial" w:ascii="Arial" w:hAnsi="Arial"/>
        </w:rPr>
        <w:t xml:space="preserve">F. Leinen, O. Puglisi: </w:t>
      </w:r>
      <w:r>
        <w:rPr>
          <w:rFonts w:eastAsia="Times New Roman" w:cs="Arial" w:ascii="Arial" w:hAnsi="Arial"/>
          <w:i/>
          <w:iCs/>
        </w:rPr>
        <w:t>Free subgroups of inverse limits of iterated wreath products of non-abelian finite simple groups in primitive actions</w:t>
      </w:r>
      <w:r>
        <w:rPr>
          <w:rFonts w:eastAsia="Times New Roman" w:cs="Arial" w:ascii="Arial" w:hAnsi="Arial"/>
        </w:rPr>
        <w:t>,  J. Group Theory, Vol. 20, no. 4, 2017,  749–761. </w:t>
      </w:r>
    </w:p>
    <w:p>
      <w:pPr>
        <w:pStyle w:val="Normal"/>
        <w:spacing w:lineRule="auto" w:line="240" w:before="0" w:after="0"/>
        <w:rPr>
          <w:rFonts w:ascii="Arial" w:hAnsi="Arial" w:eastAsia="Times New Roman" w:cs="Arial"/>
        </w:rPr>
      </w:pPr>
      <w:r>
        <w:rPr>
          <w:rFonts w:eastAsia="Times New Roman" w:cs="Arial" w:ascii="Arial" w:hAnsi="Arial"/>
        </w:rPr>
        <w:t xml:space="preserve">  </w:t>
      </w:r>
      <w:r>
        <w:rPr>
          <w:rFonts w:eastAsia="Times New Roman" w:cs="Arial" w:ascii="Arial" w:hAnsi="Arial"/>
        </w:rPr>
        <w:t xml:space="preserve">C.H. Silva de Souza, J.A. Novacoski , M. Spivakovsky: </w:t>
      </w:r>
      <w:r>
        <w:rPr>
          <w:rFonts w:eastAsia="Times New Roman" w:cs="Arial" w:ascii="Arial" w:hAnsi="Arial"/>
          <w:i/>
          <w:iCs/>
        </w:rPr>
        <w:t>Graded rings associated to valuations and direct limits</w:t>
      </w:r>
      <w:r>
        <w:rPr>
          <w:rFonts w:eastAsia="Times New Roman" w:cs="Arial" w:ascii="Arial" w:hAnsi="Arial"/>
        </w:rPr>
        <w:t>, J Pure Appl Algebra, Vol. 227, no. 5, 2023, 107296</w:t>
        <w:br/>
        <w:t xml:space="preserve">  D. C. Zhou, F. G.  Wang: The direct and inverse limits of </w:t>
      </w:r>
      <w:r>
        <w:rPr>
          <w:rFonts w:eastAsia="Times New Roman" w:cs="Arial" w:ascii="Arial" w:hAnsi="Arial"/>
          <w:i/>
          <w:iCs/>
        </w:rPr>
        <w:t>w</w:t>
      </w:r>
      <w:r>
        <w:rPr>
          <w:rFonts w:eastAsia="Times New Roman" w:cs="Arial" w:ascii="Arial" w:hAnsi="Arial"/>
        </w:rPr>
        <w:t xml:space="preserve">-modules, </w:t>
      </w:r>
      <w:r>
        <w:rPr>
          <w:rFonts w:eastAsia="Times New Roman" w:cs="Arial" w:ascii="Arial" w:hAnsi="Arial"/>
          <w:i/>
          <w:iCs/>
        </w:rPr>
        <w:t>Commun. Algebra,</w:t>
      </w:r>
      <w:r>
        <w:rPr>
          <w:rFonts w:eastAsia="Times New Roman" w:cs="Arial" w:ascii="Arial" w:hAnsi="Arial"/>
        </w:rPr>
        <w:t> Vol 44, no.6, 2016,  2495–2500.</w:t>
      </w:r>
    </w:p>
    <w:p>
      <w:pPr>
        <w:pStyle w:val="Normal"/>
        <w:spacing w:lineRule="auto" w:line="240" w:before="0" w:after="0"/>
        <w:rPr>
          <w:rFonts w:ascii="Arial" w:hAnsi="Arial" w:eastAsia="Times New Roman" w:cs="Arial"/>
        </w:rPr>
      </w:pPr>
      <w:r>
        <w:rPr>
          <w:rFonts w:eastAsia="Times New Roman" w:cs="Arial" w:ascii="Arial" w:hAnsi="Arial"/>
        </w:rPr>
      </w:r>
    </w:p>
    <w:p>
      <w:pPr>
        <w:pStyle w:val="Normal"/>
        <w:spacing w:lineRule="auto" w:line="240" w:before="0" w:after="0"/>
        <w:rPr>
          <w:rFonts w:ascii="Arial" w:hAnsi="Arial" w:eastAsia="Times New Roman" w:cs="Arial"/>
          <w:lang w:val="en-GB"/>
        </w:rPr>
      </w:pPr>
      <w:r>
        <w:rPr>
          <w:rFonts w:eastAsia="Times New Roman" w:cs="Arial" w:ascii="Arial" w:hAnsi="Arial"/>
          <w:lang w:val="en-GB"/>
        </w:rPr>
        <w:t>In the mentioned sources, direct families are most often considered as sequences, i.e. indexed by a linearly ordered set of natural numbers. Universally, direct families are considered as indexed by an upward directed partial ordered set.</w:t>
      </w:r>
    </w:p>
    <w:p>
      <w:pPr>
        <w:pStyle w:val="Normal"/>
        <w:spacing w:lineRule="auto" w:line="240" w:before="0" w:after="0"/>
        <w:rPr>
          <w:rFonts w:ascii="Arial" w:hAnsi="Arial" w:eastAsia="Times New Roman" w:cs="Arial"/>
        </w:rPr>
      </w:pPr>
      <w:r>
        <w:rPr>
          <w:rFonts w:eastAsia="Times New Roman" w:cs="Arial" w:ascii="Arial" w:hAnsi="Arial"/>
        </w:rPr>
      </w:r>
    </w:p>
    <w:p>
      <w:pPr>
        <w:pStyle w:val="Normal"/>
        <w:spacing w:lineRule="auto" w:line="240" w:before="0" w:after="0"/>
        <w:rPr>
          <w:rFonts w:ascii="Arial" w:hAnsi="Arial" w:eastAsia="Times New Roman" w:cs="Arial"/>
        </w:rPr>
      </w:pPr>
      <w:r>
        <w:rPr>
          <w:rStyle w:val="Tlid-translation"/>
          <w:rFonts w:cs="Arial" w:ascii="Arial" w:hAnsi="Arial"/>
          <w:lang w:val="en-US"/>
        </w:rPr>
        <w:t>Algebras with EDL and direct limit closed classes of algebras from objectives of this project were not still considered for groups, rings, modules, algebras over fields.</w:t>
      </w:r>
    </w:p>
    <w:p>
      <w:pPr>
        <w:pStyle w:val="Normal"/>
        <w:spacing w:lineRule="auto" w:line="240" w:before="0" w:after="0"/>
        <w:rPr>
          <w:rFonts w:ascii="Arial" w:hAnsi="Arial" w:eastAsia="Times New Roman" w:cs="Arial"/>
        </w:rPr>
      </w:pPr>
      <w:r>
        <w:rPr>
          <w:rFonts w:eastAsia="Times New Roman" w:cs="Arial" w:ascii="Arial" w:hAnsi="Arial"/>
        </w:rPr>
      </w:r>
    </w:p>
    <w:p>
      <w:pPr>
        <w:pStyle w:val="Normal"/>
        <w:rPr>
          <w:rFonts w:ascii="Arial" w:hAnsi="Arial" w:cs="Arial"/>
          <w:lang w:val="en-US"/>
        </w:rPr>
      </w:pPr>
      <w:r>
        <w:rPr>
          <w:rFonts w:cs="Arial" w:ascii="Arial" w:hAnsi="Arial"/>
          <w:lang w:val="en-US"/>
        </w:rPr>
        <w:t xml:space="preserve">Constructions of direct and inverse limits in the context of universal algebra belong to topics which are developed at MI SAS, mainly by J. Jakubík and E. Halušková. </w:t>
      </w:r>
      <w:r>
        <w:rPr>
          <w:rStyle w:val="Tlid-translation"/>
          <w:rFonts w:cs="Arial" w:ascii="Arial" w:hAnsi="Arial"/>
          <w:lang w:val="en-US"/>
        </w:rPr>
        <w:t xml:space="preserve">They published results related to general case of algebras as well to particular algebraic structures  as mono-unary algebras, lattice ordered groups, cyclically ordered groups. </w:t>
      </w:r>
      <w:r>
        <w:rPr>
          <w:rFonts w:cs="Arial" w:ascii="Arial" w:hAnsi="Arial"/>
          <w:lang w:val="en-US"/>
        </w:rPr>
        <w:t>Results for the universal case of algebras and the mentioned algebraic structures influence each other. It seems to be very hopeful to deal with other types of algebras in this context. Therefore, we see in our project an opportunity for productive interdisciplinary research with approach which is original and innovative in subjects of classical algebra.</w:t>
      </w:r>
    </w:p>
    <w:p>
      <w:pPr>
        <w:pStyle w:val="Normal"/>
        <w:rPr>
          <w:rFonts w:ascii="Arial" w:hAnsi="Arial" w:cs="Arial"/>
          <w:lang w:val="en-US"/>
        </w:rPr>
      </w:pPr>
      <w:r>
        <w:rPr>
          <w:rFonts w:cs="Arial" w:ascii="Arial" w:hAnsi="Arial"/>
          <w:lang w:val="en-US"/>
        </w:rPr>
        <w:t xml:space="preserve">Interdisciplinary means in areas Universal Algebra and some of branches of Classical Algebras as Group Theory, Ring Theory, Algebras over Fields, Commutative Algebras. We will investigate the questions formulated for general algebras in groups, rings, modules. In the case of unary algebras, such an investigation led to the discovery of a new class </w:t>
      </w:r>
      <w:r>
        <w:rPr>
          <w:rFonts w:cs="Arial" w:ascii="Arial" w:hAnsi="Arial"/>
          <w:i/>
          <w:lang w:val="en-US"/>
        </w:rPr>
        <w:t>K</w:t>
      </w:r>
      <w:r>
        <w:rPr>
          <w:rFonts w:cs="Arial" w:ascii="Arial" w:hAnsi="Arial"/>
          <w:lang w:val="en-US"/>
        </w:rPr>
        <w:t xml:space="preserve"> of algebras with the property </w:t>
      </w:r>
      <w:r>
        <w:rPr>
          <w:rFonts w:cs="Arial" w:ascii="Arial" w:hAnsi="Arial"/>
          <w:b/>
          <w:i/>
          <w:lang w:val="en-US"/>
        </w:rPr>
        <w:t>LL</w:t>
      </w:r>
      <w:r>
        <w:rPr>
          <w:rFonts w:cs="Arial" w:ascii="Arial" w:hAnsi="Arial"/>
          <w:i/>
          <w:lang w:val="en-US"/>
        </w:rPr>
        <w:t xml:space="preserve">(K) ≠ </w:t>
      </w:r>
      <w:r>
        <w:rPr>
          <w:rFonts w:cs="Arial" w:ascii="Arial" w:hAnsi="Arial"/>
          <w:b/>
          <w:i/>
          <w:lang w:val="en-US"/>
        </w:rPr>
        <w:t>L</w:t>
      </w:r>
      <w:r>
        <w:rPr>
          <w:rFonts w:cs="Arial" w:ascii="Arial" w:hAnsi="Arial"/>
          <w:i/>
          <w:lang w:val="en-US"/>
        </w:rPr>
        <w:t>(K)</w:t>
      </w:r>
      <w:r>
        <w:rPr>
          <w:rFonts w:cs="Arial" w:ascii="Arial" w:hAnsi="Arial"/>
          <w:lang w:val="en-US"/>
        </w:rPr>
        <w:t>, where</w:t>
      </w:r>
      <w:r>
        <w:rPr>
          <w:rFonts w:cs="Arial" w:ascii="Arial" w:hAnsi="Arial"/>
          <w:b/>
          <w:lang w:val="en-US"/>
        </w:rPr>
        <w:t xml:space="preserve"> </w:t>
      </w:r>
      <w:r>
        <w:rPr>
          <w:rFonts w:cs="Arial" w:ascii="Arial" w:hAnsi="Arial"/>
          <w:b/>
          <w:i/>
          <w:lang w:val="en-US"/>
        </w:rPr>
        <w:t>L</w:t>
      </w:r>
      <w:r>
        <w:rPr>
          <w:rFonts w:cs="Arial" w:ascii="Arial" w:hAnsi="Arial"/>
          <w:i/>
          <w:lang w:val="en-US"/>
        </w:rPr>
        <w:t>(K)</w:t>
      </w:r>
      <w:r>
        <w:rPr>
          <w:rFonts w:cs="Arial" w:ascii="Arial" w:hAnsi="Arial"/>
          <w:lang w:val="en-US"/>
        </w:rPr>
        <w:t xml:space="preserve"> are direct limits of algebras of </w:t>
      </w:r>
      <w:r>
        <w:rPr>
          <w:rFonts w:cs="Arial" w:ascii="Arial" w:hAnsi="Arial"/>
          <w:i/>
          <w:lang w:val="en-US"/>
        </w:rPr>
        <w:t>K</w:t>
      </w:r>
      <w:r>
        <w:rPr>
          <w:rFonts w:cs="Arial" w:ascii="Arial" w:hAnsi="Arial"/>
          <w:lang w:val="en-US"/>
        </w:rPr>
        <w:t xml:space="preserve"> and their isomorphic copies (Halušková, 1998). And conversely the universal formula for direct limit closed classes (Keisler, 1960) made possible to obtain many information about the lattice of direct limit closed classes of mono-unary algebras.</w:t>
      </w:r>
    </w:p>
    <w:p>
      <w:pPr>
        <w:pStyle w:val="Normal"/>
        <w:rPr>
          <w:rStyle w:val="Tlid-translation"/>
          <w:rFonts w:ascii="Arial" w:hAnsi="Arial" w:cs="Arial"/>
          <w:lang w:val="en-US"/>
        </w:rPr>
      </w:pPr>
      <w:r>
        <w:rPr>
          <w:rStyle w:val="Tlid-translation"/>
          <w:rFonts w:cs="Arial" w:ascii="Arial" w:hAnsi="Arial"/>
          <w:lang w:val="en-US"/>
        </w:rPr>
        <w:t>Let us mention two direct limit problems which are relevant in Universal Algebra and Model Theory (Halušková, 2016) and we will take them into account when solving the project.</w:t>
      </w:r>
    </w:p>
    <w:p>
      <w:pPr>
        <w:pStyle w:val="ListParagraph"/>
        <w:numPr>
          <w:ilvl w:val="0"/>
          <w:numId w:val="3"/>
        </w:numPr>
        <w:spacing w:lineRule="auto" w:line="276" w:before="0" w:after="200"/>
        <w:contextualSpacing/>
        <w:rPr>
          <w:rStyle w:val="Tlid-translation"/>
          <w:rFonts w:ascii="Arial" w:hAnsi="Arial" w:cs="Arial"/>
          <w:lang w:val="en-US"/>
        </w:rPr>
      </w:pPr>
      <w:r>
        <w:rPr>
          <w:rStyle w:val="Tlid-translation"/>
          <w:rFonts w:cs="Arial" w:ascii="Arial" w:hAnsi="Arial"/>
          <w:lang w:val="en-US"/>
        </w:rPr>
        <w:t>Is every direct limit closed class axiomatic, i.e. determined by a set of formulas?  It is known that there is a  direct limit closed class of algebras which is not possible to express as an axiomatic one determined by some first-order sentences.</w:t>
      </w:r>
    </w:p>
    <w:p>
      <w:pPr>
        <w:pStyle w:val="ListParagraph"/>
        <w:numPr>
          <w:ilvl w:val="0"/>
          <w:numId w:val="3"/>
        </w:numPr>
        <w:spacing w:lineRule="auto" w:line="276" w:before="0" w:after="200"/>
        <w:contextualSpacing/>
        <w:rPr>
          <w:rStyle w:val="Tlid-translation"/>
          <w:rFonts w:ascii="Arial" w:hAnsi="Arial" w:cs="Arial"/>
          <w:lang w:val="en-US"/>
        </w:rPr>
      </w:pPr>
      <w:r>
        <w:rPr>
          <w:rStyle w:val="Tlid-translation"/>
          <w:rFonts w:cs="Arial" w:ascii="Arial" w:hAnsi="Arial"/>
          <w:lang w:val="en-US"/>
        </w:rPr>
        <w:t>There is a class of first-order sentences ∆ such that every axiomatic class determined by some first-order sentences is closed with respect to direct limits if and only if it is an axiomatic class determined by some sentences from ∆. The question, whether an analogous statement about axiomatic classes generally is valid, is open. It is interesting even in the case of elementary classes.</w:t>
      </w:r>
    </w:p>
    <w:p>
      <w:pPr>
        <w:pStyle w:val="Normal"/>
        <w:rPr>
          <w:rFonts w:ascii="Arial" w:hAnsi="Arial" w:cs="Arial"/>
          <w:lang w:val="en-US"/>
        </w:rPr>
      </w:pPr>
      <w:r>
        <w:rPr>
          <w:rStyle w:val="Tlid-translation"/>
          <w:rFonts w:cs="Arial" w:ascii="Arial" w:hAnsi="Arial"/>
          <w:lang w:val="en-US"/>
        </w:rPr>
        <w:t xml:space="preserve">Limit constructions in universal algebra are connected with endomorphisms of algebras, if we consider families of isomorphic algebras. It is very important to recognize what can produce such families for systematical study of these constructions. We hope to obtain some new results in this direction too. </w:t>
      </w:r>
      <w:r>
        <w:rPr>
          <w:rFonts w:cs="Arial" w:ascii="Arial" w:hAnsi="Arial"/>
          <w:lang w:val="en-US"/>
        </w:rPr>
        <w:t>Endomorphisms of particular algebraic structures are currently being researched very intensively since so called endomorphism kernel property (EKP) and strong endomorphism kernel property (SEKP) have proven to be useful. The last published paper on this topic is</w:t>
      </w:r>
    </w:p>
    <w:p>
      <w:pPr>
        <w:pStyle w:val="Ma-0"/>
        <w:spacing w:before="280" w:after="280"/>
        <w:rPr>
          <w:rFonts w:ascii="Arial" w:hAnsi="Arial" w:cs="Arial"/>
          <w:sz w:val="22"/>
          <w:szCs w:val="22"/>
        </w:rPr>
      </w:pPr>
      <w:r>
        <w:rPr>
          <w:rFonts w:cs="Arial" w:ascii="Arial" w:hAnsi="Arial"/>
          <w:sz w:val="22"/>
          <w:szCs w:val="22"/>
        </w:rPr>
        <w:t xml:space="preserve">Jaroslav Guričan, Heghine Ghumashyan: </w:t>
      </w:r>
      <w:hyperlink r:id="rId3">
        <w:r>
          <w:rPr>
            <w:rStyle w:val="Hyperlink"/>
            <w:rFonts w:cs="Arial" w:ascii="Arial" w:hAnsi="Arial"/>
            <w:sz w:val="22"/>
            <w:szCs w:val="22"/>
          </w:rPr>
          <w:t>Strong endomorphism kernel property for finite Brouwerian semilattices and relative Stone algebras</w:t>
        </w:r>
      </w:hyperlink>
      <w:r>
        <w:rPr>
          <w:rFonts w:cs="Arial" w:ascii="Arial" w:hAnsi="Arial"/>
          <w:sz w:val="22"/>
          <w:szCs w:val="22"/>
        </w:rPr>
        <w:t xml:space="preserve">, Math. Bohem., Published online on January 4, 2023. as doi: </w:t>
      </w:r>
      <w:hyperlink r:id="rId4">
        <w:r>
          <w:rPr>
            <w:rStyle w:val="Hyperlink"/>
            <w:rFonts w:cs="Arial" w:ascii="Arial" w:hAnsi="Arial"/>
            <w:sz w:val="22"/>
            <w:szCs w:val="22"/>
          </w:rPr>
          <w:t>10.21136/MB.2023.0050-22</w:t>
        </w:r>
      </w:hyperlink>
    </w:p>
    <w:p>
      <w:pPr>
        <w:pStyle w:val="Normal"/>
        <w:spacing w:lineRule="auto" w:line="240" w:before="0" w:after="0"/>
        <w:rPr>
          <w:rFonts w:ascii="Arial" w:hAnsi="Arial" w:cs="Arial"/>
          <w:lang w:val="en-US"/>
        </w:rPr>
      </w:pPr>
      <w:r>
        <w:rPr>
          <w:rFonts w:cs="Arial" w:ascii="Arial" w:hAnsi="Arial"/>
          <w:lang w:val="en-US"/>
        </w:rPr>
        <w:t>In this paper you can find a list of 13 recent papers from this topic. We want to focus on EKP and SEKP for rings and linear spaces.</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 xml:space="preserve">Our project is linked to European research space, since results or partial results will be presented and discussed at scientific events in various countries of Europe. Among them at </w:t>
      </w:r>
    </w:p>
    <w:p>
      <w:pPr>
        <w:pStyle w:val="Normal"/>
        <w:spacing w:lineRule="auto" w:line="240" w:before="0" w:after="0"/>
        <w:rPr>
          <w:rFonts w:ascii="Arial" w:hAnsi="Arial" w:cs="Arial"/>
          <w:lang w:val="en-US"/>
        </w:rPr>
      </w:pPr>
      <w:r>
        <w:rPr>
          <w:rFonts w:cs="Arial" w:ascii="Arial" w:hAnsi="Arial"/>
          <w:lang w:val="en-US"/>
        </w:rPr>
      </w:r>
    </w:p>
    <w:p>
      <w:pPr>
        <w:pStyle w:val="ListParagraph"/>
        <w:numPr>
          <w:ilvl w:val="0"/>
          <w:numId w:val="5"/>
        </w:numPr>
        <w:spacing w:lineRule="auto" w:line="240" w:before="0" w:after="0"/>
        <w:contextualSpacing/>
        <w:rPr>
          <w:rFonts w:ascii="Arial" w:hAnsi="Arial" w:cs="Arial"/>
          <w:lang w:val="en-US"/>
        </w:rPr>
      </w:pPr>
      <w:r>
        <w:rPr>
          <w:rFonts w:cs="Arial" w:ascii="Arial" w:hAnsi="Arial"/>
          <w:lang w:val="en-US"/>
        </w:rPr>
        <w:t>regular algebra seminars in Warszaw,</w:t>
      </w:r>
    </w:p>
    <w:p>
      <w:pPr>
        <w:pStyle w:val="ListParagraph"/>
        <w:numPr>
          <w:ilvl w:val="0"/>
          <w:numId w:val="5"/>
        </w:numPr>
        <w:spacing w:lineRule="auto" w:line="240" w:before="0" w:after="0"/>
        <w:contextualSpacing/>
        <w:rPr>
          <w:rFonts w:ascii="Arial" w:hAnsi="Arial" w:cs="Arial"/>
          <w:lang w:val="en-US"/>
        </w:rPr>
      </w:pPr>
      <w:r>
        <w:rPr>
          <w:rFonts w:cs="Arial" w:ascii="Arial" w:hAnsi="Arial"/>
          <w:lang w:val="en-US"/>
        </w:rPr>
        <w:t>Workshops on General Algebra AAA, which are held twice a year at various universities in Europe, the next one will be the 104th in the series on February 8-11, 2024 in Blagoevgrad, Bulgaria</w:t>
      </w:r>
    </w:p>
    <w:p>
      <w:pPr>
        <w:pStyle w:val="ListParagraph"/>
        <w:spacing w:lineRule="auto" w:line="240" w:before="0" w:after="0"/>
        <w:contextualSpacing/>
        <w:rPr>
          <w:rFonts w:ascii="Arial" w:hAnsi="Arial" w:cs="Arial"/>
          <w:lang w:val="en-US"/>
        </w:rPr>
      </w:pPr>
      <w:hyperlink r:id="rId5">
        <w:r>
          <w:rPr>
            <w:rStyle w:val="Hyperlink"/>
            <w:rFonts w:cs="Arial" w:ascii="Arial" w:hAnsi="Arial"/>
            <w:lang w:val="en-US"/>
          </w:rPr>
          <w:t>https://aaa104.swu.bg/aaa104-2023/cfp</w:t>
        </w:r>
      </w:hyperlink>
    </w:p>
    <w:p>
      <w:pPr>
        <w:pStyle w:val="ListParagraph"/>
        <w:numPr>
          <w:ilvl w:val="0"/>
          <w:numId w:val="5"/>
        </w:numPr>
        <w:spacing w:lineRule="auto" w:line="240" w:before="0" w:after="0"/>
        <w:contextualSpacing/>
        <w:rPr>
          <w:rFonts w:ascii="Arial" w:hAnsi="Arial" w:cs="Arial"/>
        </w:rPr>
      </w:pPr>
      <w:r>
        <w:rPr>
          <w:rFonts w:cs="Arial" w:ascii="Arial" w:hAnsi="Arial"/>
          <w:lang w:val="en-US"/>
        </w:rPr>
        <w:t>Summer Schools on General Algebra and Ordered Sets, the next one will be on September 2024 in Czechia.</w:t>
      </w:r>
    </w:p>
    <w:p>
      <w:pPr>
        <w:pStyle w:val="Paragraph"/>
        <w:spacing w:beforeAutospacing="0" w:before="0" w:afterAutospacing="0" w:after="120"/>
        <w:jc w:val="both"/>
        <w:rPr>
          <w:rStyle w:val="Normaltextrun"/>
          <w:rFonts w:ascii="Arial" w:hAnsi="Arial" w:cs="Arial"/>
          <w:i/>
          <w:i/>
          <w:color w:themeColor="text1" w:val="000000"/>
          <w:sz w:val="22"/>
          <w:highlight w:val="lightGray"/>
          <w:lang w:val="en-GB"/>
        </w:rPr>
      </w:pPr>
      <w:r>
        <w:rPr>
          <w:rFonts w:cs="Arial" w:ascii="Arial" w:hAnsi="Arial"/>
          <w:i/>
          <w:color w:themeColor="text1" w:val="000000"/>
          <w:sz w:val="22"/>
          <w:highlight w:val="lightGray"/>
          <w:lang w:val="en-GB"/>
        </w:rPr>
      </w:r>
    </w:p>
    <w:p>
      <w:pPr>
        <w:pStyle w:val="Paragraph"/>
        <w:spacing w:beforeAutospacing="0" w:before="0" w:afterAutospacing="0" w:after="120"/>
        <w:jc w:val="both"/>
        <w:rPr>
          <w:rStyle w:val="Normaltextrun"/>
          <w:rFonts w:ascii="Arial" w:hAnsi="Arial" w:cs="Arial"/>
          <w:b/>
          <w:color w:themeColor="text1" w:val="000000"/>
          <w:sz w:val="22"/>
          <w:lang w:val="en-GB"/>
        </w:rPr>
      </w:pPr>
      <w:r>
        <w:rPr>
          <w:rStyle w:val="Normaltextrun"/>
          <w:rFonts w:cs="Arial" w:ascii="Arial" w:hAnsi="Arial"/>
          <w:b/>
          <w:color w:themeColor="text1" w:val="000000"/>
          <w:sz w:val="22"/>
          <w:lang w:val="en-GB"/>
        </w:rPr>
        <w:t>References:</w:t>
      </w:r>
    </w:p>
    <w:p>
      <w:pPr>
        <w:pStyle w:val="Normal"/>
        <w:rPr>
          <w:rFonts w:ascii="Arial" w:hAnsi="Arial" w:cs="Arial"/>
          <w:sz w:val="20"/>
        </w:rPr>
      </w:pPr>
      <w:r>
        <w:rPr>
          <w:rFonts w:cs="Arial" w:ascii="Arial" w:hAnsi="Arial"/>
          <w:sz w:val="20"/>
        </w:rPr>
        <w:t>E. Halušková: On iterated direct limits of a monounary algebra, Contributions to General Algebra, 10 (Klagenfurt, 1997), Austria, Verlag Johannes Heyn, Klagenfurt, 1998, 189–195.</w:t>
      </w:r>
    </w:p>
    <w:p>
      <w:pPr>
        <w:pStyle w:val="Normal"/>
        <w:rPr>
          <w:rFonts w:ascii="Arial" w:hAnsi="Arial" w:cs="Arial"/>
          <w:sz w:val="20"/>
        </w:rPr>
      </w:pPr>
      <w:r>
        <w:rPr>
          <w:rFonts w:cs="Arial" w:ascii="Arial" w:hAnsi="Arial"/>
          <w:sz w:val="20"/>
        </w:rPr>
        <w:t>E. Halušková: On direct limit closed classes of algebras, Bulletin of the Section of Logic 45:3/4(2016), 155–169.</w:t>
      </w:r>
    </w:p>
    <w:p>
      <w:pPr>
        <w:pStyle w:val="Normal"/>
        <w:rPr>
          <w:rFonts w:ascii="Arial" w:hAnsi="Arial" w:cs="Arial"/>
          <w:sz w:val="20"/>
        </w:rPr>
      </w:pPr>
      <w:r>
        <w:rPr>
          <w:rFonts w:cs="Arial" w:ascii="Arial" w:hAnsi="Arial"/>
          <w:sz w:val="20"/>
        </w:rPr>
        <w:t>H. J. Keisler: Theory of Models with Generalized Atomic Formulas, The Journal of Symbolic Logic, Vol. 25, No. 1 (Mar.,1960), pp. 1–26.</w:t>
      </w:r>
    </w:p>
    <w:p>
      <w:pPr>
        <w:pStyle w:val="Normal"/>
        <w:rPr/>
      </w:pPr>
      <w:r>
        <w:rPr/>
      </w:r>
    </w:p>
    <w:p>
      <w:pPr>
        <w:pStyle w:val="Paragraph"/>
        <w:spacing w:beforeAutospacing="0" w:before="0" w:afterAutospacing="0" w:after="120"/>
        <w:jc w:val="both"/>
        <w:rPr>
          <w:rStyle w:val="Normaltextrun"/>
          <w:rFonts w:ascii="Arial" w:hAnsi="Arial" w:cs="Arial"/>
          <w:color w:themeColor="text1" w:val="000000"/>
          <w:sz w:val="22"/>
          <w:lang w:val="en-GB"/>
        </w:rPr>
      </w:pPr>
      <w:r>
        <w:rPr>
          <w:rFonts w:cs="Arial" w:ascii="Arial" w:hAnsi="Arial"/>
          <w:color w:themeColor="text1" w:val="000000"/>
          <w:sz w:val="22"/>
          <w:lang w:val="en-GB"/>
        </w:rPr>
      </w:r>
    </w:p>
    <w:p>
      <w:pPr>
        <w:pStyle w:val="Normal"/>
        <w:spacing w:before="0" w:after="0"/>
        <w:rPr>
          <w:lang w:val="en-GB"/>
        </w:rPr>
      </w:pPr>
      <w:r>
        <w:rPr>
          <w:lang w:val="en-GB"/>
        </w:rPr>
      </w:r>
    </w:p>
    <w:p>
      <w:pPr>
        <w:pStyle w:val="P68B1DB1-Nadpis314"/>
        <w:spacing w:before="120" w:after="120"/>
        <w:rPr>
          <w:lang w:val="en-GB"/>
        </w:rPr>
      </w:pPr>
      <w:bookmarkStart w:id="6" w:name="_Toc146551742"/>
      <w:r>
        <w:rPr>
          <w:lang w:val="en-GB"/>
        </w:rPr>
        <w:t xml:space="preserve">1.3 </w:t>
      </w:r>
      <w:r>
        <w:rPr>
          <w:rStyle w:val="Normaltextrun"/>
          <w:lang w:val="en-GB"/>
        </w:rPr>
        <w:t>METHODOLOGY</w:t>
      </w:r>
      <w:bookmarkEnd w:id="6"/>
    </w:p>
    <w:p>
      <w:pPr>
        <w:pStyle w:val="Normal"/>
        <w:rPr>
          <w:rFonts w:ascii="Arial" w:hAnsi="Arial" w:cs="Arial"/>
          <w:lang w:val="en-GB"/>
        </w:rPr>
      </w:pPr>
      <w:r>
        <w:rPr>
          <w:rFonts w:cs="Arial" w:ascii="Arial" w:hAnsi="Arial"/>
          <w:lang w:val="en-GB"/>
        </w:rPr>
        <w:t>We will use methods and procedures typical for basic research in mathematics. In accordance with the goals of the project, we will focus on applying the results and methods of universal algebra to classical algebras. Further, we will investigate specially cases and then generalize them, do thought experiments, establish hypotheses and prove them (in some cases with the use of computing technology). We will follow the procedures of other mathematicians and creatively to develop them.</w:t>
      </w:r>
    </w:p>
    <w:p>
      <w:pPr>
        <w:pStyle w:val="Normal"/>
        <w:rPr/>
      </w:pPr>
      <w:r>
        <w:rPr>
          <w:rFonts w:cs="Arial" w:ascii="Arial" w:hAnsi="Arial"/>
          <w:lang w:val="en-GB"/>
        </w:rPr>
        <w:t>More specifically for individual directions of the project:</w:t>
      </w:r>
    </w:p>
    <w:p>
      <w:pPr>
        <w:pStyle w:val="Normal"/>
        <w:rPr>
          <w:rFonts w:ascii="Arial" w:hAnsi="Arial" w:cs="Arial"/>
          <w:lang w:val="en-US"/>
        </w:rPr>
      </w:pPr>
      <w:r>
        <w:rPr>
          <w:rFonts w:cs="Arial" w:ascii="Arial" w:hAnsi="Arial"/>
          <w:i/>
          <w:lang w:val="en-US"/>
        </w:rPr>
        <w:t>1. EKP property for algebras, in particular for rings and groups</w:t>
      </w:r>
      <w:r>
        <w:rPr>
          <w:rFonts w:cs="Arial" w:ascii="Arial" w:hAnsi="Arial"/>
          <w:lang w:val="en-US"/>
        </w:rPr>
        <w:t>.</w:t>
      </w:r>
    </w:p>
    <w:p>
      <w:pPr>
        <w:pStyle w:val="Normal"/>
        <w:rPr>
          <w:rFonts w:ascii="Arial" w:hAnsi="Arial" w:cs="Arial"/>
          <w:lang w:val="en-US"/>
        </w:rPr>
      </w:pPr>
      <w:r>
        <w:rPr>
          <w:rFonts w:cs="Arial" w:ascii="Arial" w:hAnsi="Arial"/>
          <w:lang w:val="en-US"/>
        </w:rPr>
        <w:t>An algebra A has EKP if and only if every factor algebra of A is isomorphic to a subalgebra of A. So, we will focus on the question of how the property that A has an EKP is connected for the algebra A with properties of the congruence lattice of A. We are convinced that knowledge about the lattice of normal subgroups of a group and the lattice of ideals of a ring help to discover new algebras with EKP.</w:t>
      </w:r>
    </w:p>
    <w:p>
      <w:pPr>
        <w:pStyle w:val="Normal"/>
        <w:rPr>
          <w:rFonts w:ascii="Arial" w:hAnsi="Arial" w:cs="Arial"/>
          <w:lang w:val="en-US"/>
        </w:rPr>
      </w:pPr>
      <w:r>
        <w:rPr>
          <w:rFonts w:cs="Arial" w:ascii="Arial" w:hAnsi="Arial"/>
          <w:lang w:val="en-US"/>
        </w:rPr>
        <w:t>Challenge: Find new groups with EKP, since some classes of groups with EKP are described. All discovered groups with EKP are finite nilpotent groups, so we will start from infinite abelian ones.</w:t>
      </w:r>
    </w:p>
    <w:p>
      <w:pPr>
        <w:pStyle w:val="Normal"/>
        <w:rPr>
          <w:rFonts w:ascii="Arial" w:hAnsi="Arial" w:cs="Arial"/>
          <w:lang w:val="en-US"/>
        </w:rPr>
      </w:pPr>
      <w:r>
        <w:rPr>
          <w:rFonts w:cs="Arial" w:ascii="Arial" w:hAnsi="Arial"/>
          <w:i/>
          <w:lang w:val="en-US"/>
        </w:rPr>
        <w:t>2. Algebras with  easy direct limits</w:t>
      </w:r>
      <w:r>
        <w:rPr>
          <w:rFonts w:cs="Arial" w:ascii="Arial" w:hAnsi="Arial"/>
          <w:lang w:val="en-US"/>
        </w:rPr>
        <w:t>.</w:t>
      </w:r>
    </w:p>
    <w:p>
      <w:pPr>
        <w:pStyle w:val="Normal"/>
        <w:rPr>
          <w:rFonts w:ascii="Arial" w:hAnsi="Arial" w:cs="Arial"/>
          <w:lang w:val="en-US"/>
        </w:rPr>
      </w:pPr>
      <w:r>
        <w:rPr>
          <w:rFonts w:cs="Arial" w:ascii="Arial" w:hAnsi="Arial"/>
          <w:lang w:val="en-US"/>
        </w:rPr>
        <w:t>Firstly, we want to enlarge the list of groups and rings which are algebras with easy direct limits which we obtained on the research state 2022. Then we will try to generalize these examples to obtain statements which are useful to recognize if an algebra is with easy direct limits. Experiments will be directed both at properties specific to groups and rings, and at algebras in general.</w:t>
      </w:r>
    </w:p>
    <w:p>
      <w:pPr>
        <w:pStyle w:val="Normal"/>
        <w:rPr>
          <w:rFonts w:ascii="Arial" w:hAnsi="Arial" w:cs="Arial"/>
          <w:lang w:val="en-US"/>
        </w:rPr>
      </w:pPr>
      <w:r>
        <w:rPr>
          <w:rFonts w:cs="Arial" w:ascii="Arial" w:hAnsi="Arial"/>
          <w:lang w:val="en-US"/>
        </w:rPr>
        <w:t>Challenge: To answer the question if a simple algebra needs to be with easy direct limits. Here we need to choose appropriately simple algebras with endomorphisms that are not automorphisms. Then decide how to set up direct systems and analyze what happens when constructing limits.</w:t>
      </w:r>
    </w:p>
    <w:p>
      <w:pPr>
        <w:pStyle w:val="Normal"/>
        <w:rPr>
          <w:rFonts w:ascii="Arial" w:hAnsi="Arial" w:cs="Arial"/>
          <w:lang w:val="en-US"/>
        </w:rPr>
      </w:pPr>
      <w:r>
        <w:rPr>
          <w:rFonts w:cs="Arial" w:ascii="Arial" w:hAnsi="Arial"/>
          <w:i/>
          <w:lang w:val="en-US"/>
        </w:rPr>
        <w:t>3. Classes of algebras closed with respect to direct limits</w:t>
      </w:r>
      <w:r>
        <w:rPr>
          <w:rFonts w:cs="Arial" w:ascii="Arial" w:hAnsi="Arial"/>
          <w:lang w:val="en-US"/>
        </w:rPr>
        <w:t xml:space="preserve">. </w:t>
      </w:r>
    </w:p>
    <w:p>
      <w:pPr>
        <w:pStyle w:val="Normal"/>
        <w:rPr>
          <w:rFonts w:ascii="Arial" w:hAnsi="Arial" w:cs="Arial"/>
        </w:rPr>
      </w:pPr>
      <w:r>
        <w:rPr>
          <w:rFonts w:cs="Arial" w:ascii="Arial" w:hAnsi="Arial"/>
          <w:lang w:val="en-GB"/>
        </w:rPr>
        <w:t>Finding out whether a class of rings is direct limit closed will mean first checking whether this class is axiomatic and, if so, whether the formulas that make it up are of a special form (Keisler, 1960 all formulas of finite length; Halušková, 2016 some formulas of infinite length)</w:t>
      </w:r>
      <w:r>
        <w:rPr>
          <w:rFonts w:cs="Arial" w:ascii="Arial" w:hAnsi="Arial"/>
        </w:rPr>
        <w:t>.</w:t>
      </w:r>
    </w:p>
    <w:p>
      <w:pPr>
        <w:pStyle w:val="Normal"/>
        <w:rPr>
          <w:rFonts w:ascii="Arial" w:hAnsi="Arial" w:cs="Arial"/>
          <w:lang w:val="en-GB"/>
        </w:rPr>
      </w:pPr>
      <w:r>
        <w:rPr>
          <w:rFonts w:cs="Arial" w:ascii="Arial" w:hAnsi="Arial"/>
          <w:lang w:val="en-GB"/>
        </w:rPr>
        <w:t>Challenge: In many cases to check whether concrete class is axiomatic is complicated. And if so, the next non-trivial problem is to find out whether the sentences which determine it are equivalent to a set sentences of the form required for direct limits. We plan use the advantage of MI SAS that there are experts for theory of models (Repický, Eliáš) in this challenge.</w:t>
      </w:r>
    </w:p>
    <w:p>
      <w:pPr>
        <w:pStyle w:val="Normal"/>
        <w:rPr>
          <w:rStyle w:val="Normaltextrun"/>
          <w:rFonts w:ascii="Arial" w:hAnsi="Arial" w:cs="Arial"/>
          <w:lang w:val="en-US"/>
        </w:rPr>
      </w:pPr>
      <w:r>
        <w:rPr>
          <w:rStyle w:val="Normaltextrun"/>
          <w:rFonts w:cs="Arial" w:ascii="Arial" w:hAnsi="Arial"/>
          <w:color w:val="000000"/>
          <w:lang w:val="en-GB"/>
        </w:rPr>
        <w:t xml:space="preserve">The </w:t>
      </w:r>
      <w:r>
        <w:rPr>
          <w:rStyle w:val="Normaltextrun"/>
          <w:rFonts w:cs="Arial" w:ascii="Arial" w:hAnsi="Arial"/>
          <w:b/>
          <w:color w:val="000000"/>
          <w:lang w:val="en-GB"/>
        </w:rPr>
        <w:t>multidisciplinary</w:t>
      </w:r>
      <w:r>
        <w:rPr>
          <w:rStyle w:val="Normaltextrun"/>
          <w:rFonts w:cs="Arial" w:ascii="Arial" w:hAnsi="Arial"/>
          <w:color w:val="000000"/>
          <w:lang w:val="en-GB"/>
        </w:rPr>
        <w:t xml:space="preserve"> approach is in the methods we use to achieve results. </w:t>
      </w:r>
      <w:r>
        <w:rPr>
          <w:rStyle w:val="Normaltextrun"/>
          <w:rFonts w:cs="Arial" w:ascii="Arial" w:hAnsi="Arial"/>
          <w:b/>
          <w:color w:val="000000"/>
          <w:lang w:val="en-GB"/>
        </w:rPr>
        <w:t>Interdisciplinarity</w:t>
      </w:r>
      <w:r>
        <w:rPr>
          <w:rStyle w:val="Normaltextrun"/>
          <w:rFonts w:cs="Arial" w:ascii="Arial" w:hAnsi="Arial"/>
          <w:color w:val="000000"/>
          <w:lang w:val="en-GB"/>
        </w:rPr>
        <w:t xml:space="preserve"> is that through the search for solutions to problems from universal algebra, we will enrich knowledge in the fields of classical algebra and conversly.</w:t>
      </w:r>
    </w:p>
    <w:p>
      <w:pPr>
        <w:pStyle w:val="Paragraph"/>
        <w:spacing w:before="280" w:after="120"/>
        <w:jc w:val="both"/>
        <w:textAlignment w:val="baseline"/>
        <w:rPr>
          <w:rFonts w:ascii="Arial" w:hAnsi="Arial" w:cs="Arial"/>
          <w:sz w:val="22"/>
          <w:szCs w:val="22"/>
          <w:lang w:val="en-GB"/>
        </w:rPr>
      </w:pPr>
      <w:r>
        <w:rPr>
          <w:rFonts w:cs="Arial" w:ascii="Arial" w:hAnsi="Arial"/>
          <w:sz w:val="22"/>
          <w:szCs w:val="22"/>
          <w:lang w:val="en-GB"/>
        </w:rPr>
        <w:t xml:space="preserve">Principles of </w:t>
      </w:r>
      <w:r>
        <w:rPr>
          <w:rFonts w:cs="Arial" w:ascii="Arial" w:hAnsi="Arial"/>
          <w:b/>
          <w:sz w:val="22"/>
          <w:szCs w:val="22"/>
          <w:lang w:val="en-GB"/>
        </w:rPr>
        <w:t>open science</w:t>
      </w:r>
      <w:r>
        <w:rPr>
          <w:rFonts w:cs="Arial" w:ascii="Arial" w:hAnsi="Arial"/>
          <w:sz w:val="22"/>
          <w:szCs w:val="22"/>
          <w:lang w:val="en-GB"/>
        </w:rPr>
        <w:t xml:space="preserve"> are respected through the active participation an international scientific events and the submission of contributions to the arXiv internet platform and to open access journals.</w:t>
      </w:r>
    </w:p>
    <w:p>
      <w:pPr>
        <w:pStyle w:val="Paragraph"/>
        <w:spacing w:beforeAutospacing="0" w:before="0" w:afterAutospacing="0" w:after="120"/>
        <w:jc w:val="both"/>
        <w:rPr>
          <w:rStyle w:val="Normaltextrun"/>
          <w:rFonts w:ascii="Arial" w:hAnsi="Arial" w:cs="Arial"/>
          <w:color w:val="000000"/>
          <w:sz w:val="22"/>
          <w:highlight w:val="lightGray"/>
          <w:lang w:val="en-GB"/>
        </w:rPr>
      </w:pPr>
      <w:r>
        <w:rPr>
          <w:rStyle w:val="Normaltextrun"/>
          <w:rFonts w:cs="Arial" w:ascii="Arial" w:hAnsi="Arial"/>
          <w:color w:val="000000"/>
          <w:sz w:val="22"/>
          <w:lang w:val="en-GB"/>
        </w:rPr>
        <w:t>Data collection, gender equality are not relevant.</w:t>
      </w:r>
    </w:p>
    <w:p>
      <w:pPr>
        <w:pStyle w:val="Paragraph"/>
        <w:spacing w:beforeAutospacing="0" w:before="0" w:afterAutospacing="0" w:after="0"/>
        <w:jc w:val="both"/>
        <w:rPr>
          <w:rStyle w:val="Normaltextrun"/>
          <w:rFonts w:ascii="Arial" w:hAnsi="Arial" w:cs="Arial"/>
          <w:color w:val="000000"/>
          <w:sz w:val="22"/>
          <w:highlight w:val="lightGray"/>
          <w:lang w:val="en-GB"/>
        </w:rPr>
      </w:pPr>
      <w:r>
        <w:rPr>
          <w:rFonts w:cs="Arial" w:ascii="Arial" w:hAnsi="Arial"/>
          <w:color w:val="000000"/>
          <w:sz w:val="22"/>
          <w:highlight w:val="lightGray"/>
          <w:lang w:val="en-GB"/>
        </w:rPr>
      </w:r>
    </w:p>
    <w:p>
      <w:pPr>
        <w:pStyle w:val="P68B1DB1-Nadpis315"/>
        <w:spacing w:before="120" w:after="120"/>
        <w:rPr>
          <w:rStyle w:val="Normaltextrun"/>
          <w:caps w:val="false"/>
          <w:smallCaps w:val="false"/>
          <w:lang w:val="en-GB"/>
        </w:rPr>
      </w:pPr>
      <w:bookmarkStart w:id="7" w:name="_Toc146551743"/>
      <w:r>
        <w:rPr>
          <w:lang w:val="en-GB"/>
        </w:rPr>
        <w:t xml:space="preserve">1.4 </w:t>
      </w:r>
      <w:r>
        <w:rPr>
          <w:rStyle w:val="Normaltextrun"/>
          <w:caps w:val="false"/>
          <w:smallCaps w:val="false"/>
          <w:lang w:val="en-GB"/>
        </w:rPr>
        <w:t>EXCELLENCE OF THE RESEARCHER</w:t>
      </w:r>
      <w:bookmarkEnd w:id="7"/>
    </w:p>
    <w:p>
      <w:pPr>
        <w:pStyle w:val="P68B1DB1-Normlny17"/>
        <w:spacing w:lineRule="auto" w:line="240" w:before="0" w:after="0"/>
        <w:jc w:val="both"/>
        <w:textAlignment w:val="baseline"/>
        <w:rPr>
          <w:b/>
          <w:lang w:val="en-GB"/>
        </w:rPr>
      </w:pPr>
      <w:r>
        <w:rPr>
          <w:lang w:val="en-US"/>
        </w:rPr>
        <w:t xml:space="preserve">Małgorzata Jastrzębska </w:t>
      </w:r>
      <w:r>
        <w:rPr>
          <w:rStyle w:val="Tlid-translation"/>
          <w:lang w:val="en-US"/>
        </w:rPr>
        <w:t xml:space="preserve">is a specialist in classical algebras, i.e. the theory of rings, groups, modules. She has received PhD. degree under the supervision of a renowned expert prof. Jan Krempa </w:t>
      </w:r>
      <w:r>
        <w:rPr>
          <w:rStyle w:val="Tlid-translation"/>
          <w:color w:val="FF0000"/>
          <w:lang w:val="en-US"/>
        </w:rPr>
        <w:t xml:space="preserve"> </w:t>
      </w:r>
      <w:r>
        <w:rPr>
          <w:rStyle w:val="Tlid-translation"/>
          <w:lang w:val="en-US"/>
        </w:rPr>
        <w:t>from Warsaw in this field. She published as the author or coauthor 7 papers in journals registered in WOS and SCOPUS, 5 in other scientific press.</w:t>
      </w:r>
      <w:r>
        <w:rPr/>
        <w:t xml:space="preserve"> </w:t>
      </w:r>
      <w:r>
        <w:rPr>
          <w:rStyle w:val="Tlid-translation"/>
          <w:lang w:val="en-US"/>
        </w:rPr>
        <w:t xml:space="preserve">Many of her results are about the use of lattices in ring theory. For example she described </w:t>
      </w:r>
      <w:r>
        <w:rPr>
          <w:iCs/>
          <w:lang w:val="en-US"/>
        </w:rPr>
        <w:t>rings with Boolean lattices of one-sided annihilators</w:t>
      </w:r>
      <w:r>
        <w:rPr>
          <w:rStyle w:val="Spellingerror"/>
          <w:lang w:val="en-US"/>
        </w:rPr>
        <w:t xml:space="preserve"> (2021). </w:t>
      </w:r>
      <w:r>
        <w:rPr>
          <w:rStyle w:val="Tlid-translation"/>
          <w:lang w:val="en-US"/>
        </w:rPr>
        <w:t xml:space="preserve">She presented her work on many scientific mathematical seminars and conferences, across Europe and in Slovakia too. Last year, she worked for 3 months at MI SAS as part of a research stay through the agency SAIA and collaborated very intensively with several researchers from MI SAS. Inter alia she </w:t>
      </w:r>
      <w:r>
        <w:rPr>
          <w:lang w:val="en-US"/>
        </w:rPr>
        <w:t xml:space="preserve">recognized several significant examples of infinite groups and rings with EDL during her stay. </w:t>
      </w:r>
      <w:r>
        <w:rPr>
          <w:rStyle w:val="Tlid-translation"/>
          <w:lang w:val="en-US"/>
        </w:rPr>
        <w:t xml:space="preserve">We are convinced that she </w:t>
      </w:r>
      <w:r>
        <w:rPr/>
        <w:t>has more than sufficient competence</w:t>
      </w:r>
      <w:r>
        <w:rPr>
          <w:rStyle w:val="Tlid-translation"/>
          <w:lang w:val="en-US"/>
        </w:rPr>
        <w:t xml:space="preserve"> for this project, she is able to meet its objectives and it is very productive to support her research activities.</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6"/>
        <w:spacing w:lineRule="auto" w:line="240" w:before="0" w:after="0"/>
        <w:jc w:val="both"/>
        <w:textAlignment w:val="baseline"/>
        <w:rPr>
          <w:lang w:val="en-GB"/>
        </w:rPr>
      </w:pPr>
      <w:r>
        <w:rPr>
          <w:lang w:val="en-GB"/>
        </w:rPr>
        <w:t>Curriculum Vitae</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Personal information</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GB"/>
        </w:rPr>
        <w:t>First and last name: </w:t>
      </w:r>
      <w:r>
        <w:rPr>
          <w:lang w:val="en-US"/>
        </w:rPr>
        <w:t>Małgorzata Jastrzębska</w:t>
      </w:r>
    </w:p>
    <w:p>
      <w:pPr>
        <w:pStyle w:val="P68B1DB1-Normlny17"/>
        <w:spacing w:lineRule="auto" w:line="240" w:before="0" w:after="0"/>
        <w:jc w:val="both"/>
        <w:textAlignment w:val="baseline"/>
        <w:rPr>
          <w:rFonts w:ascii="Segoe UI" w:hAnsi="Segoe UI" w:cs="Segoe UI"/>
          <w:sz w:val="18"/>
          <w:lang w:val="en-GB"/>
        </w:rPr>
      </w:pPr>
      <w:r>
        <w:rPr>
          <w:lang w:val="en-GB"/>
        </w:rPr>
        <w:t>Identifier ORCID: </w:t>
      </w:r>
      <w:r>
        <w:rPr>
          <w:lang w:val="en-US"/>
        </w:rPr>
        <w:t>0000-0002-6318-5271</w:t>
      </w:r>
    </w:p>
    <w:p>
      <w:pPr>
        <w:pStyle w:val="P68B1DB1-Normlny17"/>
        <w:spacing w:lineRule="auto" w:line="240" w:before="0" w:after="0"/>
        <w:jc w:val="both"/>
        <w:textAlignment w:val="baseline"/>
        <w:rPr>
          <w:rFonts w:ascii="Segoe UI" w:hAnsi="Segoe UI" w:cs="Segoe UI"/>
          <w:sz w:val="18"/>
          <w:lang w:val="en-GB"/>
        </w:rPr>
      </w:pPr>
      <w:r>
        <w:rPr>
          <w:lang w:val="en-GB"/>
        </w:rPr>
        <w:t>Date of birth: </w:t>
      </w:r>
      <w:r>
        <w:rPr>
          <w:lang w:val="en-US"/>
        </w:rPr>
        <w:t>27.07.1982</w:t>
      </w:r>
    </w:p>
    <w:p>
      <w:pPr>
        <w:pStyle w:val="P68B1DB1-Normlny17"/>
        <w:spacing w:lineRule="auto" w:line="240" w:before="0" w:after="0"/>
        <w:jc w:val="both"/>
        <w:textAlignment w:val="baseline"/>
        <w:rPr>
          <w:rFonts w:ascii="Segoe UI" w:hAnsi="Segoe UI" w:cs="Segoe UI"/>
          <w:sz w:val="18"/>
          <w:lang w:val="en-GB"/>
        </w:rPr>
      </w:pPr>
      <w:r>
        <w:rPr>
          <w:lang w:val="en-GB"/>
        </w:rPr>
        <w:t>Nationality: Polish</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Education</w:t>
      </w:r>
      <w:r>
        <w:rPr>
          <w:lang w:val="en-GB"/>
        </w:rPr>
        <w:t> </w:t>
      </w:r>
    </w:p>
    <w:p>
      <w:pPr>
        <w:pStyle w:val="P68B1DB1-Normlny17"/>
        <w:spacing w:lineRule="auto" w:line="240" w:before="0" w:after="0"/>
        <w:jc w:val="both"/>
        <w:rPr>
          <w:rFonts w:ascii="Segoe UI" w:hAnsi="Segoe UI" w:eastAsia="Segoe UI" w:cs="Segoe UI"/>
          <w:sz w:val="18"/>
          <w:szCs w:val="18"/>
        </w:rPr>
      </w:pPr>
      <w:r>
        <w:rPr>
          <w:lang w:val="en-US"/>
        </w:rPr>
        <w:t>04/2016 – PhD </w:t>
      </w:r>
    </w:p>
    <w:p>
      <w:pPr>
        <w:pStyle w:val="P68B1DB1-Normlny17"/>
        <w:spacing w:lineRule="auto" w:line="240" w:before="0" w:after="0"/>
        <w:ind w:firstLine="705" w:left="705"/>
        <w:jc w:val="both"/>
        <w:rPr/>
      </w:pPr>
      <w:r>
        <w:rPr>
          <w:lang w:val="en-US"/>
        </w:rPr>
        <w:t>Faculty of Mathematics, Informatics and Mechanics, University of Warsaw, Poland </w:t>
      </w:r>
    </w:p>
    <w:p>
      <w:pPr>
        <w:pStyle w:val="P68B1DB1-Normlny17"/>
        <w:spacing w:lineRule="auto" w:line="240" w:before="0" w:after="0"/>
        <w:jc w:val="both"/>
        <w:rPr>
          <w:rFonts w:ascii="Segoe UI" w:hAnsi="Segoe UI" w:eastAsia="Segoe UI" w:cs="Segoe UI"/>
          <w:sz w:val="18"/>
          <w:szCs w:val="18"/>
        </w:rPr>
      </w:pPr>
      <w:r>
        <w:rPr>
          <w:lang w:val="en-US"/>
        </w:rPr>
        <w:t>06/2006 – Master </w:t>
      </w:r>
    </w:p>
    <w:p>
      <w:pPr>
        <w:pStyle w:val="P68B1DB1-Normlny17"/>
        <w:spacing w:lineRule="auto" w:line="240" w:before="0" w:after="0"/>
        <w:ind w:firstLine="705" w:left="705"/>
        <w:rPr/>
      </w:pPr>
      <w:r>
        <w:rPr>
          <w:lang w:val="en-US"/>
        </w:rPr>
        <w:t>Faculty of Natural Sciences, Academy of Podlasie in Siedlce (currently Siedlce University        of Natural Sciences and Humanities), Poland</w:t>
      </w:r>
    </w:p>
    <w:p>
      <w:pPr>
        <w:pStyle w:val="P68B1DB1-Normlny17"/>
        <w:spacing w:lineRule="auto" w:line="240" w:before="0" w:after="0"/>
        <w:ind w:firstLine="705" w:left="705"/>
        <w:jc w:val="both"/>
        <w:textAlignment w:val="baseline"/>
        <w:rPr>
          <w:lang w:val="en-GB"/>
        </w:rPr>
      </w:pPr>
      <w:r>
        <w:rPr>
          <w:lang w:val="en-GB"/>
        </w:rPr>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b/>
          <w:lang w:val="en-GB"/>
        </w:rPr>
      </w:pPr>
      <w:r>
        <w:rPr>
          <w:b/>
          <w:lang w:val="en-GB"/>
        </w:rPr>
        <w:t>Current position/positions</w:t>
      </w:r>
    </w:p>
    <w:p>
      <w:pPr>
        <w:pStyle w:val="Normal"/>
        <w:spacing w:lineRule="auto" w:line="240" w:before="0" w:after="0"/>
        <w:jc w:val="both"/>
        <w:rPr>
          <w:rFonts w:ascii="Arial" w:hAnsi="Arial" w:eastAsia="Arial" w:cs="Arial"/>
        </w:rPr>
      </w:pPr>
      <w:r>
        <w:rPr>
          <w:rFonts w:ascii="Arial" w:hAnsi="Arial"/>
          <w:lang w:val="en-US"/>
        </w:rPr>
        <w:t xml:space="preserve">10/2016 –   Assistant Professor, </w:t>
      </w:r>
    </w:p>
    <w:p>
      <w:pPr>
        <w:pStyle w:val="P68B1DB1-Normlny17"/>
        <w:spacing w:lineRule="auto" w:line="240" w:before="0" w:after="0"/>
        <w:jc w:val="both"/>
        <w:textAlignment w:val="baseline"/>
        <w:rPr>
          <w:rFonts w:ascii="Segoe UI" w:hAnsi="Segoe UI" w:cs="Segoe UI"/>
          <w:sz w:val="18"/>
          <w:lang w:val="en-GB"/>
        </w:rPr>
      </w:pPr>
      <w:r>
        <w:rPr>
          <w:lang w:val="en-US"/>
        </w:rPr>
        <w:t xml:space="preserve">       </w:t>
      </w:r>
      <w:r>
        <w:rPr>
          <w:lang w:val="en-US"/>
        </w:rPr>
        <w:t>Institute of Mathematics, Siedlce University of Natural Sciences and Humanities, Poland</w:t>
      </w:r>
      <w:r>
        <w:rPr>
          <w:lang w:val="en-GB"/>
        </w:rPr>
        <w:t> </w:t>
      </w:r>
    </w:p>
    <w:p>
      <w:pPr>
        <w:pStyle w:val="P68B1DB1-Normlny17"/>
        <w:spacing w:lineRule="auto" w:line="240" w:before="0" w:after="0"/>
        <w:ind w:firstLine="705" w:left="705"/>
        <w:jc w:val="both"/>
        <w:textAlignment w:val="baseline"/>
        <w:rPr>
          <w:lang w:val="en-GB"/>
        </w:rPr>
      </w:pPr>
      <w:r>
        <w:rPr>
          <w:lang w:val="en-GB"/>
        </w:rPr>
      </w:r>
    </w:p>
    <w:p>
      <w:pPr>
        <w:pStyle w:val="P68B1DB1-Normlny17"/>
        <w:spacing w:lineRule="auto" w:line="240" w:before="0" w:after="0"/>
        <w:jc w:val="both"/>
        <w:textAlignment w:val="baseline"/>
        <w:rPr>
          <w:rFonts w:ascii="Segoe UI" w:hAnsi="Segoe UI" w:cs="Segoe UI"/>
          <w:sz w:val="18"/>
          <w:lang w:val="en-GB"/>
        </w:rPr>
      </w:pPr>
      <w:r>
        <w:rPr>
          <w:b/>
          <w:lang w:val="en-GB"/>
        </w:rPr>
        <w:t>Previous positions</w:t>
      </w:r>
      <w:r>
        <w:rPr>
          <w:lang w:val="en-GB"/>
        </w:rPr>
        <w:t> </w:t>
      </w:r>
    </w:p>
    <w:p>
      <w:pPr>
        <w:pStyle w:val="P68B1DB1-Normlny17"/>
        <w:spacing w:lineRule="auto" w:line="240" w:before="0" w:after="0"/>
        <w:jc w:val="both"/>
        <w:rPr>
          <w:rFonts w:ascii="Segoe UI" w:hAnsi="Segoe UI" w:eastAsia="Segoe UI" w:cs="Segoe UI"/>
          <w:sz w:val="18"/>
          <w:szCs w:val="18"/>
        </w:rPr>
      </w:pPr>
      <w:r>
        <w:rPr>
          <w:lang w:val="en-US"/>
        </w:rPr>
        <w:t xml:space="preserve">10/2012 – 09/2016 – Assistant </w:t>
      </w:r>
    </w:p>
    <w:p>
      <w:pPr>
        <w:pStyle w:val="P68B1DB1-Normlny17"/>
        <w:spacing w:lineRule="auto" w:line="240" w:before="0" w:after="0"/>
        <w:ind w:firstLine="705" w:left="705"/>
        <w:jc w:val="both"/>
        <w:textAlignment w:val="baseline"/>
        <w:rPr>
          <w:lang w:val="en-GB"/>
        </w:rPr>
      </w:pPr>
      <w:r>
        <w:rPr>
          <w:lang w:val="en-US"/>
        </w:rPr>
        <w:t>Institute of Mathematics and Physics (current Institute of Mathematics), Siedlce University        of Natural Sciences and Humanities, Poland</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lang w:val="en-GB"/>
        </w:rPr>
      </w:pPr>
      <w:r>
        <w:rPr>
          <w:b/>
          <w:lang w:val="en-GB"/>
        </w:rPr>
        <w:t>Scholarships and awards</w:t>
      </w:r>
      <w:r>
        <w:rPr>
          <w:lang w:val="en-GB"/>
        </w:rPr>
        <w:t> </w:t>
      </w:r>
    </w:p>
    <w:p>
      <w:pPr>
        <w:pStyle w:val="P68B1DB1-Normlny17"/>
        <w:spacing w:lineRule="auto" w:line="240" w:before="0" w:after="0"/>
        <w:jc w:val="both"/>
        <w:textAlignment w:val="baseline"/>
        <w:rPr>
          <w:rFonts w:ascii="Segoe UI" w:hAnsi="Segoe UI" w:cs="Segoe UI"/>
          <w:sz w:val="18"/>
          <w:lang w:val="en-GB"/>
        </w:rPr>
      </w:pPr>
      <w:r>
        <w:rPr>
          <w:lang w:val="en-US"/>
        </w:rPr>
        <w:t>07/2022 – 09/2022 – Scholarship 1 – Mathematical Institute, Slovak Academy of Sciences, Slovakia</w:t>
      </w:r>
    </w:p>
    <w:p>
      <w:pPr>
        <w:pStyle w:val="Normal"/>
        <w:spacing w:lineRule="auto" w:line="240" w:before="0" w:after="0"/>
        <w:jc w:val="both"/>
        <w:textAlignment w:val="baseline"/>
        <w:rPr>
          <w:rFonts w:ascii="Arial" w:hAnsi="Arial" w:eastAsia="Times New Roman" w:cs="Arial"/>
          <w:b/>
          <w:lang w:val="en-GB"/>
        </w:rPr>
      </w:pPr>
      <w:r>
        <w:rPr>
          <w:rFonts w:eastAsia="Times New Roman" w:cs="Arial" w:ascii="Arial" w:hAnsi="Arial"/>
          <w:b/>
          <w:lang w:val="en-GB"/>
        </w:rPr>
      </w:r>
    </w:p>
    <w:p>
      <w:pPr>
        <w:pStyle w:val="P68B1DB1-Normlny17"/>
        <w:spacing w:lineRule="auto" w:line="240" w:before="0" w:after="0"/>
        <w:jc w:val="both"/>
        <w:textAlignment w:val="baseline"/>
        <w:rPr>
          <w:rFonts w:ascii="Segoe UI" w:hAnsi="Segoe UI" w:cs="Segoe UI"/>
          <w:sz w:val="18"/>
          <w:lang w:val="en-GB"/>
        </w:rPr>
      </w:pPr>
      <w:r>
        <w:rPr>
          <w:b/>
          <w:lang w:val="en-GB"/>
        </w:rPr>
        <w:t xml:space="preserve">Teaching activities </w:t>
      </w:r>
    </w:p>
    <w:p>
      <w:pPr>
        <w:pStyle w:val="P68B1DB1-Normlny17"/>
        <w:spacing w:lineRule="auto" w:line="240" w:before="0" w:after="0"/>
        <w:jc w:val="both"/>
        <w:rPr/>
      </w:pPr>
      <w:r>
        <w:rPr>
          <w:lang w:val="en-US"/>
        </w:rPr>
        <w:t>2007 – non-permanent staff member of Warsaw University  – Linear algebra, Mathematical Analysis I Mathematical Analysis II, Warsaw University, Poland</w:t>
      </w:r>
    </w:p>
    <w:p>
      <w:pPr>
        <w:pStyle w:val="P68B1DB1-Normlny17"/>
        <w:spacing w:lineRule="auto" w:line="240" w:before="0" w:after="0"/>
        <w:rPr/>
      </w:pPr>
      <w:r>
        <w:rPr>
          <w:lang w:val="en-US"/>
        </w:rPr>
        <w:t xml:space="preserve">2012 –  assistant, assistant professor  – Linear algebra, Abstract algebra, Discrete Mathematics, Siedlce University of Natural Sciences and Humanities, Poland </w:t>
      </w:r>
    </w:p>
    <w:p>
      <w:pPr>
        <w:pStyle w:val="Domylne"/>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40" w:before="0" w:after="0"/>
        <w:rPr>
          <w:rFonts w:ascii="Arial" w:hAnsi="Arial" w:eastAsia="Arial" w:cs="Arial"/>
          <w:sz w:val="22"/>
          <w:szCs w:val="22"/>
          <w:shd w:fill="FFFFFF" w:val="clear"/>
        </w:rPr>
      </w:pPr>
      <w:r>
        <w:rPr>
          <w:rFonts w:ascii="Arial" w:hAnsi="Arial"/>
          <w:sz w:val="22"/>
          <w:szCs w:val="22"/>
          <w:shd w:fill="FFFFFF" w:val="clear"/>
        </w:rPr>
        <w:t>2020- Erasmus+ Teaching Mobility,  Catholic University Ružomberok, Slovakia, Number of teaching hours: 8</w:t>
      </w:r>
    </w:p>
    <w:p>
      <w:pPr>
        <w:pStyle w:val="P68B1DB1-Normlny17"/>
        <w:spacing w:lineRule="auto" w:line="240" w:before="0" w:after="0"/>
        <w:jc w:val="both"/>
        <w:textAlignment w:val="baseline"/>
        <w:rPr>
          <w:rFonts w:ascii="Segoe UI" w:hAnsi="Segoe UI" w:cs="Segoe UI"/>
          <w:sz w:val="18"/>
          <w:lang w:val="en-GB"/>
        </w:rPr>
      </w:pPr>
      <w:r>
        <w:rPr>
          <w:szCs w:val="22"/>
          <w:shd w:fill="FFFFFF" w:val="clear"/>
        </w:rPr>
        <w:t xml:space="preserve">2022- </w:t>
      </w:r>
      <w:r>
        <w:rPr>
          <w:szCs w:val="22"/>
          <w:shd w:fill="FFFFFF" w:val="clear"/>
          <w:lang w:val="en-US"/>
        </w:rPr>
        <w:t>Erasmus+ Teaching Mobility</w:t>
      </w:r>
      <w:r>
        <w:rPr>
          <w:szCs w:val="22"/>
          <w:shd w:fill="FFFFFF" w:val="clear"/>
        </w:rPr>
        <w:t xml:space="preserve">, </w:t>
      </w:r>
      <w:r>
        <w:rPr>
          <w:szCs w:val="22"/>
          <w:shd w:fill="FFFFFF" w:val="clear"/>
          <w:lang w:val="en-US"/>
        </w:rPr>
        <w:t>University of Žilina</w:t>
      </w:r>
      <w:r>
        <w:rPr>
          <w:szCs w:val="22"/>
          <w:shd w:fill="FFFFFF" w:val="clear"/>
        </w:rPr>
        <w:t xml:space="preserve">, Slovakia, </w:t>
      </w:r>
      <w:r>
        <w:rPr>
          <w:szCs w:val="22"/>
          <w:shd w:fill="FFFFFF" w:val="clear"/>
          <w:lang w:val="en-US"/>
        </w:rPr>
        <w:t>Number of teaching hours: 8</w:t>
      </w:r>
    </w:p>
    <w:p>
      <w:pPr>
        <w:pStyle w:val="P68B1DB1-Normlny17"/>
        <w:spacing w:lineRule="auto" w:line="240" w:before="0" w:after="0"/>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lang w:val="en-GB"/>
        </w:rPr>
        <w:t> </w:t>
      </w:r>
      <w:r>
        <w:rPr>
          <w:b/>
          <w:lang w:val="en-GB"/>
        </w:rPr>
        <w:t xml:space="preserve">Organisation of scientific meetings </w:t>
      </w:r>
    </w:p>
    <w:p>
      <w:pPr>
        <w:pStyle w:val="P68B1DB1-Normlny17"/>
        <w:spacing w:lineRule="auto" w:line="240" w:before="0" w:after="0"/>
        <w:jc w:val="both"/>
        <w:rPr/>
      </w:pPr>
      <w:r>
        <w:rPr>
          <w:lang w:val="en-US"/>
        </w:rPr>
        <w:t>2015 – Member of the organizing committee of the 8th International Workshop on Computer Algebra Systems in Teaching and Research (CASTR'2015), 50 participants, Poland</w:t>
      </w:r>
    </w:p>
    <w:p>
      <w:pPr>
        <w:pStyle w:val="P68B1DB1-Normlny17"/>
        <w:spacing w:lineRule="auto" w:line="240" w:before="0" w:after="0"/>
        <w:jc w:val="both"/>
        <w:textAlignment w:val="baseline"/>
        <w:rPr>
          <w:rFonts w:ascii="Segoe UI" w:hAnsi="Segoe UI" w:cs="Segoe UI"/>
          <w:sz w:val="18"/>
          <w:lang w:val="en-GB"/>
        </w:rPr>
      </w:pPr>
      <w:r>
        <w:rPr>
          <w:lang w:val="en-GB"/>
        </w:rPr>
        <w:t xml:space="preserve"> </w:t>
      </w:r>
    </w:p>
    <w:p>
      <w:pPr>
        <w:pStyle w:val="P68B1DB1-Normlny17"/>
        <w:spacing w:lineRule="auto" w:line="240" w:before="0" w:after="0"/>
        <w:jc w:val="both"/>
        <w:textAlignment w:val="baseline"/>
        <w:rPr>
          <w:b/>
          <w:lang w:val="en-GB"/>
        </w:rPr>
      </w:pPr>
      <w:r>
        <w:rPr>
          <w:b/>
          <w:lang w:val="en-GB"/>
        </w:rPr>
        <w:t xml:space="preserve">Reviewing activities </w:t>
      </w:r>
    </w:p>
    <w:p>
      <w:pPr>
        <w:pStyle w:val="Normal"/>
        <w:tabs>
          <w:tab w:val="clear" w:pos="7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9698" w:leader="none"/>
        </w:tabs>
        <w:spacing w:lineRule="auto" w:line="240" w:before="0" w:after="0"/>
        <w:rPr>
          <w:rFonts w:ascii="Arial" w:hAnsi="Arial" w:eastAsia="Arial" w:cs="Arial"/>
        </w:rPr>
      </w:pPr>
      <w:r>
        <w:rPr>
          <w:rFonts w:ascii="Arial" w:hAnsi="Arial"/>
          <w:lang w:val="en-US"/>
        </w:rPr>
        <w:t>2022 — Member of the editorial board and reviewer of the monograph: Wybrane zagadnienia informatyki technicznej, Postawy matematyczne, Bialystok University of Technology, Poland</w:t>
      </w:r>
    </w:p>
    <w:p>
      <w:pPr>
        <w:pStyle w:val="P68B1DB1-Normlny17"/>
        <w:spacing w:lineRule="auto" w:line="240" w:before="0" w:after="0"/>
        <w:jc w:val="both"/>
        <w:textAlignment w:val="baseline"/>
        <w:rPr>
          <w:sz w:val="18"/>
          <w:lang w:val="en-GB"/>
        </w:rPr>
      </w:pPr>
      <w:r>
        <w:rPr>
          <w:lang w:val="en-US"/>
        </w:rPr>
        <w:t xml:space="preserve">2019 — Member of the scientific editorial board of the monograph: </w:t>
      </w:r>
      <w:r>
        <w:rPr>
          <w:i/>
          <w:iCs/>
          <w:lang w:val="en-US"/>
        </w:rPr>
        <w:t>Nauka młodych. Przeszłość, teraźniejszość, przyszłość : XVIII Konferencja Studenckich i Doktoranckich Kół Naukowych, Siedlce University of Natural Sciences and Humanities, Poland</w:t>
      </w:r>
      <w:r>
        <w:rPr>
          <w:lang w:val="en-GB"/>
        </w:rPr>
        <w:t> </w:t>
      </w:r>
    </w:p>
    <w:p>
      <w:pPr>
        <w:pStyle w:val="P68B1DB1-Normlny17"/>
        <w:spacing w:lineRule="auto" w:line="240" w:before="0" w:after="0"/>
        <w:jc w:val="both"/>
        <w:rPr/>
      </w:pPr>
      <w:r>
        <w:rPr>
          <w:lang w:val="en-US"/>
        </w:rPr>
        <w:t>2018 – Reviewer, Asian-European Journal of Mathematics</w:t>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rFonts w:ascii="Segoe UI" w:hAnsi="Segoe UI" w:cs="Segoe UI"/>
          <w:sz w:val="18"/>
          <w:lang w:val="en-GB"/>
        </w:rPr>
      </w:pPr>
      <w:r>
        <w:rPr>
          <w:b/>
          <w:lang w:val="en-GB"/>
        </w:rPr>
        <w:t xml:space="preserve">Memberships of scientific societies </w:t>
      </w:r>
    </w:p>
    <w:p>
      <w:pPr>
        <w:pStyle w:val="P68B1DB1-Normlny17"/>
        <w:spacing w:lineRule="auto" w:line="240" w:before="0" w:after="0"/>
        <w:jc w:val="both"/>
        <w:rPr>
          <w:rFonts w:ascii="Segoe UI" w:hAnsi="Segoe UI" w:eastAsia="Segoe UI" w:cs="Segoe UI"/>
          <w:sz w:val="18"/>
          <w:szCs w:val="18"/>
        </w:rPr>
      </w:pPr>
      <w:r>
        <w:rPr>
          <w:lang w:val="en-US"/>
        </w:rPr>
        <w:t>2016 – Member, Research Network Polskie Towarzystwo Matematyczne, Poland</w:t>
      </w:r>
    </w:p>
    <w:p>
      <w:pPr>
        <w:pStyle w:val="P68B1DB1-Normlny17"/>
        <w:spacing w:lineRule="auto" w:line="240" w:before="0" w:after="0"/>
        <w:ind w:hanging="1418" w:left="1418"/>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b/>
          <w:lang w:val="en-GB"/>
        </w:rPr>
        <w:t>Major collaborations</w:t>
      </w:r>
    </w:p>
    <w:p>
      <w:pPr>
        <w:pStyle w:val="P68B1DB1-Normlny17"/>
        <w:numPr>
          <w:ilvl w:val="0"/>
          <w:numId w:val="5"/>
        </w:numPr>
        <w:spacing w:lineRule="auto" w:line="240" w:before="0" w:after="0"/>
        <w:jc w:val="both"/>
        <w:textAlignment w:val="baseline"/>
        <w:rPr>
          <w:b/>
          <w:lang w:val="en-GB"/>
        </w:rPr>
      </w:pPr>
      <w:r>
        <w:rPr>
          <w:szCs w:val="22"/>
          <w:u w:val="none" w:color="000000"/>
        </w:rPr>
        <w:t xml:space="preserve">Jan Krempa, algebras over fields, </w:t>
      </w:r>
      <w:r>
        <w:rPr>
          <w:lang w:val="en-US"/>
        </w:rPr>
        <w:t>Faculty of Mathematics, Informatics and Mechanics, University of Warsaw, Poland</w:t>
      </w:r>
    </w:p>
    <w:p>
      <w:pPr>
        <w:pStyle w:val="P68B1DB1-Normlny17"/>
        <w:numPr>
          <w:ilvl w:val="0"/>
          <w:numId w:val="5"/>
        </w:numPr>
        <w:spacing w:lineRule="auto" w:line="240" w:before="0" w:after="0"/>
        <w:jc w:val="both"/>
        <w:textAlignment w:val="baseline"/>
        <w:rPr>
          <w:lang w:val="en-GB"/>
        </w:rPr>
      </w:pPr>
      <w:r>
        <w:rPr>
          <w:szCs w:val="22"/>
          <w:u w:val="none" w:color="000000"/>
        </w:rPr>
        <w:t xml:space="preserve">Andrzej Walendziak, RM-algebras, Institute of Mathematics, </w:t>
      </w:r>
      <w:r>
        <w:rPr>
          <w:lang w:val="en-US"/>
        </w:rPr>
        <w:t>Siedlce University of Natural Sciences and Humanities, Poland</w:t>
      </w:r>
    </w:p>
    <w:p>
      <w:pPr>
        <w:pStyle w:val="P68B1DB1-Normlny17"/>
        <w:numPr>
          <w:ilvl w:val="0"/>
          <w:numId w:val="5"/>
        </w:numPr>
        <w:spacing w:lineRule="auto" w:line="240" w:before="0" w:after="0"/>
        <w:jc w:val="both"/>
        <w:textAlignment w:val="baseline"/>
        <w:rPr>
          <w:lang w:val="en-GB"/>
        </w:rPr>
      </w:pPr>
      <w:r>
        <w:rPr>
          <w:szCs w:val="22"/>
          <w:u w:val="none" w:color="000000"/>
        </w:rPr>
        <w:t>Małgorzata Elżbieta Hryniewicka, non-unital rings, Institute of Mathematics,</w:t>
      </w:r>
      <w:r>
        <w:rPr>
          <w:lang w:val="en-US"/>
        </w:rPr>
        <w:t xml:space="preserve"> Bialystok University of Technology, Poland</w:t>
      </w:r>
    </w:p>
    <w:p>
      <w:pPr>
        <w:pStyle w:val="P68B1DB1-Normlny17"/>
        <w:numPr>
          <w:ilvl w:val="0"/>
          <w:numId w:val="5"/>
        </w:numPr>
        <w:spacing w:lineRule="auto" w:line="240" w:before="0" w:after="0"/>
        <w:jc w:val="both"/>
        <w:textAlignment w:val="baseline"/>
        <w:rPr>
          <w:lang w:val="en-GB"/>
        </w:rPr>
      </w:pPr>
      <w:r>
        <w:rPr>
          <w:lang w:val="en-GB"/>
        </w:rPr>
        <w:t>Ján Haluška, application of vector space to music, Mathematical Institute Slovak Academy of Sciences, Slovakia</w:t>
      </w:r>
    </w:p>
    <w:p>
      <w:pPr>
        <w:pStyle w:val="P68B1DB1-Normlny17"/>
        <w:spacing w:lineRule="auto" w:line="240" w:before="0" w:after="0"/>
        <w:jc w:val="both"/>
        <w:textAlignment w:val="baseline"/>
        <w:rPr>
          <w:rFonts w:ascii="Segoe UI" w:hAnsi="Segoe UI" w:cs="Segoe UI"/>
          <w:sz w:val="18"/>
          <w:lang w:val="en-GB"/>
        </w:rPr>
      </w:pPr>
      <w:r>
        <w:rPr>
          <w:rFonts w:cs="Segoe UI" w:ascii="Segoe UI" w:hAnsi="Segoe UI"/>
          <w:sz w:val="18"/>
          <w:lang w:val="en-GB"/>
        </w:rPr>
      </w:r>
    </w:p>
    <w:p>
      <w:pPr>
        <w:pStyle w:val="P68B1DB1-Normlny17"/>
        <w:spacing w:lineRule="auto" w:line="240" w:before="0" w:after="0"/>
        <w:jc w:val="both"/>
        <w:textAlignment w:val="baseline"/>
        <w:rPr>
          <w:rFonts w:ascii="Segoe UI" w:hAnsi="Segoe UI" w:cs="Segoe UI"/>
          <w:sz w:val="18"/>
          <w:lang w:val="en-GB"/>
        </w:rPr>
      </w:pPr>
      <w:r>
        <w:rPr>
          <w:lang w:val="en-GB"/>
        </w:rPr>
        <w:t> </w:t>
      </w:r>
    </w:p>
    <w:p>
      <w:pPr>
        <w:pStyle w:val="P68B1DB1-Normlny17"/>
        <w:spacing w:lineRule="auto" w:line="240" w:before="0" w:after="0"/>
        <w:jc w:val="both"/>
        <w:textAlignment w:val="baseline"/>
        <w:rPr>
          <w:lang w:val="en-GB"/>
        </w:rPr>
      </w:pPr>
      <w:r>
        <w:rPr>
          <w:b/>
          <w:lang w:val="en-GB"/>
        </w:rPr>
        <w:t xml:space="preserve">Overview of the researcher’s most important projects in the last 5 years </w:t>
      </w:r>
      <w:r>
        <w:rPr>
          <w:lang w:val="en-GB"/>
        </w:rPr>
        <w:t>(max. 5) </w:t>
      </w:r>
    </w:p>
    <w:p>
      <w:pPr>
        <w:pStyle w:val="P68B1DB1-Normlny17"/>
        <w:spacing w:lineRule="auto" w:line="240" w:before="0" w:after="0"/>
        <w:jc w:val="both"/>
        <w:textAlignment w:val="baseline"/>
        <w:rPr>
          <w:lang w:val="en-GB"/>
        </w:rPr>
      </w:pPr>
      <w:r>
        <w:rPr>
          <w:lang w:val="en-GB"/>
        </w:rPr>
      </w:r>
    </w:p>
    <w:tbl>
      <w:tblPr>
        <w:tblW w:w="5000" w:type="pct"/>
        <w:jc w:val="left"/>
        <w:tblInd w:w="0" w:type="dxa"/>
        <w:tblLayout w:type="fixed"/>
        <w:tblCellMar>
          <w:top w:w="0" w:type="dxa"/>
          <w:left w:w="7" w:type="dxa"/>
          <w:bottom w:w="0" w:type="dxa"/>
          <w:right w:w="7" w:type="dxa"/>
        </w:tblCellMar>
        <w:tblLook w:val="04a0" w:noVBand="1" w:noHBand="0" w:lastColumn="0" w:firstColumn="1" w:lastRow="0" w:firstRow="1"/>
      </w:tblPr>
      <w:tblGrid>
        <w:gridCol w:w="4089"/>
        <w:gridCol w:w="1529"/>
        <w:gridCol w:w="1528"/>
        <w:gridCol w:w="1529"/>
        <w:gridCol w:w="1529"/>
      </w:tblGrid>
      <w:tr>
        <w:trPr>
          <w:trHeight w:val="300" w:hRule="atLeast"/>
        </w:trPr>
        <w:tc>
          <w:tcPr>
            <w:tcW w:w="4089"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P68B1DB1-Normlny18"/>
              <w:spacing w:lineRule="auto" w:line="240" w:before="0" w:after="0"/>
              <w:jc w:val="both"/>
              <w:textAlignment w:val="baseline"/>
              <w:rPr>
                <w:b/>
                <w:lang w:val="en-GB"/>
              </w:rPr>
            </w:pPr>
            <w:r>
              <w:rPr>
                <w:b/>
                <w:lang w:val="en-GB"/>
              </w:rPr>
              <w:t>Project name/identification</w:t>
            </w:r>
          </w:p>
        </w:tc>
        <w:tc>
          <w:tcPr>
            <w:tcW w:w="1529"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P68B1DB1-Normlny18"/>
              <w:spacing w:lineRule="auto" w:line="240" w:before="0" w:after="0"/>
              <w:textAlignment w:val="baseline"/>
              <w:rPr>
                <w:b/>
                <w:lang w:val="en-GB"/>
              </w:rPr>
            </w:pPr>
            <w:r>
              <w:rPr>
                <w:b/>
                <w:lang w:val="en-GB"/>
              </w:rPr>
              <w:t>Source of funding</w:t>
            </w:r>
          </w:p>
        </w:tc>
        <w:tc>
          <w:tcPr>
            <w:tcW w:w="1528"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P68B1DB1-Normlny18"/>
              <w:spacing w:lineRule="auto" w:line="240" w:before="0" w:after="0"/>
              <w:jc w:val="both"/>
              <w:textAlignment w:val="baseline"/>
              <w:rPr>
                <w:b/>
                <w:lang w:val="en-GB"/>
              </w:rPr>
            </w:pPr>
            <w:r>
              <w:rPr>
                <w:b/>
                <w:lang w:val="en-GB"/>
              </w:rPr>
              <w:t>Budget (EUR)</w:t>
            </w:r>
          </w:p>
        </w:tc>
        <w:tc>
          <w:tcPr>
            <w:tcW w:w="1529"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P68B1DB1-Normlny18"/>
              <w:spacing w:lineRule="auto" w:line="240" w:before="0" w:after="0"/>
              <w:jc w:val="both"/>
              <w:textAlignment w:val="baseline"/>
              <w:rPr>
                <w:b/>
                <w:lang w:val="en-GB"/>
              </w:rPr>
            </w:pPr>
            <w:r>
              <w:rPr>
                <w:b/>
                <w:lang w:val="en-GB"/>
              </w:rPr>
              <w:t>Project period</w:t>
            </w:r>
          </w:p>
        </w:tc>
        <w:tc>
          <w:tcPr>
            <w:tcW w:w="1529" w:type="dxa"/>
            <w:tcBorders>
              <w:top w:val="single" w:sz="6" w:space="0" w:color="000000"/>
              <w:left w:val="single" w:sz="6" w:space="0" w:color="000000"/>
              <w:bottom w:val="single" w:sz="6" w:space="0" w:color="000000"/>
              <w:right w:val="single" w:sz="6" w:space="0" w:color="000000"/>
            </w:tcBorders>
            <w:shd w:color="auto" w:fill="D0CECE" w:themeFill="background2" w:themeFillShade="e6" w:val="clear"/>
          </w:tcPr>
          <w:p>
            <w:pPr>
              <w:pStyle w:val="P68B1DB1-Normlny18"/>
              <w:spacing w:lineRule="auto" w:line="240" w:before="0" w:after="0"/>
              <w:textAlignment w:val="baseline"/>
              <w:rPr>
                <w:b/>
                <w:lang w:val="en-GB"/>
              </w:rPr>
            </w:pPr>
            <w:r>
              <w:rPr>
                <w:b/>
                <w:lang w:val="en-GB"/>
              </w:rPr>
              <w:t>The role of the researcher in the project</w:t>
            </w:r>
          </w:p>
        </w:tc>
      </w:tr>
      <w:tr>
        <w:trPr>
          <w:trHeight w:val="300" w:hRule="atLeast"/>
        </w:trPr>
        <w:tc>
          <w:tcPr>
            <w:tcW w:w="408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de-DE"/>
              </w:rPr>
            </w:pPr>
            <w:r>
              <w:rPr>
                <w:lang w:val="en-GB"/>
              </w:rPr>
              <w:t> </w:t>
            </w:r>
            <w:r>
              <w:rPr>
                <w:lang w:val="de-DE"/>
              </w:rPr>
              <w:t>UPH/WNSP/IM/zadaniebadawcze/60/20/B</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en-GB"/>
              </w:rPr>
            </w:pPr>
            <w:r>
              <w:rPr>
                <w:lang w:val="en-GB"/>
              </w:rPr>
              <w:t>state budget in the form of statutory funding and grants for University in Siedlce</w:t>
            </w:r>
          </w:p>
        </w:tc>
        <w:tc>
          <w:tcPr>
            <w:tcW w:w="1528"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before="0" w:after="160"/>
              <w:jc w:val="center"/>
              <w:textAlignment w:val="baseline"/>
              <w:rPr>
                <w:lang w:val="en-GB"/>
              </w:rPr>
            </w:pPr>
            <w:r>
              <w:rPr>
                <w:lang w:val="en-GB"/>
              </w:rPr>
              <w:t>700 EUR</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before="0" w:after="160"/>
              <w:textAlignment w:val="baseline"/>
              <w:rPr>
                <w:lang w:val="en-GB"/>
              </w:rPr>
            </w:pPr>
            <w:r>
              <w:rPr>
                <w:lang w:val="en-GB"/>
              </w:rPr>
              <w:t>2020-2021</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before="0" w:after="160"/>
              <w:textAlignment w:val="baseline"/>
              <w:rPr>
                <w:lang w:val="en-GB"/>
              </w:rPr>
            </w:pPr>
            <w:r>
              <w:rPr>
                <w:lang w:val="en-GB"/>
              </w:rPr>
              <w:t>Team Member</w:t>
            </w:r>
          </w:p>
        </w:tc>
      </w:tr>
      <w:tr>
        <w:trPr>
          <w:trHeight w:val="300" w:hRule="atLeast"/>
        </w:trPr>
        <w:tc>
          <w:tcPr>
            <w:tcW w:w="408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de-DE"/>
              </w:rPr>
            </w:pPr>
            <w:r>
              <w:rPr>
                <w:lang w:val="de-DE"/>
              </w:rPr>
              <w:t> </w:t>
            </w:r>
            <w:r>
              <w:rPr>
                <w:lang w:val="de-DE"/>
              </w:rPr>
              <w:t>UPH/WNSP/IM/zadaniebadawcze/60/20/B</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en-GB"/>
              </w:rPr>
            </w:pPr>
            <w:r>
              <w:rPr>
                <w:lang w:val="en-GB"/>
              </w:rPr>
              <w:t>state budget in the form of statutory funding and grants for University in Siedlce</w:t>
            </w:r>
          </w:p>
        </w:tc>
        <w:tc>
          <w:tcPr>
            <w:tcW w:w="1528"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center"/>
              <w:textAlignment w:val="baseline"/>
              <w:rPr>
                <w:lang w:val="en-GB"/>
              </w:rPr>
            </w:pPr>
            <w:r>
              <w:rPr>
                <w:lang w:val="en-GB"/>
              </w:rPr>
              <w:t>700 EUR</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en-GB"/>
              </w:rPr>
            </w:pPr>
            <w:r>
              <w:rPr>
                <w:lang w:val="en-GB"/>
              </w:rPr>
              <w:t> </w:t>
            </w:r>
            <w:r>
              <w:rPr>
                <w:lang w:val="en-GB"/>
              </w:rPr>
              <w:t>2022</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textAlignment w:val="baseline"/>
              <w:rPr>
                <w:lang w:val="en-GB"/>
              </w:rPr>
            </w:pPr>
            <w:r>
              <w:rPr>
                <w:lang w:val="en-GB"/>
              </w:rPr>
              <w:t> </w:t>
            </w:r>
            <w:r>
              <w:rPr>
                <w:lang w:val="en-GB"/>
              </w:rPr>
              <w:t>Manager</w:t>
            </w:r>
          </w:p>
        </w:tc>
      </w:tr>
      <w:tr>
        <w:trPr>
          <w:trHeight w:val="300" w:hRule="atLeast"/>
        </w:trPr>
        <w:tc>
          <w:tcPr>
            <w:tcW w:w="408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de-DE"/>
              </w:rPr>
            </w:pPr>
            <w:r>
              <w:rPr>
                <w:lang w:val="de-DE"/>
              </w:rPr>
              <w:t>  </w:t>
            </w:r>
            <w:r>
              <w:rPr>
                <w:lang w:val="de-DE"/>
              </w:rPr>
              <w:t>UPH/WNSP/IM/zadaniebadawcze/145/23/B</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en-GB"/>
              </w:rPr>
            </w:pPr>
            <w:r>
              <w:rPr>
                <w:lang w:val="en-GB"/>
              </w:rPr>
              <w:t>state budget in the form of statutory funding and grants for University in Siedlce</w:t>
            </w:r>
          </w:p>
        </w:tc>
        <w:tc>
          <w:tcPr>
            <w:tcW w:w="1528"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center"/>
              <w:textAlignment w:val="baseline"/>
              <w:rPr>
                <w:lang w:val="en-GB"/>
              </w:rPr>
            </w:pPr>
            <w:r>
              <w:rPr>
                <w:lang w:val="en-GB"/>
              </w:rPr>
              <w:t>2000 EUR</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jc w:val="both"/>
              <w:textAlignment w:val="baseline"/>
              <w:rPr>
                <w:lang w:val="en-GB"/>
              </w:rPr>
            </w:pPr>
            <w:r>
              <w:rPr>
                <w:lang w:val="en-GB"/>
              </w:rPr>
              <w:t> </w:t>
            </w:r>
            <w:r>
              <w:rPr>
                <w:lang w:val="en-GB"/>
              </w:rPr>
              <w:t>2023</w:t>
            </w:r>
          </w:p>
        </w:tc>
        <w:tc>
          <w:tcPr>
            <w:tcW w:w="1529" w:type="dxa"/>
            <w:tcBorders>
              <w:top w:val="single" w:sz="6" w:space="0" w:color="000000"/>
              <w:left w:val="single" w:sz="6" w:space="0" w:color="000000"/>
              <w:bottom w:val="single" w:sz="6" w:space="0" w:color="000000"/>
              <w:right w:val="single" w:sz="6" w:space="0" w:color="000000"/>
            </w:tcBorders>
            <w:shd w:color="auto" w:fill="FFFFFF" w:themeFill="background1" w:val="clear"/>
          </w:tcPr>
          <w:p>
            <w:pPr>
              <w:pStyle w:val="P68B1DB1-Normlny18"/>
              <w:spacing w:lineRule="auto" w:line="240" w:before="0" w:after="0"/>
              <w:textAlignment w:val="baseline"/>
              <w:rPr>
                <w:lang w:val="en-GB"/>
              </w:rPr>
            </w:pPr>
            <w:r>
              <w:rPr>
                <w:lang w:val="en-GB"/>
              </w:rPr>
              <w:t> </w:t>
            </w:r>
            <w:r>
              <w:rPr>
                <w:lang w:val="en-GB"/>
              </w:rPr>
              <w:t>Team Member</w:t>
            </w:r>
          </w:p>
        </w:tc>
      </w:tr>
    </w:tbl>
    <w:p>
      <w:pPr>
        <w:pStyle w:val="P68B1DB1-Normlny17"/>
        <w:spacing w:lineRule="auto" w:line="240" w:before="0" w:after="0"/>
        <w:jc w:val="both"/>
        <w:textAlignment w:val="baseline"/>
        <w:rPr>
          <w:b/>
          <w:lang w:val="en-GB"/>
        </w:rPr>
      </w:pPr>
      <w:r>
        <w:rPr>
          <w:b/>
          <w:lang w:val="en-GB"/>
        </w:rPr>
      </w:r>
    </w:p>
    <w:p>
      <w:pPr>
        <w:pStyle w:val="P68B1DB1-Normlny17"/>
        <w:spacing w:lineRule="auto" w:line="240" w:before="0" w:after="0"/>
        <w:jc w:val="both"/>
        <w:textAlignment w:val="baseline"/>
        <w:rPr>
          <w:b/>
          <w:lang w:val="en-GB"/>
        </w:rPr>
      </w:pPr>
      <w:r>
        <w:rPr>
          <w:b/>
          <w:lang w:val="en-GB"/>
        </w:rPr>
      </w:r>
    </w:p>
    <w:p>
      <w:pPr>
        <w:pStyle w:val="P68B1DB1-Normlny17"/>
        <w:spacing w:lineRule="auto" w:line="240" w:before="0" w:after="0"/>
        <w:jc w:val="both"/>
        <w:textAlignment w:val="baseline"/>
        <w:rPr>
          <w:lang w:val="en-GB"/>
        </w:rPr>
      </w:pPr>
      <w:r>
        <w:rPr>
          <w:b/>
          <w:lang w:val="en-GB"/>
        </w:rPr>
        <w:t xml:space="preserve">Overview of the researcher’s most important outputs </w:t>
      </w:r>
      <w:r>
        <w:rPr>
          <w:lang w:val="en-GB"/>
        </w:rPr>
        <w:t>(max. 5) </w:t>
      </w:r>
    </w:p>
    <w:p>
      <w:pPr>
        <w:pStyle w:val="P68B1DB1-Normlny17"/>
        <w:spacing w:lineRule="auto" w:line="240" w:before="0" w:after="0"/>
        <w:jc w:val="both"/>
        <w:rPr>
          <w:rFonts w:ascii="Segoe UI" w:hAnsi="Segoe UI" w:eastAsia="Segoe UI" w:cs="Segoe UI"/>
          <w:sz w:val="18"/>
          <w:szCs w:val="18"/>
        </w:rPr>
      </w:pPr>
      <w:r>
        <w:rPr>
          <w:rFonts w:eastAsia="Segoe UI" w:cs="Segoe UI" w:ascii="Segoe UI" w:hAnsi="Segoe UI"/>
          <w:sz w:val="18"/>
          <w:szCs w:val="18"/>
        </w:rPr>
      </w:r>
    </w:p>
    <w:tbl>
      <w:tblPr>
        <w:tblStyle w:val="TableNormal"/>
        <w:tblW w:w="9952" w:type="dxa"/>
        <w:jc w:val="left"/>
        <w:tblInd w:w="397" w:type="dxa"/>
        <w:tblLayout w:type="fixed"/>
        <w:tblCellMar>
          <w:top w:w="80" w:type="dxa"/>
          <w:left w:w="80" w:type="dxa"/>
          <w:bottom w:w="80" w:type="dxa"/>
          <w:right w:w="80" w:type="dxa"/>
        </w:tblCellMar>
        <w:tblLook w:val="04a0" w:noVBand="1" w:noHBand="0" w:lastColumn="0" w:firstColumn="1" w:lastRow="0" w:firstRow="1"/>
      </w:tblPr>
      <w:tblGrid>
        <w:gridCol w:w="2488"/>
        <w:gridCol w:w="2488"/>
        <w:gridCol w:w="3048"/>
        <w:gridCol w:w="1927"/>
      </w:tblGrid>
      <w:tr>
        <w:trPr>
          <w:trHeight w:val="918" w:hRule="atLeast"/>
        </w:trPr>
        <w:tc>
          <w:tcPr>
            <w:tcW w:w="2488"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spacing w:lineRule="auto" w:line="240" w:before="0" w:after="0"/>
              <w:jc w:val="left"/>
              <w:rPr>
                <w:kern w:val="0"/>
                <w:szCs w:val="20"/>
                <w:lang w:val="sk-SK" w:eastAsia="sk-SK" w:bidi="ar-SA"/>
              </w:rPr>
            </w:pPr>
            <w:r>
              <w:rPr>
                <w:b/>
                <w:bCs/>
                <w:kern w:val="0"/>
                <w:szCs w:val="20"/>
                <w:lang w:val="en-US" w:eastAsia="sk-SK" w:bidi="ar-SA"/>
              </w:rPr>
              <w:t>Output name/identification</w:t>
            </w:r>
          </w:p>
        </w:tc>
        <w:tc>
          <w:tcPr>
            <w:tcW w:w="2488"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9"/>
              <w:widowControl/>
              <w:spacing w:lineRule="auto" w:line="240" w:before="0" w:after="0"/>
              <w:jc w:val="left"/>
              <w:rPr>
                <w:kern w:val="0"/>
                <w:szCs w:val="20"/>
                <w:lang w:val="sk-SK" w:eastAsia="sk-SK" w:bidi="ar-SA"/>
              </w:rPr>
            </w:pPr>
            <w:r>
              <w:rPr>
                <w:b/>
                <w:bCs/>
                <w:kern w:val="0"/>
                <w:szCs w:val="20"/>
                <w:lang w:val="en-US" w:eastAsia="sk-SK" w:bidi="ar-SA"/>
              </w:rPr>
              <w:t>Type of output</w:t>
            </w:r>
          </w:p>
        </w:tc>
        <w:tc>
          <w:tcPr>
            <w:tcW w:w="3048"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spacing w:lineRule="auto" w:line="240" w:before="0" w:after="0"/>
              <w:jc w:val="left"/>
              <w:rPr>
                <w:lang w:val="en-US"/>
              </w:rPr>
            </w:pPr>
            <w:r>
              <w:rPr>
                <w:b/>
                <w:bCs/>
                <w:kern w:val="0"/>
                <w:szCs w:val="20"/>
                <w:lang w:val="en-US" w:eastAsia="sk-SK" w:bidi="ar-SA"/>
              </w:rPr>
              <w:t>Short description</w:t>
            </w:r>
          </w:p>
        </w:tc>
        <w:tc>
          <w:tcPr>
            <w:tcW w:w="1927" w:type="dxa"/>
            <w:tcBorders>
              <w:top w:val="single" w:sz="6" w:space="0" w:color="000000"/>
              <w:left w:val="single" w:sz="6" w:space="0" w:color="000000"/>
              <w:bottom w:val="single" w:sz="6" w:space="0" w:color="000000"/>
              <w:right w:val="single" w:sz="6" w:space="0" w:color="000000"/>
            </w:tcBorders>
            <w:shd w:color="auto" w:fill="A5A5A5" w:val="clear"/>
          </w:tcPr>
          <w:p>
            <w:pPr>
              <w:pStyle w:val="P68B1DB1-Normlny18"/>
              <w:widowControl/>
              <w:spacing w:lineRule="auto" w:line="240" w:before="0" w:after="0"/>
              <w:jc w:val="left"/>
              <w:rPr>
                <w:lang w:val="en-US"/>
              </w:rPr>
            </w:pPr>
            <w:r>
              <w:rPr>
                <w:b/>
                <w:bCs/>
                <w:kern w:val="0"/>
                <w:szCs w:val="20"/>
                <w:lang w:val="en-US" w:eastAsia="sk-SK" w:bidi="ar-SA"/>
              </w:rPr>
              <w:t>The role of the researcher</w:t>
            </w:r>
          </w:p>
        </w:tc>
      </w:tr>
      <w:tr>
        <w:trPr>
          <w:trHeight w:val="3069" w:hRule="atLeast"/>
        </w:trPr>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left"/>
              <w:rPr>
                <w:lang w:val="en-US"/>
              </w:rPr>
            </w:pPr>
            <w:r>
              <w:rPr>
                <w:kern w:val="0"/>
                <w:szCs w:val="20"/>
                <w:lang w:eastAsia="sk-SK" w:bidi="ar-SA"/>
              </w:rPr>
            </w:r>
          </w:p>
          <w:p>
            <w:pPr>
              <w:pStyle w:val="P68B1DB1-Normlny18"/>
              <w:widowControl/>
              <w:spacing w:lineRule="auto" w:line="240" w:before="0" w:after="0"/>
              <w:jc w:val="left"/>
              <w:rPr>
                <w:lang w:val="en-US"/>
              </w:rPr>
            </w:pPr>
            <w:r>
              <w:rPr>
                <w:kern w:val="0"/>
                <w:szCs w:val="20"/>
                <w:lang w:val="en-US" w:eastAsia="sk-SK" w:bidi="ar-SA"/>
              </w:rPr>
              <w:t>2023,</w:t>
            </w:r>
          </w:p>
          <w:p>
            <w:pPr>
              <w:pStyle w:val="P68B1DB1-Normlny18"/>
              <w:widowControl/>
              <w:spacing w:lineRule="auto" w:line="240" w:before="0" w:after="0"/>
              <w:jc w:val="left"/>
              <w:rPr>
                <w:lang w:val="en-US"/>
              </w:rPr>
            </w:pPr>
            <w:r>
              <w:rPr>
                <w:kern w:val="0"/>
                <w:szCs w:val="20"/>
                <w:lang w:val="en-US" w:eastAsia="sk-SK" w:bidi="ar-SA"/>
              </w:rPr>
              <w:t xml:space="preserve">Małgorzata Jastrzębska, Andrzej Walendziak, </w:t>
            </w:r>
            <w:r>
              <w:rPr>
                <w:i/>
                <w:iCs/>
                <w:kern w:val="0"/>
                <w:szCs w:val="20"/>
                <w:lang w:val="en-US" w:eastAsia="sk-SK" w:bidi="ar-SA"/>
              </w:rPr>
              <w:t>Modal Operators on RM Algebras</w:t>
            </w:r>
            <w:r>
              <w:rPr>
                <w:kern w:val="0"/>
                <w:szCs w:val="20"/>
                <w:lang w:val="en-US" w:eastAsia="sk-SK" w:bidi="ar-SA"/>
              </w:rPr>
              <w:t>,</w:t>
            </w:r>
          </w:p>
          <w:p>
            <w:pPr>
              <w:pStyle w:val="P68B1DB1-Normlny18"/>
              <w:widowControl/>
              <w:spacing w:lineRule="auto" w:line="240" w:before="0" w:after="0"/>
              <w:jc w:val="left"/>
              <w:rPr>
                <w:kern w:val="0"/>
                <w:szCs w:val="20"/>
                <w:lang w:val="sk-SK" w:eastAsia="sk-SK" w:bidi="ar-SA"/>
              </w:rPr>
            </w:pPr>
            <w:r>
              <w:rPr>
                <w:kern w:val="0"/>
                <w:szCs w:val="20"/>
                <w:lang w:val="en-US" w:eastAsia="sk-SK" w:bidi="ar-SA"/>
              </w:rPr>
              <w:t xml:space="preserve">Journal of Multiple-Valued Logic and Soft Computing, </w:t>
            </w:r>
            <w:r>
              <w:rPr>
                <w:kern w:val="0"/>
                <w:szCs w:val="20"/>
                <w:lang w:val="pt-PT" w:eastAsia="sk-SK" w:bidi="ar-SA"/>
              </w:rPr>
              <w:t>Vol. 40, 469</w:t>
            </w:r>
            <w:r>
              <w:rPr>
                <w:kern w:val="0"/>
                <w:szCs w:val="20"/>
                <w:lang w:val="en-US" w:eastAsia="sk-SK" w:bidi="ar-SA"/>
              </w:rPr>
              <w:t>–489.</w:t>
            </w:r>
          </w:p>
        </w:tc>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Publication</w:t>
            </w:r>
          </w:p>
        </w:tc>
        <w:tc>
          <w:tcPr>
            <w:tcW w:w="304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left"/>
              <w:rPr>
                <w:rFonts w:eastAsia="Arial"/>
              </w:rPr>
            </w:pPr>
            <w:r>
              <w:rPr>
                <w:kern w:val="0"/>
                <w:szCs w:val="20"/>
                <w:lang w:val="en-US" w:eastAsia="sk-SK" w:bidi="ar-SA"/>
              </w:rPr>
              <w:t>Description of the properties of some algebras related to the logic. We consider some generalizations of BCK algebras such as for example</w:t>
            </w:r>
          </w:p>
          <w:p>
            <w:pPr>
              <w:pStyle w:val="Domylne"/>
              <w:widowControl/>
              <w:tabs>
                <w:tab w:val="clear" w:pos="708"/>
                <w:tab w:val="left" w:pos="720" w:leader="none"/>
                <w:tab w:val="left" w:pos="1440" w:leader="none"/>
                <w:tab w:val="left" w:pos="2160" w:leader="none"/>
                <w:tab w:val="left" w:pos="2880" w:leader="none"/>
              </w:tabs>
              <w:spacing w:lineRule="auto" w:line="240" w:before="0" w:after="0"/>
              <w:jc w:val="left"/>
              <w:rPr>
                <w:rFonts w:ascii="Arial" w:hAnsi="Arial" w:eastAsia="Arial" w:cs="Arial"/>
                <w:sz w:val="20"/>
                <w:szCs w:val="20"/>
              </w:rPr>
            </w:pPr>
            <w:r>
              <w:rPr>
                <w:rFonts w:ascii="Arial" w:hAnsi="Arial"/>
                <w:kern w:val="0"/>
                <w:sz w:val="20"/>
                <w:szCs w:val="20"/>
                <w:lang w:eastAsia="sk-SK" w:bidi="ar-SA"/>
              </w:rPr>
              <w:t>RM, tRM, aRM (= BH) algebras and others. We investigate modal operators on</w:t>
            </w:r>
          </w:p>
          <w:p>
            <w:pPr>
              <w:pStyle w:val="Domylne"/>
              <w:widowControl/>
              <w:tabs>
                <w:tab w:val="clear" w:pos="708"/>
                <w:tab w:val="left" w:pos="720" w:leader="none"/>
                <w:tab w:val="left" w:pos="1440" w:leader="none"/>
                <w:tab w:val="left" w:pos="2160" w:leader="none"/>
                <w:tab w:val="left" w:pos="2880" w:leader="none"/>
              </w:tabs>
              <w:spacing w:lineRule="auto" w:line="240" w:before="0" w:after="0"/>
              <w:jc w:val="left"/>
              <w:rPr>
                <w:kern w:val="0"/>
                <w:lang w:eastAsia="sk-SK" w:bidi="ar-SA"/>
              </w:rPr>
            </w:pPr>
            <w:r>
              <w:rPr>
                <w:rFonts w:ascii="Arial" w:hAnsi="Arial"/>
                <w:kern w:val="0"/>
                <w:sz w:val="20"/>
                <w:szCs w:val="20"/>
                <w:lang w:eastAsia="sk-SK" w:bidi="ar-SA"/>
              </w:rPr>
              <w:t>such algebras. Furthermore, we establish connections between deductive systems and congruences for modal RM algebras.</w:t>
            </w:r>
          </w:p>
        </w:tc>
        <w:tc>
          <w:tcPr>
            <w:tcW w:w="192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co-author</w:t>
            </w:r>
          </w:p>
        </w:tc>
      </w:tr>
      <w:tr>
        <w:trPr>
          <w:trHeight w:val="4930" w:hRule="atLeast"/>
        </w:trPr>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left"/>
              <w:rPr>
                <w:lang w:val="en-US"/>
              </w:rPr>
            </w:pPr>
            <w:r>
              <w:rPr>
                <w:kern w:val="0"/>
                <w:szCs w:val="20"/>
                <w:lang w:val="en-US" w:eastAsia="sk-SK" w:bidi="ar-SA"/>
              </w:rPr>
              <w:t>2022,</w:t>
            </w:r>
          </w:p>
          <w:p>
            <w:pPr>
              <w:pStyle w:val="P68B1DB1-Normlny18"/>
              <w:widowControl/>
              <w:spacing w:lineRule="auto" w:line="240" w:before="0" w:after="0"/>
              <w:jc w:val="left"/>
              <w:rPr>
                <w:lang w:val="en-US"/>
              </w:rPr>
            </w:pPr>
            <w:r>
              <w:rPr>
                <w:kern w:val="0"/>
                <w:szCs w:val="20"/>
                <w:lang w:val="en-US" w:eastAsia="sk-SK" w:bidi="ar-SA"/>
              </w:rPr>
              <w:t>Ján Haluška, Małgorzata Jastrzębska,</w:t>
            </w:r>
          </w:p>
          <w:p>
            <w:pPr>
              <w:pStyle w:val="P68B1DB1-Normlny18"/>
              <w:widowControl/>
              <w:spacing w:lineRule="auto" w:line="240" w:before="0" w:after="0"/>
              <w:jc w:val="left"/>
              <w:rPr>
                <w:lang w:val="en-US"/>
              </w:rPr>
            </w:pPr>
            <w:r>
              <w:rPr>
                <w:kern w:val="0"/>
                <w:szCs w:val="20"/>
                <w:lang w:val="en-US" w:eastAsia="sk-SK" w:bidi="ar-SA"/>
              </w:rPr>
              <w:t xml:space="preserve"> </w:t>
            </w:r>
            <w:r>
              <w:rPr>
                <w:i/>
                <w:iCs/>
                <w:kern w:val="0"/>
                <w:szCs w:val="20"/>
                <w:lang w:val="en-US" w:eastAsia="sk-SK" w:bidi="ar-SA"/>
              </w:rPr>
              <w:t>On a 4-Dimensional Subalgebra of the 12-Tone Equal Tempered Tuning</w:t>
            </w:r>
            <w:r>
              <w:rPr>
                <w:kern w:val="0"/>
                <w:szCs w:val="20"/>
                <w:lang w:val="en-US" w:eastAsia="sk-SK" w:bidi="ar-SA"/>
              </w:rPr>
              <w:t>,</w:t>
            </w:r>
          </w:p>
          <w:p>
            <w:pPr>
              <w:pStyle w:val="P68B1DB1-Normlny18"/>
              <w:widowControl/>
              <w:spacing w:lineRule="auto" w:line="240" w:before="0" w:after="0"/>
              <w:jc w:val="left"/>
              <w:rPr>
                <w:kern w:val="0"/>
                <w:szCs w:val="20"/>
                <w:lang w:val="sk-SK" w:eastAsia="sk-SK" w:bidi="ar-SA"/>
              </w:rPr>
            </w:pPr>
            <w:r>
              <w:rPr>
                <w:kern w:val="0"/>
                <w:szCs w:val="20"/>
                <w:lang w:val="en-US" w:eastAsia="sk-SK" w:bidi="ar-SA"/>
              </w:rPr>
              <w:t>In : Computer Algebra Systems in Teaching and Research, Vol. 11, 20–37.</w:t>
            </w:r>
          </w:p>
        </w:tc>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Publication</w:t>
            </w:r>
          </w:p>
        </w:tc>
        <w:tc>
          <w:tcPr>
            <w:tcW w:w="304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both"/>
              <w:rPr>
                <w:kern w:val="0"/>
                <w:szCs w:val="20"/>
                <w:lang w:val="sk-SK" w:eastAsia="sk-SK" w:bidi="ar-SA"/>
              </w:rPr>
            </w:pPr>
            <w:r>
              <w:rPr>
                <w:kern w:val="0"/>
                <w:szCs w:val="20"/>
                <w:lang w:val="en-US" w:eastAsia="sk-SK" w:bidi="ar-SA"/>
              </w:rPr>
              <w:t>The article concerns algebraic description of some algebra related to the music.</w:t>
            </w:r>
          </w:p>
          <w:p>
            <w:pPr>
              <w:pStyle w:val="Domylne"/>
              <w:widowControl/>
              <w:tabs>
                <w:tab w:val="clear" w:pos="708"/>
                <w:tab w:val="left" w:pos="720" w:leader="none"/>
                <w:tab w:val="left" w:pos="1440" w:leader="none"/>
                <w:tab w:val="left" w:pos="2160" w:leader="none"/>
                <w:tab w:val="left" w:pos="2880" w:leader="none"/>
              </w:tabs>
              <w:spacing w:lineRule="auto" w:line="240" w:before="0" w:after="0"/>
              <w:jc w:val="left"/>
              <w:rPr>
                <w:sz w:val="20"/>
                <w:szCs w:val="20"/>
              </w:rPr>
            </w:pPr>
            <w:r>
              <w:rPr>
                <w:rFonts w:ascii="Arial" w:hAnsi="Arial"/>
                <w:kern w:val="0"/>
                <w:sz w:val="20"/>
                <w:szCs w:val="20"/>
                <w:lang w:eastAsia="sk-SK" w:bidi="ar-SA"/>
              </w:rPr>
              <w:t>An associative, commutative and distributive operation of  multiplication on Euclidean vector space E_4 is introduced by a skew circulant  matrix.  The resulting algebra W over R  is isomorphic to CxC. The related algebraic, geometrical, and topological properties are  given.There are  subplanes of W isomorphic to the Gauss and Clifford complex number planes. A topology  on W  is given by a norm which is a sum of two norms. A hint how to apply this 4 dimensional algebra over R to the 12-tone Equally Tempered Tuning algebra is given.</w:t>
            </w:r>
          </w:p>
        </w:tc>
        <w:tc>
          <w:tcPr>
            <w:tcW w:w="192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co-author</w:t>
            </w:r>
          </w:p>
        </w:tc>
      </w:tr>
      <w:tr>
        <w:trPr>
          <w:trHeight w:val="2223" w:hRule="atLeast"/>
        </w:trPr>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left"/>
              <w:rPr>
                <w:lang w:val="en-US"/>
              </w:rPr>
            </w:pPr>
            <w:r>
              <w:rPr>
                <w:kern w:val="0"/>
                <w:szCs w:val="20"/>
                <w:lang w:val="en-US" w:eastAsia="sk-SK" w:bidi="ar-SA"/>
              </w:rPr>
              <w:t>2022,</w:t>
            </w:r>
          </w:p>
          <w:p>
            <w:pPr>
              <w:pStyle w:val="P68B1DB1-Normlny18"/>
              <w:widowControl/>
              <w:spacing w:lineRule="auto" w:line="240" w:before="0" w:after="0"/>
              <w:jc w:val="left"/>
              <w:rPr>
                <w:kern w:val="0"/>
                <w:szCs w:val="20"/>
                <w:lang w:val="sk-SK" w:eastAsia="sk-SK" w:bidi="ar-SA"/>
              </w:rPr>
            </w:pPr>
            <w:r>
              <w:rPr>
                <w:kern w:val="0"/>
                <w:szCs w:val="20"/>
                <w:lang w:val="en-US" w:eastAsia="sk-SK" w:bidi="ar-SA"/>
              </w:rPr>
              <w:t>Talk „</w:t>
            </w:r>
            <w:r>
              <w:rPr>
                <w:i/>
                <w:kern w:val="0"/>
                <w:szCs w:val="20"/>
                <w:lang w:val="en-US" w:eastAsia="sk-SK" w:bidi="ar-SA"/>
              </w:rPr>
              <w:t>On reduced rings</w:t>
            </w:r>
            <w:r>
              <w:rPr>
                <w:kern w:val="0"/>
                <w:szCs w:val="20"/>
                <w:lang w:val="en-US" w:eastAsia="sk-SK" w:bidi="ar-SA"/>
              </w:rPr>
              <w:t>”,  seminar „Ordered algebraic structures“ at Šafarik University, Faculty of Natural Sciences, Košice, Slovakia</w:t>
            </w:r>
          </w:p>
        </w:tc>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Invited talk</w:t>
            </w:r>
          </w:p>
        </w:tc>
        <w:tc>
          <w:tcPr>
            <w:tcW w:w="304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left"/>
              <w:rPr>
                <w:kern w:val="0"/>
                <w:szCs w:val="20"/>
                <w:lang w:val="sk-SK" w:eastAsia="sk-SK" w:bidi="ar-SA"/>
              </w:rPr>
            </w:pPr>
            <w:r>
              <w:rPr>
                <w:kern w:val="0"/>
                <w:szCs w:val="20"/>
                <w:lang w:val="en-US" w:eastAsia="sk-SK" w:bidi="ar-SA"/>
              </w:rPr>
              <w:t xml:space="preserve">The talk was about concerned an application of theory of lattices to describe reduced rings. The issues on the </w:t>
            </w:r>
            <w:r>
              <w:rPr>
                <w:kern w:val="0"/>
                <w:szCs w:val="20"/>
                <w:lang w:val="sk-SK" w:eastAsia="sk-SK" w:bidi="ar-SA"/>
              </w:rPr>
              <w:t>talk</w:t>
            </w:r>
            <w:r>
              <w:rPr>
                <w:kern w:val="0"/>
                <w:szCs w:val="20"/>
                <w:lang w:val="en-US" w:eastAsia="sk-SK" w:bidi="ar-SA"/>
              </w:rPr>
              <w:t xml:space="preserve"> were closely related to the article</w:t>
            </w:r>
            <w:r>
              <w:rPr>
                <w:kern w:val="0"/>
                <w:szCs w:val="20"/>
                <w:lang w:val="sk-SK" w:eastAsia="sk-SK" w:bidi="ar-SA"/>
              </w:rPr>
              <w:t xml:space="preserve">: Małgorzata Jastrzębska, </w:t>
            </w:r>
            <w:r>
              <w:rPr>
                <w:i/>
                <w:iCs/>
                <w:kern w:val="0"/>
                <w:szCs w:val="20"/>
                <w:lang w:val="en-US" w:eastAsia="sk-SK" w:bidi="ar-SA"/>
              </w:rPr>
              <w:t>Rings with Boolean Lattices of One-Sided Annihilators</w:t>
            </w:r>
            <w:r>
              <w:rPr>
                <w:kern w:val="0"/>
                <w:szCs w:val="20"/>
                <w:lang w:val="sk-SK" w:eastAsia="sk-SK" w:bidi="ar-SA"/>
              </w:rPr>
              <w:t>,</w:t>
            </w:r>
            <w:r>
              <w:rPr>
                <w:kern w:val="0"/>
                <w:szCs w:val="20"/>
                <w:lang w:val="sv-SE" w:eastAsia="sk-SK" w:bidi="ar-SA"/>
              </w:rPr>
              <w:t xml:space="preserve"> Symmetry</w:t>
            </w:r>
            <w:r>
              <w:rPr>
                <w:kern w:val="0"/>
                <w:szCs w:val="20"/>
                <w:lang w:val="sk-SK" w:eastAsia="sk-SK" w:bidi="ar-SA"/>
              </w:rPr>
              <w:t xml:space="preserve">,  2021, </w:t>
            </w:r>
            <w:r>
              <w:rPr>
                <w:kern w:val="0"/>
                <w:szCs w:val="20"/>
                <w:lang w:val="pt-PT" w:eastAsia="sk-SK" w:bidi="ar-SA"/>
              </w:rPr>
              <w:t xml:space="preserve">Vol. </w:t>
            </w:r>
            <w:r>
              <w:rPr>
                <w:kern w:val="0"/>
                <w:szCs w:val="20"/>
                <w:lang w:val="it-IT" w:eastAsia="sk-SK" w:bidi="ar-SA"/>
              </w:rPr>
              <w:t>13, no. 10</w:t>
            </w:r>
            <w:r>
              <w:rPr>
                <w:kern w:val="0"/>
                <w:szCs w:val="20"/>
                <w:lang w:val="sk-SK" w:eastAsia="sk-SK" w:bidi="ar-SA"/>
              </w:rPr>
              <w:t>:1909.</w:t>
            </w:r>
          </w:p>
        </w:tc>
        <w:tc>
          <w:tcPr>
            <w:tcW w:w="192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speaker</w:t>
            </w:r>
          </w:p>
        </w:tc>
      </w:tr>
      <w:tr>
        <w:trPr>
          <w:trHeight w:val="2396" w:hRule="atLeast"/>
        </w:trPr>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left"/>
              <w:rPr>
                <w:lang w:val="en-US"/>
              </w:rPr>
            </w:pPr>
            <w:r>
              <w:rPr>
                <w:kern w:val="0"/>
                <w:szCs w:val="20"/>
                <w:lang w:val="en-US" w:eastAsia="sk-SK" w:bidi="ar-SA"/>
              </w:rPr>
              <w:t> </w:t>
            </w:r>
            <w:r>
              <w:rPr>
                <w:kern w:val="0"/>
                <w:szCs w:val="20"/>
                <w:lang w:val="en-US" w:eastAsia="sk-SK" w:bidi="ar-SA"/>
              </w:rPr>
              <w:t>2021,</w:t>
            </w:r>
          </w:p>
          <w:p>
            <w:pPr>
              <w:pStyle w:val="P68B1DB1-Normlny18"/>
              <w:widowControl/>
              <w:spacing w:lineRule="auto" w:line="240" w:before="0" w:after="0"/>
              <w:jc w:val="left"/>
              <w:rPr>
                <w:kern w:val="0"/>
                <w:szCs w:val="20"/>
                <w:lang w:val="sk-SK" w:eastAsia="sk-SK" w:bidi="ar-SA"/>
              </w:rPr>
            </w:pPr>
            <w:r>
              <w:rPr>
                <w:kern w:val="0"/>
                <w:szCs w:val="20"/>
                <w:lang w:val="en-US" w:eastAsia="sk-SK" w:bidi="ar-SA"/>
              </w:rPr>
              <w:t xml:space="preserve">Małgorzata Jastrzębska, </w:t>
            </w:r>
            <w:r>
              <w:rPr>
                <w:i/>
                <w:iCs/>
                <w:kern w:val="0"/>
                <w:szCs w:val="20"/>
                <w:lang w:val="en-US" w:eastAsia="sk-SK" w:bidi="ar-SA"/>
              </w:rPr>
              <w:t>Zero-Divisor Graphs of Rings: Applications of Macaulay2 in Teaching and Research</w:t>
            </w:r>
            <w:r>
              <w:rPr>
                <w:kern w:val="0"/>
                <w:szCs w:val="20"/>
                <w:lang w:val="en-US" w:eastAsia="sk-SK" w:bidi="ar-SA"/>
              </w:rPr>
              <w:t>, In: Computer Algebra Systems in Teaching and Research,</w:t>
            </w:r>
          </w:p>
          <w:p>
            <w:pPr>
              <w:pStyle w:val="Normal"/>
              <w:widowControl/>
              <w:tabs>
                <w:tab w:val="clear" w:pos="708"/>
                <w:tab w:val="left" w:pos="720" w:leader="none"/>
                <w:tab w:val="left" w:pos="1440" w:leader="none"/>
                <w:tab w:val="left" w:pos="2160" w:leader="none"/>
              </w:tabs>
              <w:spacing w:lineRule="auto" w:line="240" w:before="0" w:after="0"/>
              <w:jc w:val="left"/>
              <w:rPr>
                <w:rFonts w:ascii="Times New Roman" w:hAnsi="Times New Roman" w:eastAsia="Arial Unicode MS" w:cs="Times New Roman"/>
                <w:kern w:val="0"/>
                <w:sz w:val="20"/>
                <w:szCs w:val="20"/>
                <w:lang w:val="sk-SK" w:eastAsia="sk-SK" w:bidi="ar-SA"/>
              </w:rPr>
            </w:pPr>
            <w:r>
              <w:rPr>
                <w:rFonts w:eastAsia="Arial Unicode MS" w:cs="Times New Roman" w:ascii="Arial" w:hAnsi="Arial"/>
                <w:kern w:val="0"/>
                <w:sz w:val="20"/>
                <w:szCs w:val="20"/>
                <w:lang w:val="en-US" w:eastAsia="sk-SK" w:bidi="ar-SA"/>
              </w:rPr>
              <w:t xml:space="preserve"> </w:t>
            </w:r>
            <w:r>
              <w:rPr>
                <w:rFonts w:eastAsia="Arial Unicode MS" w:cs="Times New Roman" w:ascii="Arial" w:hAnsi="Arial"/>
                <w:kern w:val="0"/>
                <w:sz w:val="20"/>
                <w:szCs w:val="20"/>
                <w:lang w:val="en-US" w:eastAsia="sk-SK" w:bidi="ar-SA"/>
              </w:rPr>
              <w:t>Vol. 10, 60–74.</w:t>
            </w:r>
          </w:p>
        </w:tc>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Domylne"/>
              <w:widowControl/>
              <w:spacing w:lineRule="auto" w:line="240" w:before="0" w:after="0"/>
              <w:jc w:val="both"/>
              <w:rPr>
                <w:kern w:val="0"/>
                <w:lang w:eastAsia="sk-SK" w:bidi="ar-SA"/>
              </w:rPr>
            </w:pPr>
            <w:r>
              <w:rPr>
                <w:rFonts w:ascii="Arial" w:hAnsi="Arial"/>
                <w:kern w:val="0"/>
                <w:sz w:val="22"/>
                <w:szCs w:val="22"/>
                <w:lang w:eastAsia="sk-SK" w:bidi="ar-SA"/>
              </w:rPr>
              <w:t> </w:t>
            </w:r>
            <w:r>
              <w:rPr>
                <w:rFonts w:ascii="Arial" w:hAnsi="Arial"/>
                <w:kern w:val="0"/>
                <w:sz w:val="22"/>
                <w:szCs w:val="22"/>
                <w:lang w:eastAsia="sk-SK" w:bidi="ar-SA"/>
              </w:rPr>
              <w:t>Publication</w:t>
            </w:r>
          </w:p>
        </w:tc>
        <w:tc>
          <w:tcPr>
            <w:tcW w:w="304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both"/>
              <w:rPr>
                <w:kern w:val="0"/>
                <w:szCs w:val="20"/>
                <w:lang w:val="sk-SK" w:eastAsia="sk-SK" w:bidi="ar-SA"/>
              </w:rPr>
            </w:pPr>
            <w:r>
              <w:rPr>
                <w:kern w:val="0"/>
                <w:szCs w:val="20"/>
                <w:lang w:val="en-US" w:eastAsia="sk-SK" w:bidi="ar-SA"/>
              </w:rPr>
              <w:t>The article shows how to use the Macaulay2 program to study the some properties of rings.</w:t>
            </w:r>
          </w:p>
          <w:p>
            <w:pPr>
              <w:pStyle w:val="Domylne"/>
              <w:widowControl/>
              <w:tabs>
                <w:tab w:val="clear" w:pos="708"/>
                <w:tab w:val="left" w:pos="720" w:leader="none"/>
                <w:tab w:val="left" w:pos="1440" w:leader="none"/>
                <w:tab w:val="left" w:pos="2160" w:leader="none"/>
                <w:tab w:val="left" w:pos="2880" w:leader="none"/>
              </w:tabs>
              <w:spacing w:lineRule="auto" w:line="240" w:before="0" w:after="0"/>
              <w:jc w:val="left"/>
              <w:rPr>
                <w:sz w:val="20"/>
                <w:szCs w:val="20"/>
              </w:rPr>
            </w:pPr>
            <w:r>
              <w:rPr>
                <w:rFonts w:ascii="Arial" w:hAnsi="Arial"/>
                <w:kern w:val="0"/>
                <w:sz w:val="20"/>
                <w:szCs w:val="20"/>
                <w:lang w:eastAsia="sk-SK" w:bidi="ar-SA"/>
              </w:rPr>
              <w:t>The aim of this paper is to present applications of Macaulay2 to determine and study graphs of zero-divisors, graphs of annihilating ideals and lattices of annihilators in associative, commutative rings</w:t>
            </w:r>
          </w:p>
        </w:tc>
        <w:tc>
          <w:tcPr>
            <w:tcW w:w="192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author</w:t>
            </w:r>
          </w:p>
        </w:tc>
      </w:tr>
      <w:tr>
        <w:trPr>
          <w:trHeight w:val="2173" w:hRule="atLeast"/>
        </w:trPr>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left"/>
              <w:rPr>
                <w:lang w:val="it-IT"/>
              </w:rPr>
            </w:pPr>
            <w:r>
              <w:rPr>
                <w:kern w:val="0"/>
                <w:szCs w:val="20"/>
                <w:lang w:val="it-IT" w:eastAsia="sk-SK" w:bidi="ar-SA"/>
              </w:rPr>
              <w:t>2015,</w:t>
            </w:r>
          </w:p>
          <w:p>
            <w:pPr>
              <w:pStyle w:val="P68B1DB1-Normlny18"/>
              <w:widowControl/>
              <w:spacing w:lineRule="auto" w:line="240" w:before="0" w:after="0"/>
              <w:jc w:val="left"/>
              <w:rPr>
                <w:kern w:val="0"/>
                <w:szCs w:val="20"/>
                <w:lang w:val="sk-SK" w:eastAsia="sk-SK" w:bidi="ar-SA"/>
              </w:rPr>
            </w:pPr>
            <w:r>
              <w:rPr>
                <w:kern w:val="0"/>
                <w:szCs w:val="20"/>
                <w:lang w:val="en-US" w:eastAsia="sk-SK" w:bidi="ar-SA"/>
              </w:rPr>
              <w:t xml:space="preserve">Jan Krempa, Małgorzata Jastrzębska, </w:t>
            </w:r>
            <w:r>
              <w:rPr>
                <w:i/>
                <w:iCs/>
                <w:kern w:val="0"/>
                <w:szCs w:val="20"/>
                <w:lang w:val="en-US" w:eastAsia="sk-SK" w:bidi="ar-SA"/>
              </w:rPr>
              <w:t>Lattices of annihilators in commutative algebras over fields</w:t>
            </w:r>
            <w:r>
              <w:rPr>
                <w:kern w:val="0"/>
                <w:szCs w:val="20"/>
                <w:lang w:val="it-IT" w:eastAsia="sk-SK" w:bidi="ar-SA"/>
              </w:rPr>
              <w:t>, Demonstratio Mathematica, , Vol. 48, no 4, p. 546-553.</w:t>
            </w:r>
          </w:p>
        </w:tc>
        <w:tc>
          <w:tcPr>
            <w:tcW w:w="2488" w:type="dxa"/>
            <w:tcBorders>
              <w:top w:val="single" w:sz="6" w:space="0" w:color="000000"/>
              <w:left w:val="single" w:sz="6" w:space="0" w:color="000000"/>
              <w:bottom w:val="single" w:sz="6" w:space="0" w:color="000000"/>
              <w:right w:val="single" w:sz="6" w:space="0" w:color="000000"/>
            </w:tcBorders>
            <w:shd w:color="auto" w:fill="auto" w:val="clear"/>
          </w:tcPr>
          <w:p>
            <w:pPr>
              <w:pStyle w:val="Domylne"/>
              <w:widowControl/>
              <w:spacing w:lineRule="auto" w:line="240" w:before="0" w:after="0"/>
              <w:jc w:val="both"/>
              <w:rPr>
                <w:kern w:val="0"/>
                <w:lang w:eastAsia="sk-SK" w:bidi="ar-SA"/>
              </w:rPr>
            </w:pPr>
            <w:r>
              <w:rPr>
                <w:rFonts w:ascii="Arial" w:hAnsi="Arial"/>
                <w:kern w:val="0"/>
                <w:sz w:val="22"/>
                <w:szCs w:val="22"/>
                <w:lang w:eastAsia="sk-SK" w:bidi="ar-SA"/>
              </w:rPr>
              <w:t> </w:t>
            </w:r>
            <w:r>
              <w:rPr>
                <w:rFonts w:ascii="Arial" w:hAnsi="Arial"/>
                <w:kern w:val="0"/>
                <w:sz w:val="22"/>
                <w:szCs w:val="22"/>
                <w:lang w:eastAsia="sk-SK" w:bidi="ar-SA"/>
              </w:rPr>
              <w:t>Publication</w:t>
            </w:r>
          </w:p>
        </w:tc>
        <w:tc>
          <w:tcPr>
            <w:tcW w:w="3048"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left"/>
              <w:rPr>
                <w:kern w:val="0"/>
                <w:szCs w:val="20"/>
                <w:lang w:val="sk-SK" w:eastAsia="sk-SK" w:bidi="ar-SA"/>
              </w:rPr>
            </w:pPr>
            <w:r>
              <w:rPr>
                <w:kern w:val="0"/>
                <w:szCs w:val="20"/>
                <w:lang w:val="en-US" w:eastAsia="sk-SK" w:bidi="ar-SA"/>
              </w:rPr>
              <w:t xml:space="preserve">The article concerns application of lattices to describe some classes of rings. Let K be any field and L any lattice. In this note we show that L is a sublattice of annihilators in an associative and commutative K-algebra. If L is finite, then our algebra </w:t>
            </w:r>
            <w:r>
              <w:rPr>
                <w:kern w:val="0"/>
                <w:szCs w:val="20"/>
                <w:lang w:val="sk-SK" w:eastAsia="sk-SK" w:bidi="ar-SA"/>
              </w:rPr>
              <w:t>is</w:t>
            </w:r>
            <w:r>
              <w:rPr>
                <w:kern w:val="0"/>
                <w:szCs w:val="20"/>
                <w:lang w:val="en-US" w:eastAsia="sk-SK" w:bidi="ar-SA"/>
              </w:rPr>
              <w:t xml:space="preserve"> finite dimensional over K.</w:t>
            </w:r>
          </w:p>
        </w:tc>
        <w:tc>
          <w:tcPr>
            <w:tcW w:w="1927" w:type="dxa"/>
            <w:tcBorders>
              <w:top w:val="single" w:sz="6" w:space="0" w:color="000000"/>
              <w:left w:val="single" w:sz="6" w:space="0" w:color="000000"/>
              <w:bottom w:val="single" w:sz="6" w:space="0" w:color="000000"/>
              <w:right w:val="single" w:sz="6" w:space="0" w:color="000000"/>
            </w:tcBorders>
            <w:shd w:color="auto" w:fill="auto" w:val="clear"/>
          </w:tcPr>
          <w:p>
            <w:pPr>
              <w:pStyle w:val="P68B1DB1-Normlny18"/>
              <w:widowControl/>
              <w:spacing w:lineRule="auto" w:line="240" w:before="0" w:after="0"/>
              <w:jc w:val="both"/>
              <w:rPr>
                <w:kern w:val="0"/>
                <w:szCs w:val="20"/>
                <w:lang w:val="sk-SK" w:eastAsia="sk-SK" w:bidi="ar-SA"/>
              </w:rPr>
            </w:pPr>
            <w:r>
              <w:rPr>
                <w:kern w:val="0"/>
                <w:szCs w:val="20"/>
                <w:lang w:val="en-US" w:eastAsia="sk-SK" w:bidi="ar-SA"/>
              </w:rPr>
              <w:t> </w:t>
            </w:r>
            <w:r>
              <w:rPr>
                <w:kern w:val="0"/>
                <w:szCs w:val="20"/>
                <w:lang w:val="en-US" w:eastAsia="sk-SK" w:bidi="ar-SA"/>
              </w:rPr>
              <w:t>co-author</w:t>
            </w:r>
          </w:p>
        </w:tc>
      </w:tr>
    </w:tbl>
    <w:p>
      <w:pPr>
        <w:pStyle w:val="P68B1DB1-Normlny17"/>
        <w:widowControl w:val="false"/>
        <w:spacing w:lineRule="auto" w:line="240" w:before="0" w:after="0"/>
        <w:ind w:hanging="216" w:left="216"/>
        <w:rPr>
          <w:rFonts w:ascii="Segoe UI" w:hAnsi="Segoe UI" w:eastAsia="Segoe UI" w:cs="Segoe UI"/>
          <w:sz w:val="18"/>
          <w:szCs w:val="18"/>
        </w:rPr>
      </w:pPr>
      <w:r>
        <w:rPr>
          <w:rFonts w:eastAsia="Segoe UI" w:cs="Segoe UI" w:ascii="Segoe UI" w:hAnsi="Segoe UI"/>
          <w:sz w:val="18"/>
          <w:szCs w:val="18"/>
        </w:rPr>
      </w:r>
    </w:p>
    <w:p>
      <w:pPr>
        <w:pStyle w:val="P68B1DB1-Normlny17"/>
        <w:widowControl w:val="false"/>
        <w:spacing w:lineRule="auto" w:line="240" w:before="0" w:after="0"/>
        <w:ind w:hanging="108" w:left="108"/>
        <w:rPr>
          <w:rFonts w:ascii="Segoe UI" w:hAnsi="Segoe UI" w:eastAsia="Segoe UI" w:cs="Segoe UI"/>
          <w:sz w:val="18"/>
          <w:szCs w:val="18"/>
        </w:rPr>
      </w:pPr>
      <w:r>
        <w:rPr>
          <w:rFonts w:eastAsia="Segoe UI" w:cs="Segoe UI" w:ascii="Segoe UI" w:hAnsi="Segoe UI"/>
          <w:sz w:val="18"/>
          <w:szCs w:val="18"/>
        </w:rPr>
      </w:r>
    </w:p>
    <w:p>
      <w:pPr>
        <w:pStyle w:val="Normal"/>
        <w:rPr>
          <w:lang w:val="en-GB"/>
        </w:rPr>
      </w:pPr>
      <w:r>
        <w:rPr>
          <w:lang w:val="en-GB"/>
        </w:rPr>
      </w:r>
    </w:p>
    <w:p>
      <w:pPr>
        <w:pStyle w:val="P68B1DB1-Nadpis315"/>
        <w:spacing w:before="120" w:after="120"/>
        <w:rPr>
          <w:lang w:val="en-GB"/>
        </w:rPr>
      </w:pPr>
      <w:bookmarkStart w:id="8" w:name="_Toc146551744"/>
      <w:r>
        <w:rPr>
          <w:lang w:val="en-GB"/>
        </w:rPr>
        <w:t xml:space="preserve">1.5 </w:t>
      </w:r>
      <w:r>
        <w:rPr>
          <w:rStyle w:val="Normaltextrun"/>
          <w:caps w:val="false"/>
          <w:smallCaps w:val="false"/>
          <w:lang w:val="en-GB"/>
        </w:rPr>
        <w:t>EXCELLENCE OF THE APPLICANT/HOST ORGANISATION</w:t>
      </w:r>
      <w:bookmarkEnd w:id="8"/>
    </w:p>
    <w:p>
      <w:pPr>
        <w:pStyle w:val="Paragraph"/>
        <w:spacing w:before="280" w:after="280"/>
        <w:rPr>
          <w:rFonts w:ascii="Arial" w:hAnsi="Arial" w:cs="Arial"/>
          <w:sz w:val="22"/>
          <w:szCs w:val="22"/>
        </w:rPr>
      </w:pPr>
      <w:r>
        <w:rPr>
          <w:rStyle w:val="Normaltextrun"/>
          <w:rFonts w:cs="Arial" w:ascii="Arial" w:hAnsi="Arial"/>
          <w:sz w:val="22"/>
          <w:szCs w:val="22"/>
          <w:lang w:val="en-GB"/>
        </w:rPr>
        <w:t>Mathematical Institute of the Slovak Academy of Sciences is a scientific institute focused mainly on basic research in mathematics and theoretical informatics. The Institute has a long tradition in several important branches of pure and applied mathematics and participated in a number of successful projects in both basic and applied research, including projects of Frame Projects of EU, Structural projects of EU,  and projects of domestic agencies APVV and VEGA. The researchers of the Institute belong to the top in their research, in a world-wide context, and are engaged in multiple collaborations with experts from internationally renowned institutions. In collaboration with the Commenius University, the Institute organises a PhD study program and many young scientists and students use the Slovak fellowship program SAIA for short term study stays at the institute.</w:t>
      </w:r>
    </w:p>
    <w:p>
      <w:pPr>
        <w:pStyle w:val="Normal"/>
        <w:rPr>
          <w:rFonts w:ascii="Arial" w:hAnsi="Arial" w:cs="Arial"/>
          <w:lang w:val="en-GB"/>
        </w:rPr>
      </w:pPr>
      <w:r>
        <w:rPr>
          <w:rFonts w:cs="Arial" w:ascii="Arial" w:hAnsi="Arial"/>
          <w:lang w:val="en-GB"/>
        </w:rPr>
        <w:t>Mathematical Institute SAS has been working for a long on topics from universal algebra, which are the subject of the project, currently E. Halušková and J. Pócs. These topics are also related to the issue of quantum structures, where we are a workplace of world importance. A comparative advantage is that experts in set theory, real and functional analysis also work at MI SAS. Workers regularly meet live at scientific seminars. This provides great potential for solving subtasks of the project.</w:t>
      </w:r>
    </w:p>
    <w:p>
      <w:pPr>
        <w:pStyle w:val="Normal"/>
        <w:rPr>
          <w:rFonts w:ascii="Arial" w:hAnsi="Arial" w:cs="Arial"/>
          <w:lang w:val="en-GB"/>
        </w:rPr>
      </w:pPr>
      <w:r>
        <w:rPr>
          <w:rFonts w:cs="Arial" w:ascii="Arial" w:hAnsi="Arial"/>
          <w:lang w:val="en-GB"/>
        </w:rPr>
        <w:t>The researcher will collaborate primarily with E. Halušková, who published 16 articles related to the project's issues in journals registered in databases WOS and Scopus. This cooperation successfully started in 2022, when M. Jastrzębska completed a 3-month research stay at MI SAS. The results of this stay were presented at the institute's seminars and at the international conference SSAOS which was  from August 28 to September 2, 2022 in Tatranska Lomnica, Slovakia.</w:t>
      </w:r>
    </w:p>
    <w:p>
      <w:pPr>
        <w:pStyle w:val="Normal"/>
        <w:rPr>
          <w:rFonts w:ascii="Arial" w:hAnsi="Arial" w:cs="Arial"/>
          <w:szCs w:val="22"/>
          <w:lang w:val="en-GB"/>
        </w:rPr>
      </w:pPr>
      <w:r>
        <w:rPr>
          <w:rFonts w:cs="Arial" w:ascii="Arial" w:hAnsi="Arial"/>
          <w:szCs w:val="22"/>
          <w:lang w:val="en-GB"/>
        </w:rPr>
        <w:t>Mathematical Institute has a very good infrastructure with adequate hardware and software equipment. The library of Mathematical Institute SAS belongs to the best mathematical ones in Slovakia with access to many journal nets of the world publishing houses, scientific-information and technical databases, e.g. Mathematical Review, Zentralblatt Mathematik, Web of Knowledge, Scopus, etc. The regular seminars and consultations with researchers is expected to be an effective method of two-way knowledge transfer between the host organisation and the applicant.</w:t>
      </w:r>
    </w:p>
    <w:p>
      <w:pPr>
        <w:pStyle w:val="P68B1DB1-Nadpis315"/>
        <w:spacing w:before="120" w:after="120"/>
        <w:rPr>
          <w:lang w:val="en-GB"/>
        </w:rPr>
      </w:pPr>
      <w:r>
        <w:rPr>
          <w:lang w:val="en-GB"/>
        </w:rPr>
      </w:r>
    </w:p>
    <w:p>
      <w:pPr>
        <w:pStyle w:val="Heading2"/>
        <w:numPr>
          <w:ilvl w:val="0"/>
          <w:numId w:val="1"/>
        </w:numPr>
        <w:spacing w:before="120" w:after="120"/>
        <w:ind w:hanging="0" w:left="0"/>
        <w:rPr>
          <w:rStyle w:val="Eop"/>
          <w:rFonts w:ascii="Arial" w:hAnsi="Arial" w:cs="Arial"/>
          <w:lang w:val="en-GB"/>
        </w:rPr>
      </w:pPr>
      <w:bookmarkStart w:id="9" w:name="_Toc146551745"/>
      <w:bookmarkStart w:id="10" w:name="_Toc117149273"/>
      <w:r>
        <w:rPr>
          <w:rStyle w:val="Normaltextrun"/>
          <w:rFonts w:cs="Arial" w:ascii="Arial" w:hAnsi="Arial"/>
          <w:lang w:val="en-GB"/>
        </w:rPr>
        <w:t>Impact</w:t>
      </w:r>
      <w:bookmarkEnd w:id="9"/>
      <w:bookmarkEnd w:id="10"/>
    </w:p>
    <w:p>
      <w:pPr>
        <w:pStyle w:val="Paragraph"/>
        <w:spacing w:beforeAutospacing="0" w:before="0" w:afterAutospacing="0" w:after="0"/>
        <w:ind w:left="360"/>
        <w:jc w:val="both"/>
        <w:textAlignment w:val="baseline"/>
        <w:rPr>
          <w:rFonts w:ascii="Arial" w:hAnsi="Arial" w:cs="Arial"/>
          <w:sz w:val="22"/>
          <w:lang w:val="en-GB"/>
        </w:rPr>
      </w:pPr>
      <w:r>
        <w:rPr>
          <w:rFonts w:cs="Arial" w:ascii="Arial" w:hAnsi="Arial"/>
          <w:sz w:val="22"/>
          <w:lang w:val="en-GB"/>
        </w:rPr>
      </w:r>
    </w:p>
    <w:p>
      <w:pPr>
        <w:pStyle w:val="P68B1DB1-Normlny17"/>
        <w:spacing w:lineRule="auto" w:line="240" w:before="0" w:after="0"/>
        <w:jc w:val="both"/>
        <w:textAlignment w:val="baseline"/>
        <w:rPr>
          <w:iCs/>
          <w:szCs w:val="22"/>
          <w:lang w:val="en-GB"/>
        </w:rPr>
      </w:pPr>
      <w:r>
        <w:rPr>
          <w:lang w:val="en-GB"/>
        </w:rPr>
        <w:t xml:space="preserve">When solving the project, we will use standard mathematical procedures, they are </w:t>
      </w:r>
      <w:r>
        <w:rPr>
          <w:b/>
          <w:lang w:val="en-GB"/>
        </w:rPr>
        <w:t>credible</w:t>
      </w:r>
      <w:r>
        <w:rPr>
          <w:lang w:val="en-GB"/>
        </w:rPr>
        <w:t>. Expected results are at least 3 articles and 4 presentations at international scientific events. We estimated the number of articles according to the topics addressed in the project and taking into account the experience of M. Jastrzębska and th</w:t>
      </w:r>
      <w:r>
        <w:rPr>
          <w:i/>
          <w:iCs/>
          <w:szCs w:val="22"/>
          <w:lang w:val="en-GB"/>
        </w:rPr>
        <w:t xml:space="preserve">e </w:t>
      </w:r>
      <w:r>
        <w:rPr>
          <w:iCs/>
          <w:szCs w:val="22"/>
          <w:lang w:val="en-GB"/>
        </w:rPr>
        <w:t>possibilities of the employees of our institute with whom she will collaborate. We assume that the number of international mathematical events for which the topic of the project is relevant will be greater than 4. We have listed some of them in the section 1.2. Some we didn't list because we don't know if they will continue in post-covid era. Participation in workshops is of course limited by the physical and psychological capabilities of the researcher.</w:t>
      </w:r>
    </w:p>
    <w:p>
      <w:pPr>
        <w:pStyle w:val="P68B1DB1-Normlny17"/>
        <w:spacing w:lineRule="auto" w:line="240" w:before="0" w:after="0"/>
        <w:jc w:val="both"/>
        <w:textAlignment w:val="baseline"/>
        <w:rPr>
          <w:rStyle w:val="Eop"/>
          <w:lang w:val="en-GB"/>
        </w:rPr>
      </w:pPr>
      <w:r>
        <w:rPr>
          <w:lang w:val="en-GB"/>
        </w:rPr>
      </w:r>
    </w:p>
    <w:p>
      <w:pPr>
        <w:pStyle w:val="Paragraph"/>
        <w:spacing w:beforeAutospacing="0" w:before="0" w:afterAutospacing="0" w:after="120"/>
        <w:jc w:val="both"/>
        <w:textAlignment w:val="baseline"/>
        <w:rPr>
          <w:rStyle w:val="Eop"/>
          <w:rFonts w:ascii="Arial" w:hAnsi="Arial" w:cs="Arial"/>
          <w:sz w:val="22"/>
          <w:lang w:val="en-GB"/>
        </w:rPr>
      </w:pPr>
      <w:r>
        <w:rPr>
          <w:rStyle w:val="Eop"/>
          <w:rFonts w:cs="Arial" w:ascii="Arial" w:hAnsi="Arial"/>
          <w:sz w:val="22"/>
          <w:lang w:val="en-GB"/>
        </w:rPr>
        <w:t xml:space="preserve">The </w:t>
      </w:r>
      <w:r>
        <w:rPr>
          <w:rStyle w:val="Eop"/>
          <w:rFonts w:cs="Arial" w:ascii="Arial" w:hAnsi="Arial"/>
          <w:b/>
          <w:sz w:val="22"/>
          <w:lang w:val="en-GB"/>
        </w:rPr>
        <w:t xml:space="preserve">quality of the outputs </w:t>
      </w:r>
      <w:r>
        <w:rPr>
          <w:rStyle w:val="Eop"/>
          <w:rFonts w:cs="Arial" w:ascii="Arial" w:hAnsi="Arial"/>
          <w:sz w:val="22"/>
          <w:lang w:val="en-GB"/>
        </w:rPr>
        <w:t>is guaranteed by the fact that the articles will be prepared for journals registered in the databases WoS and Scopus.</w:t>
      </w:r>
    </w:p>
    <w:p>
      <w:pPr>
        <w:pStyle w:val="Paragraph"/>
        <w:spacing w:beforeAutospacing="0" w:before="0" w:afterAutospacing="0" w:after="120"/>
        <w:jc w:val="both"/>
        <w:textAlignment w:val="baseline"/>
        <w:rPr>
          <w:rStyle w:val="Eop"/>
          <w:rFonts w:ascii="Arial" w:hAnsi="Arial" w:cs="Arial"/>
          <w:sz w:val="22"/>
          <w:lang w:val="en-GB"/>
        </w:rPr>
      </w:pPr>
      <w:r>
        <w:rPr>
          <w:rStyle w:val="Eop"/>
          <w:rFonts w:cs="Arial" w:ascii="Arial" w:hAnsi="Arial"/>
          <w:sz w:val="22"/>
          <w:lang w:val="en-GB"/>
        </w:rPr>
        <w:t xml:space="preserve">We consider active communication within our workplace on all matters related to the project to be the main </w:t>
      </w:r>
      <w:r>
        <w:rPr>
          <w:rStyle w:val="Eop"/>
          <w:rFonts w:cs="Arial" w:ascii="Arial" w:hAnsi="Arial"/>
          <w:b/>
          <w:sz w:val="22"/>
          <w:lang w:val="en-GB"/>
        </w:rPr>
        <w:t>measure to maximize the results and impacts</w:t>
      </w:r>
      <w:r>
        <w:rPr>
          <w:rStyle w:val="Eop"/>
          <w:rFonts w:cs="Arial" w:ascii="Arial" w:hAnsi="Arial"/>
          <w:sz w:val="22"/>
          <w:lang w:val="en-GB"/>
        </w:rPr>
        <w:t xml:space="preserve"> of the project. Furthermore, regular information about the progress of the project at the institutional seminar as well as at the seminar Ordered Algebraic Structures, which is held at Faculty of Science Pavel Jozef Šafárik University in Košice.</w:t>
      </w:r>
    </w:p>
    <w:p>
      <w:pPr>
        <w:pStyle w:val="Paragraph"/>
        <w:spacing w:beforeAutospacing="0" w:before="0" w:afterAutospacing="0" w:after="120"/>
        <w:jc w:val="both"/>
        <w:textAlignment w:val="baseline"/>
        <w:rPr>
          <w:rStyle w:val="Eop"/>
          <w:rFonts w:ascii="Arial" w:hAnsi="Arial" w:cs="Arial"/>
          <w:sz w:val="22"/>
          <w:lang w:val="en-GB"/>
        </w:rPr>
      </w:pPr>
      <w:r>
        <w:rPr>
          <w:rFonts w:cs="Arial" w:ascii="Arial" w:hAnsi="Arial"/>
          <w:sz w:val="22"/>
          <w:lang w:val="en-GB"/>
        </w:rPr>
      </w:r>
    </w:p>
    <w:p>
      <w:pPr>
        <w:pStyle w:val="Heading3"/>
        <w:spacing w:before="120" w:after="120"/>
        <w:rPr>
          <w:rStyle w:val="Eop"/>
          <w:rFonts w:ascii="Arial" w:hAnsi="Arial" w:cs="Arial"/>
          <w:lang w:val="en-GB"/>
        </w:rPr>
      </w:pPr>
      <w:bookmarkStart w:id="11" w:name="_Toc146551746"/>
      <w:bookmarkStart w:id="12" w:name="_Toc117149274"/>
      <w:r>
        <w:rPr>
          <w:rStyle w:val="Normaltextrun"/>
          <w:rFonts w:cs="Arial" w:ascii="Arial" w:hAnsi="Arial"/>
          <w:lang w:val="en-GB"/>
        </w:rPr>
        <w:t>2.1 THE WIDER IMPACT OF THE PROJECT</w:t>
      </w:r>
      <w:bookmarkEnd w:id="11"/>
      <w:bookmarkEnd w:id="12"/>
      <w:r>
        <w:rPr>
          <w:rStyle w:val="Eop"/>
          <w:rFonts w:cs="Arial" w:ascii="Arial" w:hAnsi="Arial"/>
          <w:lang w:val="en-GB"/>
        </w:rPr>
        <w:t xml:space="preserve"> </w:t>
      </w:r>
    </w:p>
    <w:p>
      <w:pPr>
        <w:pStyle w:val="Normal"/>
        <w:spacing w:lineRule="auto" w:line="240" w:before="0" w:after="0"/>
        <w:rPr>
          <w:rFonts w:ascii="Arial" w:hAnsi="Arial" w:cs="Arial"/>
        </w:rPr>
      </w:pPr>
      <w:r>
        <w:rPr>
          <w:rFonts w:cs="Arial" w:ascii="Arial" w:hAnsi="Arial"/>
          <w:lang w:val="en-GB"/>
        </w:rPr>
        <w:t xml:space="preserve">The expected impact of the project is to the following subjects </w:t>
      </w:r>
      <w:r>
        <w:rPr>
          <w:rFonts w:cs="Arial" w:ascii="Arial" w:hAnsi="Arial"/>
        </w:rPr>
        <w:t>according to the Mathematics Subject Classification (MSC) deployed from January 2020 by Mathematical Reviews  and Zentralblatt für Mathematik:</w:t>
      </w:r>
    </w:p>
    <w:p>
      <w:pPr>
        <w:pStyle w:val="Normal"/>
        <w:spacing w:lineRule="auto" w:line="240" w:before="0" w:after="0"/>
        <w:rPr>
          <w:rFonts w:ascii="Arial" w:hAnsi="Arial" w:cs="Arial"/>
        </w:rPr>
      </w:pPr>
      <w:r>
        <w:rPr>
          <w:rFonts w:cs="Arial" w:ascii="Arial" w:hAnsi="Arial"/>
        </w:rPr>
        <w:t>08 General algebraic systems</w:t>
      </w:r>
    </w:p>
    <w:p>
      <w:pPr>
        <w:pStyle w:val="Normal"/>
        <w:spacing w:lineRule="auto" w:line="240" w:before="0" w:after="0"/>
        <w:rPr>
          <w:rFonts w:ascii="Arial" w:hAnsi="Arial" w:cs="Arial"/>
        </w:rPr>
      </w:pPr>
      <w:r>
        <w:rPr>
          <w:rFonts w:cs="Arial" w:ascii="Arial" w:hAnsi="Arial"/>
        </w:rPr>
        <w:t>12 Field theory and polynomials</w:t>
      </w:r>
    </w:p>
    <w:p>
      <w:pPr>
        <w:pStyle w:val="Normal"/>
        <w:spacing w:lineRule="auto" w:line="240" w:before="0" w:after="0"/>
        <w:rPr>
          <w:rFonts w:ascii="Arial" w:hAnsi="Arial" w:cs="Arial"/>
        </w:rPr>
      </w:pPr>
      <w:r>
        <w:rPr>
          <w:rFonts w:cs="Arial" w:ascii="Arial" w:hAnsi="Arial"/>
        </w:rPr>
        <w:t>13 Commutative algebra</w:t>
      </w:r>
    </w:p>
    <w:p>
      <w:pPr>
        <w:pStyle w:val="Normal"/>
        <w:spacing w:lineRule="auto" w:line="240" w:before="0" w:after="0"/>
        <w:rPr>
          <w:rFonts w:ascii="Arial" w:hAnsi="Arial" w:cs="Arial"/>
        </w:rPr>
      </w:pPr>
      <w:r>
        <w:rPr>
          <w:rFonts w:cs="Arial" w:ascii="Arial" w:hAnsi="Arial"/>
        </w:rPr>
        <w:t>15 Linear and multilinear algebra; matrix theory</w:t>
      </w:r>
    </w:p>
    <w:p>
      <w:pPr>
        <w:pStyle w:val="Normal"/>
        <w:spacing w:lineRule="auto" w:line="240" w:before="0" w:after="0"/>
        <w:rPr>
          <w:rFonts w:ascii="Arial" w:hAnsi="Arial" w:cs="Arial"/>
        </w:rPr>
      </w:pPr>
      <w:r>
        <w:rPr>
          <w:rFonts w:cs="Arial" w:ascii="Arial" w:hAnsi="Arial"/>
        </w:rPr>
        <w:t>16 Associative rings and algebras</w:t>
      </w:r>
    </w:p>
    <w:p>
      <w:pPr>
        <w:pStyle w:val="Normal"/>
        <w:spacing w:lineRule="auto" w:line="240" w:before="0" w:after="0"/>
        <w:rPr>
          <w:rFonts w:ascii="Arial" w:hAnsi="Arial" w:cs="Arial"/>
        </w:rPr>
      </w:pPr>
      <w:r>
        <w:rPr>
          <w:rFonts w:cs="Arial" w:ascii="Arial" w:hAnsi="Arial"/>
        </w:rPr>
        <w:t>17 Nonassociative rings and algebras</w:t>
      </w:r>
    </w:p>
    <w:p>
      <w:pPr>
        <w:pStyle w:val="Normal"/>
        <w:spacing w:lineRule="auto" w:line="240" w:before="0" w:after="0"/>
        <w:rPr>
          <w:rFonts w:ascii="Arial" w:hAnsi="Arial" w:cs="Arial"/>
        </w:rPr>
      </w:pPr>
      <w:r>
        <w:rPr>
          <w:rFonts w:cs="Arial" w:ascii="Arial" w:hAnsi="Arial"/>
        </w:rPr>
        <w:t>20 Group theory and generalizations</w:t>
      </w:r>
    </w:p>
    <w:p>
      <w:pPr>
        <w:pStyle w:val="Normal"/>
        <w:spacing w:lineRule="auto" w:line="240" w:before="0" w:after="0"/>
        <w:rPr>
          <w:rFonts w:ascii="Arial" w:hAnsi="Arial" w:cs="Arial"/>
          <w:lang w:val="en-GB"/>
        </w:rPr>
      </w:pPr>
      <w:r>
        <w:rPr>
          <w:rFonts w:cs="Arial" w:ascii="Arial" w:hAnsi="Arial"/>
          <w:lang w:val="en-GB"/>
        </w:rPr>
      </w:r>
    </w:p>
    <w:p>
      <w:pPr>
        <w:pStyle w:val="Normal"/>
        <w:spacing w:lineRule="auto" w:line="240" w:before="0" w:after="0"/>
        <w:rPr>
          <w:rFonts w:ascii="Arial" w:hAnsi="Arial" w:cs="Arial"/>
          <w:lang w:val="en-GB"/>
        </w:rPr>
      </w:pPr>
      <w:r>
        <w:rPr>
          <w:rFonts w:cs="Arial" w:ascii="Arial" w:hAnsi="Arial"/>
          <w:lang w:val="en-GB"/>
        </w:rPr>
        <w:t>We expect impact beyond the direct scope of the project in some of the following subjects MSC:</w:t>
      </w:r>
    </w:p>
    <w:p>
      <w:pPr>
        <w:pStyle w:val="Normal"/>
        <w:spacing w:lineRule="auto" w:line="240" w:before="0" w:after="0"/>
        <w:rPr>
          <w:rFonts w:ascii="Arial" w:hAnsi="Arial" w:cs="Arial"/>
        </w:rPr>
      </w:pPr>
      <w:r>
        <w:rPr>
          <w:rFonts w:cs="Arial" w:ascii="Arial" w:hAnsi="Arial"/>
        </w:rPr>
        <w:t>01 General and overarching topics; collections</w:t>
      </w:r>
    </w:p>
    <w:p>
      <w:pPr>
        <w:pStyle w:val="Normal"/>
        <w:spacing w:lineRule="auto" w:line="240" w:before="0" w:after="0"/>
        <w:rPr>
          <w:rFonts w:ascii="Arial" w:hAnsi="Arial" w:cs="Arial"/>
        </w:rPr>
      </w:pPr>
      <w:r>
        <w:rPr>
          <w:rFonts w:cs="Arial" w:ascii="Arial" w:hAnsi="Arial"/>
        </w:rPr>
        <w:t>40 Sequences, series, summability</w:t>
      </w:r>
    </w:p>
    <w:p>
      <w:pPr>
        <w:pStyle w:val="Normal"/>
        <w:spacing w:lineRule="auto" w:line="240" w:before="0" w:after="0"/>
        <w:rPr>
          <w:rFonts w:ascii="Arial" w:hAnsi="Arial" w:cs="Arial"/>
        </w:rPr>
      </w:pPr>
      <w:r>
        <w:rPr>
          <w:rFonts w:cs="Arial" w:ascii="Arial" w:hAnsi="Arial"/>
        </w:rPr>
        <w:t>41 Approximations and expansions</w:t>
      </w:r>
    </w:p>
    <w:p>
      <w:pPr>
        <w:pStyle w:val="Normal"/>
        <w:spacing w:lineRule="auto" w:line="240" w:before="0" w:after="0"/>
        <w:rPr>
          <w:rFonts w:ascii="Arial" w:hAnsi="Arial" w:cs="Arial"/>
        </w:rPr>
      </w:pPr>
      <w:r>
        <w:rPr>
          <w:rFonts w:cs="Arial" w:ascii="Arial" w:hAnsi="Arial"/>
        </w:rPr>
        <w:t>92 Biology and other natural sciences</w:t>
      </w:r>
    </w:p>
    <w:p>
      <w:pPr>
        <w:pStyle w:val="Normal"/>
        <w:spacing w:lineRule="auto" w:line="240" w:before="0" w:after="0"/>
        <w:rPr>
          <w:rFonts w:ascii="Arial" w:hAnsi="Arial" w:cs="Arial"/>
          <w:lang w:val="en-GB"/>
        </w:rPr>
      </w:pPr>
      <w:r>
        <w:rPr>
          <w:rFonts w:cs="Arial" w:ascii="Arial" w:hAnsi="Arial"/>
        </w:rPr>
        <w:t>97 Mathematics education</w:t>
      </w:r>
    </w:p>
    <w:p>
      <w:pPr>
        <w:pStyle w:val="Normal"/>
        <w:spacing w:lineRule="auto" w:line="240" w:before="0" w:after="0"/>
        <w:rPr>
          <w:rFonts w:ascii="Arial" w:hAnsi="Arial" w:cs="Arial"/>
          <w:lang w:val="en-GB"/>
        </w:rPr>
      </w:pPr>
      <w:r>
        <w:rPr>
          <w:rFonts w:cs="Arial" w:ascii="Arial" w:hAnsi="Arial"/>
          <w:lang w:val="en-GB"/>
        </w:rPr>
      </w:r>
    </w:p>
    <w:p>
      <w:pPr>
        <w:pStyle w:val="Normal"/>
        <w:rPr>
          <w:rFonts w:ascii="Arial" w:hAnsi="Arial" w:cs="Arial"/>
          <w:lang w:val="en-GB"/>
        </w:rPr>
      </w:pPr>
      <w:r>
        <w:rPr>
          <w:rFonts w:cs="Arial" w:ascii="Arial" w:hAnsi="Arial"/>
          <w:b/>
          <w:bCs/>
          <w:lang w:val="en-GB"/>
        </w:rPr>
        <w:t xml:space="preserve">The direct and relevant scientific impact </w:t>
      </w:r>
      <w:r>
        <w:rPr>
          <w:rFonts w:cs="Arial" w:ascii="Arial" w:hAnsi="Arial"/>
          <w:bCs/>
          <w:lang w:val="en-GB"/>
        </w:rPr>
        <w:t>is determined by expected results of the project</w:t>
      </w:r>
      <w:r>
        <w:rPr>
          <w:rFonts w:ascii="Times New Roman" w:hAnsi="Times New Roman"/>
          <w:lang w:val="en-GB"/>
        </w:rPr>
        <w:t xml:space="preserve">. </w:t>
      </w:r>
      <w:r>
        <w:rPr>
          <w:rFonts w:cs="Arial" w:ascii="Arial" w:hAnsi="Arial"/>
          <w:lang w:val="en-GB"/>
        </w:rPr>
        <w:t>We expect at least 4 groups of scientific results</w:t>
      </w:r>
    </w:p>
    <w:p>
      <w:pPr>
        <w:pStyle w:val="ListParagraph"/>
        <w:numPr>
          <w:ilvl w:val="0"/>
          <w:numId w:val="8"/>
        </w:numPr>
        <w:rPr>
          <w:rFonts w:ascii="Arial" w:hAnsi="Arial" w:cs="Arial"/>
          <w:lang w:val="en-GB"/>
        </w:rPr>
      </w:pPr>
      <w:r>
        <w:rPr>
          <w:rFonts w:cs="Arial" w:ascii="Arial" w:hAnsi="Arial"/>
          <w:lang w:val="en-GB"/>
        </w:rPr>
        <w:t>New algebras with EKP or SEKP in rings and groups will be discovered.</w:t>
        <w:br/>
      </w:r>
    </w:p>
    <w:p>
      <w:pPr>
        <w:pStyle w:val="ListParagraph"/>
        <w:numPr>
          <w:ilvl w:val="0"/>
          <w:numId w:val="8"/>
        </w:numPr>
        <w:rPr>
          <w:rFonts w:ascii="Arial" w:hAnsi="Arial" w:cs="Arial"/>
          <w:lang w:val="en-GB"/>
        </w:rPr>
      </w:pPr>
      <w:r>
        <w:rPr>
          <w:rFonts w:cs="Arial" w:ascii="Arial" w:hAnsi="Arial"/>
          <w:lang w:val="en-GB"/>
        </w:rPr>
        <w:t>Some classes of rings and groups with EDL will be found and they will make it possible to obtain new results in systematic research of direct limit construction in Universal algebra.</w:t>
        <w:br/>
      </w:r>
    </w:p>
    <w:p>
      <w:pPr>
        <w:pStyle w:val="ListParagraph"/>
        <w:numPr>
          <w:ilvl w:val="0"/>
          <w:numId w:val="8"/>
        </w:numPr>
        <w:rPr>
          <w:rFonts w:ascii="Arial" w:hAnsi="Arial" w:cs="Arial"/>
          <w:lang w:val="en-GB"/>
        </w:rPr>
      </w:pPr>
      <w:r>
        <w:rPr>
          <w:rFonts w:cs="Arial" w:ascii="Arial" w:hAnsi="Arial"/>
          <w:lang w:val="en-GB"/>
        </w:rPr>
        <w:t>Overview of DL- classes of rings, groups, semigroups, modules, algebras over fields will be done together with a test if they are axiomatic.</w:t>
        <w:br/>
      </w:r>
    </w:p>
    <w:p>
      <w:pPr>
        <w:pStyle w:val="ListParagraph"/>
        <w:numPr>
          <w:ilvl w:val="0"/>
          <w:numId w:val="8"/>
        </w:numPr>
        <w:rPr>
          <w:rFonts w:ascii="Arial" w:hAnsi="Arial" w:cs="Arial"/>
          <w:lang w:val="en-GB"/>
        </w:rPr>
      </w:pPr>
      <w:r>
        <w:rPr>
          <w:rFonts w:cs="Arial" w:ascii="Arial" w:hAnsi="Arial"/>
          <w:lang w:val="en-GB"/>
        </w:rPr>
        <w:t>Some properties of the lattice of DL-classes of rings will be find out.</w:t>
      </w:r>
    </w:p>
    <w:p>
      <w:pPr>
        <w:pStyle w:val="Normal"/>
        <w:rPr>
          <w:lang w:val="en-GB"/>
        </w:rPr>
      </w:pPr>
      <w:r>
        <w:rPr>
          <w:rFonts w:cs="Arial" w:ascii="Arial" w:hAnsi="Arial"/>
          <w:bCs/>
          <w:lang w:val="en-GB"/>
        </w:rPr>
        <w:t>We see the</w:t>
      </w:r>
      <w:r>
        <w:rPr>
          <w:rFonts w:cs="Arial" w:ascii="Arial" w:hAnsi="Arial"/>
          <w:b/>
          <w:bCs/>
          <w:lang w:val="en-GB"/>
        </w:rPr>
        <w:t xml:space="preserve"> societal impact </w:t>
      </w:r>
      <w:r>
        <w:rPr>
          <w:rFonts w:cs="Arial" w:ascii="Arial" w:hAnsi="Arial"/>
          <w:bCs/>
          <w:lang w:val="en-GB"/>
        </w:rPr>
        <w:t>during the duration</w:t>
      </w:r>
      <w:r>
        <w:rPr>
          <w:rFonts w:cs="Arial" w:ascii="Arial" w:hAnsi="Arial"/>
          <w:b/>
          <w:bCs/>
          <w:lang w:val="en-GB"/>
        </w:rPr>
        <w:t xml:space="preserve"> </w:t>
      </w:r>
      <w:r>
        <w:rPr>
          <w:rFonts w:cs="Arial" w:ascii="Arial" w:hAnsi="Arial"/>
          <w:bCs/>
          <w:lang w:val="en-GB"/>
        </w:rPr>
        <w:t>of the project.</w:t>
      </w:r>
      <w:r>
        <w:rPr>
          <w:rFonts w:cs="Arial" w:ascii="Arial" w:hAnsi="Arial"/>
          <w:b/>
          <w:bCs/>
          <w:lang w:val="en-GB"/>
        </w:rPr>
        <w:t xml:space="preserve"> </w:t>
      </w:r>
      <w:r>
        <w:rPr>
          <w:rFonts w:cs="Arial" w:ascii="Arial" w:hAnsi="Arial"/>
          <w:bCs/>
          <w:lang w:val="en-GB"/>
        </w:rPr>
        <w:t>It is</w:t>
      </w:r>
      <w:r>
        <w:rPr>
          <w:rFonts w:cs="Arial" w:ascii="Arial" w:hAnsi="Arial"/>
          <w:b/>
          <w:bCs/>
          <w:lang w:val="en-GB"/>
        </w:rPr>
        <w:t xml:space="preserve"> </w:t>
      </w:r>
      <w:r>
        <w:rPr>
          <w:rFonts w:cs="Arial" w:ascii="Arial" w:hAnsi="Arial"/>
          <w:bCs/>
          <w:lang w:val="en-GB"/>
        </w:rPr>
        <w:t>in the enrichment of the collectives in which the researcher will work and also the events in which he will participate.</w:t>
      </w:r>
      <w:r>
        <w:rPr>
          <w:rFonts w:cs="Arial" w:ascii="Arial" w:hAnsi="Arial"/>
          <w:lang w:val="en-GB"/>
        </w:rPr>
        <w:t xml:space="preserve"> Scientific employees of MI SAS and participants in mathematical workshops can benefit from activities of the project. Benefits are in</w:t>
      </w:r>
      <w:r>
        <w:rPr>
          <w:rFonts w:cs="Arial" w:ascii="Arial" w:hAnsi="Arial"/>
          <w:lang w:val="en-US"/>
        </w:rPr>
        <w:t xml:space="preserve"> new ideas that can develop and enrich their own work or in contributing to the output of this project, which will be realized by possible co-authorship of the article.</w:t>
      </w:r>
      <w:r>
        <w:rPr>
          <w:rFonts w:cs="Arial" w:ascii="Arial" w:hAnsi="Arial"/>
          <w:lang w:val="en-GB"/>
        </w:rPr>
        <w:t>We expect new collaborations</w:t>
      </w:r>
      <w:r>
        <w:rPr>
          <w:lang w:val="en-GB"/>
        </w:rPr>
        <w:t>.</w:t>
      </w:r>
    </w:p>
    <w:p>
      <w:pPr>
        <w:pStyle w:val="P68B1DB1-Normlny26"/>
        <w:rPr>
          <w:lang w:val="en-GB"/>
        </w:rPr>
      </w:pPr>
      <w:r>
        <w:rPr>
          <w:bCs/>
          <w:i w:val="false"/>
          <w:sz w:val="22"/>
          <w:szCs w:val="22"/>
          <w:lang w:val="en-GB"/>
        </w:rPr>
        <w:t>The project has no</w:t>
      </w:r>
      <w:r>
        <w:rPr>
          <w:b/>
          <w:bCs/>
          <w:i w:val="false"/>
          <w:sz w:val="22"/>
          <w:szCs w:val="22"/>
          <w:lang w:val="en-GB"/>
        </w:rPr>
        <w:t xml:space="preserve"> economic impact</w:t>
      </w:r>
      <w:r>
        <w:rPr>
          <w:i w:val="false"/>
          <w:sz w:val="22"/>
          <w:szCs w:val="22"/>
          <w:lang w:val="en-GB"/>
        </w:rPr>
        <w:t xml:space="preserve"> at present. The research direction we propose here might lead to a better mathematical models of the world we live in and processes that take place in it. That means that this impact may increase in the future.</w:t>
      </w:r>
    </w:p>
    <w:p>
      <w:pPr>
        <w:pStyle w:val="Normal"/>
        <w:spacing w:lineRule="auto" w:line="240" w:before="0" w:after="0"/>
        <w:rPr>
          <w:rFonts w:ascii="Arial" w:hAnsi="Arial" w:cs="Arial"/>
          <w:lang w:val="en-GB"/>
        </w:rPr>
      </w:pPr>
      <w:r>
        <w:rPr>
          <w:rFonts w:cs="Arial" w:ascii="Arial" w:hAnsi="Arial"/>
          <w:szCs w:val="22"/>
          <w:lang w:val="en-GB"/>
        </w:rPr>
        <w:t xml:space="preserve">This project will give the researcher an opportunity to broaden her horizon, and to integrate her research with that of other research programs. Furthermore, the project would give the researcher more opportunities to visit conferences, which would also contribute to the growth of her network, to the possibilities for new collaborations, and to her visibility within the science community. </w:t>
      </w:r>
      <w:r>
        <w:rPr>
          <w:rFonts w:cs="Arial" w:ascii="Arial" w:hAnsi="Arial"/>
          <w:i/>
          <w:szCs w:val="22"/>
          <w:lang w:val="en-GB"/>
        </w:rPr>
        <w:t xml:space="preserve"> </w:t>
      </w:r>
      <w:r>
        <w:rPr>
          <w:rFonts w:cs="Arial" w:ascii="Arial" w:hAnsi="Arial"/>
          <w:szCs w:val="22"/>
          <w:lang w:val="en-GB"/>
        </w:rPr>
        <w:t xml:space="preserve">All these aspects will have </w:t>
      </w:r>
      <w:r>
        <w:rPr>
          <w:rFonts w:cs="Arial" w:ascii="Arial" w:hAnsi="Arial"/>
          <w:lang w:val="en-GB"/>
        </w:rPr>
        <w:t xml:space="preserve">the </w:t>
      </w:r>
      <w:r>
        <w:rPr>
          <w:rFonts w:cs="Arial" w:ascii="Arial" w:hAnsi="Arial"/>
          <w:b/>
          <w:lang w:val="en-GB"/>
        </w:rPr>
        <w:t>impact on researcher´s care</w:t>
      </w:r>
      <w:r>
        <w:rPr>
          <w:rFonts w:cs="Arial" w:ascii="Arial" w:hAnsi="Arial"/>
          <w:b/>
          <w:szCs w:val="22"/>
          <w:lang w:val="en-GB"/>
        </w:rPr>
        <w:t>er</w:t>
      </w:r>
      <w:r>
        <w:rPr>
          <w:rFonts w:cs="Arial" w:ascii="Arial" w:hAnsi="Arial"/>
          <w:szCs w:val="22"/>
          <w:lang w:val="en-GB"/>
        </w:rPr>
        <w:t>.</w:t>
      </w:r>
      <w:r>
        <w:rPr>
          <w:rFonts w:cs="Arial" w:ascii="Arial" w:hAnsi="Arial"/>
          <w:i/>
          <w:szCs w:val="22"/>
          <w:lang w:val="en-GB"/>
        </w:rPr>
        <w:t xml:space="preserve"> </w:t>
      </w:r>
      <w:r>
        <w:rPr>
          <w:rFonts w:cs="Arial" w:ascii="Arial" w:hAnsi="Arial"/>
          <w:lang w:val="en-GB"/>
        </w:rPr>
        <w:t xml:space="preserve">The </w:t>
      </w:r>
      <w:r>
        <w:rPr>
          <w:rFonts w:cs="Arial" w:ascii="Arial" w:hAnsi="Arial"/>
          <w:b/>
          <w:lang w:val="en-GB"/>
        </w:rPr>
        <w:t>researcher's skills</w:t>
      </w:r>
      <w:r>
        <w:rPr>
          <w:rFonts w:cs="Arial" w:ascii="Arial" w:hAnsi="Arial"/>
          <w:lang w:val="en-GB"/>
        </w:rPr>
        <w:t xml:space="preserve"> will develop in the ability to use the concepts, methods and procedures of universal algebra in her specialization. This has a short-term significance for the fulfilment of the project's goals, as well as a long-term one for interdisciplinary communication and cooperation. Let's illustrate this with the concept of retraction, which MJ adopted for her field last year during a research stay at MI SAS. </w:t>
      </w:r>
    </w:p>
    <w:p>
      <w:pPr>
        <w:pStyle w:val="Normal"/>
        <w:spacing w:lineRule="auto" w:line="240" w:before="0" w:after="0"/>
        <w:rPr>
          <w:rFonts w:ascii="Arial" w:hAnsi="Arial" w:cs="Arial"/>
          <w:lang w:val="en-GB"/>
        </w:rPr>
      </w:pPr>
      <w:r>
        <w:rPr>
          <w:rFonts w:cs="Arial" w:ascii="Arial" w:hAnsi="Arial"/>
          <w:lang w:val="en-GB"/>
        </w:rPr>
      </w:r>
    </w:p>
    <w:p>
      <w:pPr>
        <w:pStyle w:val="Normal"/>
        <w:spacing w:lineRule="auto" w:line="240" w:before="0" w:after="0"/>
        <w:rPr>
          <w:rFonts w:ascii="Arial" w:hAnsi="Arial" w:cs="Arial"/>
          <w:lang w:val="en-US"/>
        </w:rPr>
      </w:pPr>
      <w:r>
        <w:rPr>
          <w:rFonts w:cs="Arial" w:ascii="Arial" w:hAnsi="Arial"/>
          <w:lang w:val="en-US"/>
        </w:rPr>
        <w:t>The notion of retract is important in universal algebra for many reasons, and as mentioned in section 1.1 of this project description, it is one of the key ones in this project. However, it is not used in classical algebra, so it was necessary to find out what it actually is. MJ found out that in the case of groups, retracts are those subgroups from which it is possible to obtain the original group by a direct sum with some normal subgroup of the same group, and in the case of rings, such subrings from which it is possible to obtain the original ring by a direct sum with some ideal of the same ring.</w:t>
      </w:r>
    </w:p>
    <w:p>
      <w:pPr>
        <w:pStyle w:val="P68B1DB1-paragraph22"/>
        <w:spacing w:beforeAutospacing="0" w:before="280" w:afterAutospacing="0" w:after="120"/>
        <w:jc w:val="both"/>
        <w:textAlignment w:val="baseline"/>
        <w:rPr>
          <w:lang w:val="en-GB"/>
        </w:rPr>
      </w:pPr>
      <w:r>
        <w:rPr>
          <w:b w:val="false"/>
          <w:lang w:val="en-GB"/>
        </w:rPr>
        <w:t>As we already mentioned</w:t>
      </w:r>
      <w:r>
        <w:rPr>
          <w:lang w:val="en-GB"/>
        </w:rPr>
        <w:t xml:space="preserve"> impact on the applicant/host organization </w:t>
      </w:r>
      <w:r>
        <w:rPr>
          <w:b w:val="false"/>
          <w:lang w:val="en-GB"/>
        </w:rPr>
        <w:t>will be societal. However, we expect much more that the project will enrich the research of Emília Halušková. Further, results for groups can impact the research on fuzzy mathematics at MI SAS, since MV-algebras correspond with lattice ordered groups with a strong unit.</w:t>
      </w:r>
    </w:p>
    <w:p>
      <w:pPr>
        <w:pStyle w:val="P68B1DB1-paragraph22"/>
        <w:spacing w:beforeAutospacing="0" w:before="280" w:afterAutospacing="0" w:after="120"/>
        <w:jc w:val="both"/>
        <w:textAlignment w:val="baseline"/>
        <w:rPr>
          <w:lang w:val="en-GB"/>
        </w:rPr>
      </w:pPr>
      <w:r>
        <w:rPr>
          <w:b w:val="false"/>
          <w:lang w:val="en-GB"/>
        </w:rPr>
        <w:t xml:space="preserve">There is no </w:t>
      </w:r>
      <w:r>
        <w:rPr>
          <w:lang w:val="en-GB"/>
        </w:rPr>
        <w:t>potential negative impact</w:t>
      </w:r>
      <w:r>
        <w:rPr>
          <w:b w:val="false"/>
          <w:lang w:val="en-GB"/>
        </w:rPr>
        <w:t xml:space="preserve"> of this research..</w:t>
      </w:r>
    </w:p>
    <w:p>
      <w:pPr>
        <w:pStyle w:val="P68B1DB1-paragraph22"/>
        <w:spacing w:beforeAutospacing="0" w:before="280" w:afterAutospacing="0" w:after="120"/>
        <w:textAlignment w:val="baseline"/>
        <w:rPr>
          <w:b w:val="false"/>
          <w:szCs w:val="22"/>
          <w:lang w:val="en-GB"/>
        </w:rPr>
      </w:pPr>
      <w:r>
        <w:rPr>
          <w:lang w:val="en-GB"/>
        </w:rPr>
        <w:t>Potential obstacles to the planned impact of the project</w:t>
      </w:r>
      <w:r>
        <w:rPr>
          <w:b w:val="false"/>
          <w:lang w:val="en-GB"/>
        </w:rPr>
        <w:t xml:space="preserve">: </w:t>
      </w:r>
      <w:r>
        <w:rPr>
          <w:b w:val="false"/>
          <w:szCs w:val="22"/>
          <w:lang w:val="en-GB"/>
        </w:rPr>
        <w:t xml:space="preserve">This project has no potential legislative barrier. Competition might be a potential factor that impacts this project. </w:t>
        <w:br/>
        <w:t xml:space="preserve">This applies especially to EKP and SEKP for groups. Two papers was published for the finite case: </w:t>
      </w:r>
    </w:p>
    <w:p>
      <w:pPr>
        <w:pStyle w:val="P68B1DB1-paragraph22"/>
        <w:spacing w:beforeAutospacing="0" w:before="280" w:afterAutospacing="0" w:after="120"/>
        <w:textAlignment w:val="baseline"/>
        <w:rPr>
          <w:b w:val="false"/>
        </w:rPr>
      </w:pPr>
      <w:r>
        <w:rPr>
          <w:b w:val="false"/>
          <w:i/>
          <w:iCs/>
        </w:rPr>
        <w:t>J. Fang, Z.-J. Sun</w:t>
      </w:r>
      <w:r>
        <w:rPr>
          <w:b w:val="false"/>
        </w:rPr>
        <w:t>: Finite abelian groups with the strong endomorphism kernel property. Acta Math. Sin., Engl. Ser. 36 (2020), 1076-1082.</w:t>
      </w:r>
    </w:p>
    <w:p>
      <w:pPr>
        <w:pStyle w:val="Normal"/>
        <w:rPr>
          <w:rFonts w:ascii="Arial" w:hAnsi="Arial" w:cs="Arial"/>
        </w:rPr>
      </w:pPr>
      <w:r>
        <w:rPr>
          <w:rFonts w:cs="Arial" w:ascii="Arial" w:hAnsi="Arial"/>
        </w:rPr>
        <w:t>H. Ghumashyan, J. Guričan: Endomorphism kernel property for finite groups, Math. Bohemica, vol. 147 (2022), issue 3, 347-358.</w:t>
      </w:r>
    </w:p>
    <w:p>
      <w:pPr>
        <w:pStyle w:val="P68B1DB1-paragraph22"/>
        <w:spacing w:beforeAutospacing="0" w:before="280" w:afterAutospacing="0" w:after="120"/>
        <w:jc w:val="both"/>
        <w:textAlignment w:val="baseline"/>
        <w:rPr>
          <w:b w:val="false"/>
          <w:szCs w:val="22"/>
          <w:lang w:val="en-GB"/>
        </w:rPr>
      </w:pPr>
      <w:r>
        <w:rPr>
          <w:b w:val="false"/>
          <w:szCs w:val="22"/>
          <w:lang w:val="en-GB"/>
        </w:rPr>
        <w:t>Finite groups are not solved completely. We plan start our project with this topic, concentrate on infinite groups to avoid an obstacle. Further, the cooperation with J. Guričan from Faculty of Mathematics, Physics an Informatics Comenius University in Bratislava is possible.</w:t>
      </w:r>
    </w:p>
    <w:p>
      <w:pPr>
        <w:pStyle w:val="Paragraph"/>
        <w:spacing w:beforeAutospacing="0" w:before="280" w:afterAutospacing="0" w:after="0"/>
        <w:textAlignment w:val="baseline"/>
        <w:rPr>
          <w:rFonts w:ascii="Arial" w:hAnsi="Arial" w:cs="Arial"/>
          <w:b/>
          <w:bCs/>
          <w:sz w:val="22"/>
          <w:lang w:val="en-GB"/>
        </w:rPr>
      </w:pPr>
      <w:r>
        <w:rPr>
          <w:rFonts w:cs="Arial" w:ascii="Arial" w:hAnsi="Arial"/>
          <w:b/>
          <w:bCs/>
          <w:sz w:val="22"/>
          <w:lang w:val="en-GB"/>
        </w:rPr>
        <w:t xml:space="preserve">Monitored data </w:t>
        <w:br/>
      </w:r>
      <w:r>
        <w:rPr>
          <w:rFonts w:cs="Arial" w:ascii="Arial" w:hAnsi="Arial"/>
          <w:bCs/>
          <w:sz w:val="22"/>
          <w:lang w:val="en-GB"/>
        </w:rPr>
        <w:t>The least number</w:t>
      </w:r>
      <w:r>
        <w:rPr>
          <w:rFonts w:cs="Arial" w:ascii="Arial" w:hAnsi="Arial"/>
          <w:b/>
          <w:bCs/>
          <w:sz w:val="22"/>
          <w:lang w:val="en-GB"/>
        </w:rPr>
        <w:t xml:space="preserve"> </w:t>
      </w:r>
      <w:r>
        <w:rPr>
          <w:rFonts w:cs="Arial" w:ascii="Arial" w:hAnsi="Arial"/>
          <w:bCs/>
          <w:sz w:val="22"/>
          <w:lang w:val="en-GB"/>
        </w:rPr>
        <w:t>of papers submitted to WoS/Scopus registered journals: 3</w:t>
        <w:br/>
        <w:t>The least number of presentations on international scientific conferences: 4</w:t>
        <w:br/>
        <w:t>The least number of other scientific presentations: 4</w:t>
      </w:r>
      <w:r>
        <w:rPr>
          <w:rFonts w:cs="Arial" w:ascii="Arial" w:hAnsi="Arial"/>
          <w:sz w:val="22"/>
          <w:lang w:val="en-GB"/>
        </w:rPr>
        <w:t xml:space="preserve"> </w:t>
      </w:r>
    </w:p>
    <w:p>
      <w:pPr>
        <w:pStyle w:val="Normal"/>
        <w:rPr/>
      </w:pPr>
      <w:r>
        <w:rPr/>
      </w:r>
    </w:p>
    <w:p>
      <w:pPr>
        <w:pStyle w:val="Heading3"/>
        <w:spacing w:before="40" w:after="120"/>
        <w:rPr>
          <w:rStyle w:val="Normaltextrun"/>
          <w:rFonts w:ascii="Arial" w:hAnsi="Arial" w:cs="Arial"/>
          <w:lang w:val="en-GB"/>
        </w:rPr>
      </w:pPr>
      <w:bookmarkStart w:id="13" w:name="_Toc146551747"/>
      <w:bookmarkStart w:id="14" w:name="_Toc117149275"/>
      <w:r>
        <w:rPr>
          <w:rFonts w:cs="Arial" w:ascii="Arial" w:hAnsi="Arial"/>
          <w:lang w:val="en-GB"/>
        </w:rPr>
        <w:t xml:space="preserve">2.2 MEASURES TO MAXIMISE </w:t>
      </w:r>
      <w:r>
        <w:rPr>
          <w:rStyle w:val="Normaltextrun"/>
          <w:rFonts w:cs="Arial" w:ascii="Arial" w:hAnsi="Arial"/>
          <w:lang w:val="en-GB"/>
        </w:rPr>
        <w:t>IMPACT – DISEMINATION AND COMMUNICATION</w:t>
      </w:r>
      <w:bookmarkEnd w:id="14"/>
      <w:r>
        <w:rPr>
          <w:rStyle w:val="Normaltextrun"/>
          <w:rFonts w:cs="Arial" w:ascii="Arial" w:hAnsi="Arial"/>
          <w:lang w:val="en-GB"/>
        </w:rPr>
        <w:t>, EXPLOITATION OF RESULTS</w:t>
      </w:r>
      <w:bookmarkEnd w:id="13"/>
    </w:p>
    <w:p>
      <w:pPr>
        <w:pStyle w:val="Normal"/>
        <w:rPr>
          <w:rFonts w:ascii="Arial" w:hAnsi="Arial" w:cs="Arial"/>
          <w:lang w:val="en-GB"/>
        </w:rPr>
      </w:pPr>
      <w:r>
        <w:rPr>
          <w:rFonts w:cs="Arial" w:ascii="Arial" w:hAnsi="Arial"/>
          <w:lang w:val="en-GB"/>
        </w:rPr>
        <w:t>In order to maximize impact of the project results, the outcomes of the project will be published in distinguished journals with a good accessibility. Beside this, our achievements will be presented on conferences and workshops related to the scientific field of the project such as AAA series, SSAOS.</w:t>
      </w:r>
    </w:p>
    <w:p>
      <w:pPr>
        <w:pStyle w:val="Normal"/>
        <w:rPr>
          <w:rFonts w:ascii="Arial" w:hAnsi="Arial" w:cs="Arial"/>
          <w:lang w:val="en-GB"/>
        </w:rPr>
      </w:pPr>
      <w:r>
        <w:rPr>
          <w:rFonts w:cs="Arial" w:ascii="Arial" w:hAnsi="Arial"/>
        </w:rPr>
        <w:t xml:space="preserve">Any significant result of the project  will be published immediately as preprint on arXiv, </w:t>
      </w:r>
      <w:hyperlink r:id="rId6">
        <w:r>
          <w:rPr>
            <w:rStyle w:val="Hyperlink"/>
            <w:rFonts w:cs="Arial" w:ascii="Arial" w:hAnsi="Arial"/>
          </w:rPr>
          <w:t>https://arxiv.org</w:t>
        </w:r>
      </w:hyperlink>
      <w:r>
        <w:rPr>
          <w:rFonts w:cs="Arial" w:ascii="Arial" w:hAnsi="Arial"/>
        </w:rPr>
        <w:t>. Then followed up, and validated by publications in a peer-reviewed journal. Furthermore, we will use the institute website to inform about the project.</w:t>
      </w:r>
    </w:p>
    <w:p>
      <w:pPr>
        <w:pStyle w:val="Normal"/>
        <w:spacing w:lineRule="auto" w:line="240" w:before="0" w:after="0"/>
        <w:rPr>
          <w:rFonts w:ascii="Arial" w:hAnsi="Arial" w:cs="Arial"/>
          <w:szCs w:val="22"/>
          <w:lang w:val="en-GB"/>
        </w:rPr>
      </w:pPr>
      <w:r>
        <w:rPr>
          <w:rFonts w:cs="Arial" w:ascii="Arial" w:hAnsi="Arial"/>
          <w:szCs w:val="22"/>
          <w:lang w:val="en-GB"/>
        </w:rPr>
        <w:t>Regular seminars organized by the MI SAS, or by institutes which the researcher will visit in the time of the duration of the project will help to spread results to a wider audience. The seminar of workplace MI SAS in Košice attend all scientific employees of this workplace. Therefore there is a great variability of opinions, observations, approaches and there is no interest in explaining all details of subject. The seminar Ordered algebraic structures at Faculty of Science Pavol Jozef Šafárik University in Košice is the seminar for experts in the area of universal algebra. There are detailed discussions and presentations expected. The seminar Algebra at Faculty of Mathematics, Informatics and Mechanics University of Warszaw is devoted to classical algebra and structures as rings, groups, semigroups, algebras over fields.</w:t>
      </w:r>
    </w:p>
    <w:p>
      <w:pPr>
        <w:pStyle w:val="Normal"/>
        <w:spacing w:lineRule="auto" w:line="240" w:before="0" w:after="0"/>
        <w:rPr>
          <w:rFonts w:ascii="Arial" w:hAnsi="Arial" w:cs="Arial"/>
          <w:lang w:val="en-GB"/>
        </w:rPr>
      </w:pPr>
      <w:r>
        <w:rPr>
          <w:rFonts w:cs="Arial" w:ascii="Arial" w:hAnsi="Arial"/>
          <w:lang w:val="en-GB"/>
        </w:rPr>
      </w:r>
    </w:p>
    <w:p>
      <w:pPr>
        <w:pStyle w:val="Normal"/>
        <w:rPr>
          <w:rStyle w:val="Eop"/>
          <w:rFonts w:ascii="Arial" w:hAnsi="Arial" w:cs="Arial"/>
          <w:lang w:val="en-GB"/>
        </w:rPr>
      </w:pPr>
      <w:r>
        <w:rPr>
          <w:rFonts w:cs="Arial" w:ascii="Arial" w:hAnsi="Arial"/>
          <w:lang w:val="en-GB"/>
        </w:rPr>
        <w:t>In addition to the above, ensure training for the researcher in preparing presentations and in presenting results both to the public and to the scientific community.</w:t>
      </w:r>
      <w:r>
        <w:rPr>
          <w:rStyle w:val="Eop"/>
          <w:rFonts w:cs="Arial" w:ascii="Arial" w:hAnsi="Arial"/>
          <w:lang w:val="en-GB"/>
        </w:rPr>
        <w:t xml:space="preserve"> </w:t>
      </w:r>
    </w:p>
    <w:p>
      <w:pPr>
        <w:pStyle w:val="Normal"/>
        <w:rPr>
          <w:lang w:val="en-GB"/>
        </w:rPr>
      </w:pPr>
      <w:r>
        <w:rPr>
          <w:rStyle w:val="Eop"/>
          <w:rFonts w:cs="Arial" w:ascii="Arial" w:hAnsi="Arial"/>
          <w:lang w:val="en-GB"/>
        </w:rPr>
        <w:t xml:space="preserve">Technology transfer, commercialisation of project outputs and </w:t>
      </w:r>
      <w:r>
        <w:rPr>
          <w:rStyle w:val="Normaltextrun"/>
          <w:rFonts w:cs="Arial" w:ascii="Arial" w:hAnsi="Arial"/>
          <w:lang w:val="en-GB"/>
        </w:rPr>
        <w:t xml:space="preserve"> managing intellectual property rights are irrelevant in this project.</w:t>
      </w:r>
      <w:r>
        <w:rPr>
          <w:lang w:val="en-GB"/>
        </w:rPr>
        <w:t xml:space="preserve"> </w:t>
      </w:r>
    </w:p>
    <w:p>
      <w:pPr>
        <w:pStyle w:val="Normal"/>
        <w:spacing w:lineRule="auto" w:line="240" w:before="0" w:after="0"/>
        <w:rPr>
          <w:rFonts w:ascii="Arial" w:hAnsi="Arial" w:cs="Arial"/>
          <w:szCs w:val="22"/>
          <w:lang w:val="en-GB"/>
        </w:rPr>
      </w:pPr>
      <w:r>
        <w:rPr>
          <w:rFonts w:cs="Arial" w:ascii="Arial" w:hAnsi="Arial"/>
          <w:szCs w:val="22"/>
          <w:lang w:val="en-GB"/>
        </w:rPr>
      </w:r>
    </w:p>
    <w:p>
      <w:pPr>
        <w:pStyle w:val="Paragraph"/>
        <w:spacing w:beforeAutospacing="0" w:before="0" w:afterAutospacing="0" w:after="0"/>
        <w:jc w:val="both"/>
        <w:textAlignment w:val="baseline"/>
        <w:rPr>
          <w:rStyle w:val="Normaltextrun"/>
          <w:rFonts w:ascii="Arial" w:hAnsi="Arial" w:cs="Arial"/>
          <w:i/>
          <w:i/>
          <w:sz w:val="22"/>
          <w:lang w:val="en-GB"/>
        </w:rPr>
      </w:pPr>
      <w:r>
        <w:rPr>
          <w:rStyle w:val="Normaltextrun"/>
          <w:rFonts w:cs="Arial" w:ascii="Arial" w:hAnsi="Arial"/>
          <w:i/>
          <w:sz w:val="22"/>
          <w:highlight w:val="lightGray"/>
          <w:lang w:val="en-GB"/>
        </w:rPr>
        <w:t xml:space="preserve"> </w:t>
      </w:r>
    </w:p>
    <w:p>
      <w:pPr>
        <w:pStyle w:val="Paragraph"/>
        <w:spacing w:beforeAutospacing="0" w:before="0" w:afterAutospacing="0" w:after="0"/>
        <w:ind w:left="851"/>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Paragraph"/>
        <w:spacing w:beforeAutospacing="0" w:before="0" w:afterAutospacing="0" w:after="0"/>
        <w:ind w:left="851"/>
        <w:jc w:val="both"/>
        <w:textAlignment w:val="baseline"/>
        <w:rPr>
          <w:rFonts w:ascii="Calibri" w:hAnsi="Calibri" w:cs="Calibri" w:asciiTheme="minorHAnsi" w:cstheme="minorHAnsi" w:hAnsiTheme="minorHAnsi"/>
          <w:sz w:val="22"/>
          <w:lang w:val="en-GB"/>
        </w:rPr>
      </w:pPr>
      <w:r>
        <w:rPr>
          <w:rFonts w:cs="Calibri" w:cstheme="minorHAnsi" w:ascii="Calibri" w:hAnsi="Calibri"/>
          <w:sz w:val="22"/>
          <w:lang w:val="en-GB"/>
        </w:rPr>
      </w:r>
    </w:p>
    <w:p>
      <w:pPr>
        <w:pStyle w:val="Heading2"/>
        <w:numPr>
          <w:ilvl w:val="0"/>
          <w:numId w:val="1"/>
        </w:numPr>
        <w:spacing w:before="120" w:after="120"/>
        <w:ind w:hanging="0" w:left="0"/>
        <w:rPr>
          <w:rStyle w:val="Normaltextrun"/>
          <w:rFonts w:ascii="Arial" w:hAnsi="Arial" w:cs="Arial"/>
          <w:lang w:val="en-GB"/>
        </w:rPr>
      </w:pPr>
      <w:bookmarkStart w:id="15" w:name="_Toc146551748"/>
      <w:bookmarkStart w:id="16" w:name="_Toc117149276"/>
      <w:r>
        <w:rPr>
          <w:rStyle w:val="Normaltextrun"/>
          <w:rFonts w:cs="Arial" w:ascii="Arial" w:hAnsi="Arial"/>
          <w:lang w:val="en-GB"/>
        </w:rPr>
        <w:t>Implementation</w:t>
      </w:r>
      <w:bookmarkEnd w:id="15"/>
      <w:bookmarkEnd w:id="16"/>
    </w:p>
    <w:p>
      <w:pPr>
        <w:pStyle w:val="Normal"/>
        <w:rPr>
          <w:lang w:val="en-GB"/>
        </w:rPr>
      </w:pPr>
      <w:r>
        <w:rPr>
          <w:lang w:val="en-GB"/>
        </w:rPr>
      </w:r>
    </w:p>
    <w:p>
      <w:pPr>
        <w:pStyle w:val="Normal"/>
        <w:rPr>
          <w:rFonts w:ascii="Arial" w:hAnsi="Arial" w:cs="Arial"/>
          <w:lang w:val="en-GB"/>
        </w:rPr>
      </w:pPr>
      <w:r>
        <w:rPr>
          <w:rFonts w:cs="Arial" w:ascii="Arial" w:hAnsi="Arial"/>
          <w:lang w:val="en-GB"/>
        </w:rPr>
        <w:t xml:space="preserve">We divided the implementation of the project into four work packages WP1-WP4. The activities in them are directly determined by the tasks listed below in the tables for individual work packages. Their </w:t>
      </w:r>
      <w:r>
        <w:rPr>
          <w:rFonts w:cs="Arial" w:ascii="Arial" w:hAnsi="Arial"/>
          <w:b/>
          <w:lang w:val="en-GB"/>
        </w:rPr>
        <w:t>feasibility</w:t>
      </w:r>
      <w:r>
        <w:rPr>
          <w:rFonts w:cs="Arial" w:ascii="Arial" w:hAnsi="Arial"/>
          <w:lang w:val="en-GB"/>
        </w:rPr>
        <w:t xml:space="preserve"> results from the nature of the mathematical work, the processes we use at MI SAS, experiences of the researcher and negligible implementation risks. </w:t>
      </w:r>
    </w:p>
    <w:p>
      <w:pPr>
        <w:pStyle w:val="Normal"/>
        <w:rPr>
          <w:rFonts w:ascii="Arial" w:hAnsi="Arial" w:cs="Arial"/>
          <w:lang w:val="en-GB"/>
        </w:rPr>
      </w:pPr>
      <w:r>
        <w:rPr>
          <w:rFonts w:cs="Arial" w:ascii="Arial" w:hAnsi="Arial"/>
          <w:lang w:val="en-GB"/>
        </w:rPr>
        <w:t xml:space="preserve">The </w:t>
      </w:r>
      <w:r>
        <w:rPr>
          <w:rFonts w:cs="Arial" w:ascii="Arial" w:hAnsi="Arial"/>
          <w:b/>
          <w:lang w:val="en-GB"/>
        </w:rPr>
        <w:t>quality</w:t>
      </w:r>
      <w:r>
        <w:rPr>
          <w:rFonts w:cs="Arial" w:ascii="Arial" w:hAnsi="Arial"/>
          <w:lang w:val="en-GB"/>
        </w:rPr>
        <w:t xml:space="preserve"> of the project is guaranteed by the following facts:</w:t>
      </w:r>
    </w:p>
    <w:p>
      <w:pPr>
        <w:pStyle w:val="ListParagraph"/>
        <w:numPr>
          <w:ilvl w:val="0"/>
          <w:numId w:val="7"/>
        </w:numPr>
        <w:spacing w:lineRule="auto" w:line="276" w:before="0" w:after="200"/>
        <w:contextualSpacing/>
        <w:rPr>
          <w:rFonts w:ascii="Arial" w:hAnsi="Arial" w:cs="Arial"/>
          <w:lang w:val="en-GB"/>
        </w:rPr>
      </w:pPr>
      <w:r>
        <w:rPr>
          <w:rFonts w:cs="Arial" w:ascii="Arial" w:hAnsi="Arial"/>
          <w:lang w:val="en-GB"/>
        </w:rPr>
        <w:t>the fulfilment of the project's goals is a contribution to the development of European science,</w:t>
      </w:r>
    </w:p>
    <w:p>
      <w:pPr>
        <w:pStyle w:val="ListParagraph"/>
        <w:numPr>
          <w:ilvl w:val="0"/>
          <w:numId w:val="7"/>
        </w:numPr>
        <w:spacing w:lineRule="auto" w:line="276" w:before="0" w:after="200"/>
        <w:contextualSpacing/>
        <w:rPr>
          <w:rFonts w:ascii="Arial" w:hAnsi="Arial" w:cs="Arial"/>
          <w:lang w:val="en-GB"/>
        </w:rPr>
      </w:pPr>
      <w:r>
        <w:rPr>
          <w:rFonts w:cs="Arial" w:ascii="Arial" w:hAnsi="Arial"/>
          <w:lang w:val="en-GB"/>
        </w:rPr>
        <w:t>we emphasize the public presentation of the achieved results,</w:t>
      </w:r>
    </w:p>
    <w:p>
      <w:pPr>
        <w:pStyle w:val="ListParagraph"/>
        <w:numPr>
          <w:ilvl w:val="0"/>
          <w:numId w:val="7"/>
        </w:numPr>
        <w:spacing w:lineRule="auto" w:line="276" w:before="0" w:after="200"/>
        <w:contextualSpacing/>
        <w:rPr>
          <w:rFonts w:ascii="Arial" w:hAnsi="Arial" w:cs="Arial"/>
          <w:lang w:val="en-GB"/>
        </w:rPr>
      </w:pPr>
      <w:r>
        <w:rPr>
          <w:rFonts w:cs="Arial" w:ascii="Arial" w:hAnsi="Arial"/>
          <w:lang w:val="en-GB"/>
        </w:rPr>
        <w:t>MI SAS outputs.</w:t>
      </w:r>
    </w:p>
    <w:p>
      <w:pPr>
        <w:pStyle w:val="Paragraph"/>
        <w:spacing w:beforeAutospacing="0" w:before="0" w:afterAutospacing="0" w:after="120"/>
        <w:jc w:val="both"/>
        <w:textAlignment w:val="baseline"/>
        <w:rPr>
          <w:rFonts w:ascii="Arial" w:hAnsi="Arial" w:cs="Arial"/>
          <w:sz w:val="22"/>
          <w:szCs w:val="22"/>
          <w:lang w:val="en-GB"/>
        </w:rPr>
      </w:pPr>
      <w:r>
        <w:rPr>
          <w:rFonts w:cs="Arial" w:ascii="Arial" w:hAnsi="Arial"/>
          <w:sz w:val="22"/>
          <w:szCs w:val="22"/>
          <w:lang w:val="en-GB"/>
        </w:rPr>
        <w:t xml:space="preserve"> </w:t>
      </w:r>
      <w:r>
        <w:rPr>
          <w:rFonts w:cs="Arial" w:ascii="Arial" w:hAnsi="Arial"/>
          <w:sz w:val="22"/>
          <w:szCs w:val="22"/>
          <w:lang w:val="en-GB"/>
        </w:rPr>
        <w:t xml:space="preserve">Highly focused mathematical work is required for WP1-WP3. Its </w:t>
      </w:r>
      <w:r>
        <w:rPr>
          <w:rFonts w:cs="Arial" w:ascii="Arial" w:hAnsi="Arial"/>
          <w:b/>
          <w:sz w:val="22"/>
          <w:szCs w:val="22"/>
          <w:lang w:val="en-GB"/>
        </w:rPr>
        <w:t>efficiency</w:t>
      </w:r>
      <w:r>
        <w:rPr>
          <w:rFonts w:cs="Arial" w:ascii="Arial" w:hAnsi="Arial"/>
          <w:sz w:val="22"/>
          <w:szCs w:val="22"/>
          <w:lang w:val="en-GB"/>
        </w:rPr>
        <w:t xml:space="preserve"> is guaranteed by the fact that each of these packages represents the researcher's concentration on exactly 1 topic from the project's objectives. In both the first and second packages, the key concept is the notion of endomorphism of the algebraic structure we are dealing with. In the second and third ones, we deal with the construction of the direct limit. Therefore, we assume that the transition between the packages will be smooth and in both WP2 and WP3 it will be possible to use the experience and some of the results of the work on the previous package. Another efficiency factor is that WP4 does not contain mathematical research and allows the researcher to use the time when concentrated mathematical work is not possible for the benefit of the project. Finally, the operational capacity of MI SAS is the important factor of efficiency.</w:t>
      </w:r>
    </w:p>
    <w:p>
      <w:pPr>
        <w:pStyle w:val="Paragraph"/>
        <w:spacing w:beforeAutospacing="0" w:before="0" w:afterAutospacing="0" w:after="120"/>
        <w:jc w:val="both"/>
        <w:textAlignment w:val="baseline"/>
        <w:rPr>
          <w:rFonts w:ascii="Arial" w:hAnsi="Arial" w:cs="Arial"/>
          <w:sz w:val="22"/>
          <w:highlight w:val="lightGray"/>
          <w:lang w:val="en-GB"/>
        </w:rPr>
      </w:pPr>
      <w:r>
        <w:rPr>
          <w:rFonts w:cs="Arial" w:ascii="Arial" w:hAnsi="Arial"/>
          <w:sz w:val="22"/>
          <w:highlight w:val="lightGray"/>
          <w:lang w:val="en-GB"/>
        </w:rPr>
      </w:r>
    </w:p>
    <w:p>
      <w:pPr>
        <w:pStyle w:val="P68B1DB1-Nadpis314"/>
        <w:spacing w:before="120" w:after="120"/>
        <w:rPr>
          <w:rStyle w:val="Normaltextrun"/>
          <w:lang w:val="en-GB"/>
        </w:rPr>
      </w:pPr>
      <w:bookmarkStart w:id="17" w:name="_Toc146551749"/>
      <w:bookmarkStart w:id="18" w:name="_Toc117149277"/>
      <w:r>
        <w:rPr>
          <w:lang w:val="en-GB"/>
        </w:rPr>
        <w:t xml:space="preserve">3.1 </w:t>
      </w:r>
      <w:r>
        <w:rPr>
          <w:rStyle w:val="Normaltextrun"/>
          <w:lang w:val="en-GB"/>
        </w:rPr>
        <w:t>PROJECT PLAN AND</w:t>
      </w:r>
      <w:bookmarkEnd w:id="18"/>
      <w:r>
        <w:rPr>
          <w:rStyle w:val="Normaltextrun"/>
          <w:lang w:val="en-GB"/>
        </w:rPr>
        <w:t xml:space="preserve"> DELIVERABLES</w:t>
      </w:r>
      <w:bookmarkEnd w:id="17"/>
    </w:p>
    <w:p>
      <w:pPr>
        <w:pStyle w:val="Normal"/>
        <w:spacing w:lineRule="auto" w:line="240" w:before="0" w:after="0"/>
        <w:rPr>
          <w:rFonts w:ascii="Arial" w:hAnsi="Arial" w:cs="Arial"/>
        </w:rPr>
      </w:pPr>
      <w:r>
        <w:rPr>
          <w:rFonts w:cs="Arial" w:ascii="Arial" w:hAnsi="Arial"/>
        </w:rPr>
        <w:t xml:space="preserve">The project is divided into these 4 work packages: </w:t>
      </w:r>
    </w:p>
    <w:p>
      <w:pPr>
        <w:pStyle w:val="Normal"/>
        <w:spacing w:lineRule="auto" w:line="240" w:before="0" w:after="0"/>
        <w:rPr>
          <w:rFonts w:ascii="Arial" w:hAnsi="Arial" w:cs="Arial"/>
        </w:rPr>
      </w:pPr>
      <w:r>
        <w:rPr>
          <w:rFonts w:cs="Arial" w:ascii="Arial" w:hAnsi="Arial"/>
        </w:rPr>
        <w:t>WP1 ................ EKP in rings and groups,</w:t>
      </w:r>
    </w:p>
    <w:p>
      <w:pPr>
        <w:pStyle w:val="Normal"/>
        <w:spacing w:lineRule="auto" w:line="240" w:before="0" w:after="0"/>
        <w:rPr>
          <w:rFonts w:ascii="Arial" w:hAnsi="Arial" w:cs="Arial"/>
        </w:rPr>
      </w:pPr>
      <w:r>
        <w:rPr>
          <w:rFonts w:cs="Arial" w:ascii="Arial" w:hAnsi="Arial"/>
        </w:rPr>
        <w:t>WP2 ................ Algebras with EDL,</w:t>
      </w:r>
    </w:p>
    <w:p>
      <w:pPr>
        <w:pStyle w:val="Normal"/>
        <w:spacing w:lineRule="auto" w:line="240" w:before="0" w:after="0"/>
        <w:rPr>
          <w:rFonts w:ascii="Arial" w:hAnsi="Arial" w:cs="Arial"/>
        </w:rPr>
      </w:pPr>
      <w:r>
        <w:rPr>
          <w:rFonts w:cs="Arial" w:ascii="Arial" w:hAnsi="Arial"/>
        </w:rPr>
        <w:t>WP3 ................ DL-classes,</w:t>
        <w:br/>
        <w:t>WP4 ................ Dissemination.</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lang w:val="en-GB"/>
        </w:rPr>
      </w:pPr>
      <w:r>
        <w:rPr>
          <w:rFonts w:cs="Arial" w:ascii="Arial" w:hAnsi="Arial"/>
          <w:lang w:val="en-GB"/>
        </w:rPr>
        <w:t>The first tree WPs correspond to the main directions and objectives of the project. Their content is intensive scientific work. The first one starts at the beginning of the project. They will follow immediately after each other. „DL-classes“ is the abbreviation of „direct limit closed classes“ or „classes which are closed with respect to direct limits”. We plan to stop the third package three months before the end of project. The reason is that we want to be concentrated to the tasks of the fourth work package in this time.</w:t>
      </w:r>
    </w:p>
    <w:p>
      <w:pPr>
        <w:pStyle w:val="Normal"/>
        <w:rPr>
          <w:rFonts w:ascii="Arial" w:hAnsi="Arial" w:cs="Arial"/>
        </w:rPr>
      </w:pPr>
      <w:r>
        <w:rPr>
          <w:rFonts w:cs="Arial" w:ascii="Arial" w:hAnsi="Arial"/>
          <w:lang w:val="en-GB"/>
        </w:rPr>
        <w:t>The last work package WP4 processes the results WP1-WP3. It serves for communication of project results and ongoing evaluation. We expect that first more relevant results of the project will appear in the fourth month and thus it will be possible to start fulfilling  tasks of the work package 4. It will last until the end of the project.</w:t>
      </w:r>
    </w:p>
    <w:p>
      <w:pPr>
        <w:pStyle w:val="Normal"/>
        <w:spacing w:lineRule="auto" w:line="240" w:before="0" w:after="0"/>
        <w:rPr>
          <w:rFonts w:ascii="Arial" w:hAnsi="Arial" w:cs="Arial"/>
          <w:lang w:val="en-GB"/>
        </w:rPr>
      </w:pPr>
      <w:r>
        <w:rPr>
          <w:rFonts w:cs="Arial" w:ascii="Arial" w:hAnsi="Arial"/>
          <w:lang w:val="en-GB"/>
        </w:rPr>
        <w:t>As milestones, we determined the 4 most important expected scientific results of the project:</w:t>
      </w:r>
    </w:p>
    <w:p>
      <w:pPr>
        <w:pStyle w:val="Normal"/>
        <w:rPr>
          <w:rFonts w:ascii="Arial" w:hAnsi="Arial" w:cs="Arial"/>
          <w:lang w:val="en-GB"/>
        </w:rPr>
      </w:pPr>
      <w:r>
        <w:rPr>
          <w:rFonts w:cs="Arial" w:ascii="Arial" w:hAnsi="Arial"/>
          <w:i/>
          <w:lang w:val="en-GB"/>
        </w:rPr>
        <w:t>Mil1............</w:t>
      </w:r>
      <w:r>
        <w:rPr>
          <w:rFonts w:cs="Arial" w:ascii="Arial" w:hAnsi="Arial"/>
          <w:lang w:val="en-GB"/>
        </w:rPr>
        <w:t xml:space="preserve"> New algebras with EKP or SEKP in rings and groups,</w:t>
        <w:br/>
      </w:r>
      <w:r>
        <w:rPr>
          <w:rFonts w:cs="Arial" w:ascii="Arial" w:hAnsi="Arial"/>
          <w:i/>
          <w:lang w:val="en-GB"/>
        </w:rPr>
        <w:t>Mil2............</w:t>
      </w:r>
      <w:r>
        <w:rPr>
          <w:rFonts w:cs="Arial" w:ascii="Arial" w:hAnsi="Arial"/>
          <w:lang w:val="en-GB"/>
        </w:rPr>
        <w:t xml:space="preserve"> Some rings and groups with EDL and application of them in Universal algebra,</w:t>
        <w:br/>
      </w:r>
      <w:r>
        <w:rPr>
          <w:rFonts w:cs="Arial" w:ascii="Arial" w:hAnsi="Arial"/>
          <w:i/>
          <w:lang w:val="en-GB"/>
        </w:rPr>
        <w:t>Mil3............</w:t>
      </w:r>
      <w:r>
        <w:rPr>
          <w:rFonts w:cs="Arial" w:ascii="Arial" w:hAnsi="Arial"/>
          <w:lang w:val="en-GB"/>
        </w:rPr>
        <w:t xml:space="preserve"> Overview of DL- classes of rings, groups, semigroups, modules, algebras over fields,</w:t>
        <w:br/>
      </w:r>
      <w:r>
        <w:rPr>
          <w:rFonts w:cs="Arial" w:ascii="Arial" w:hAnsi="Arial"/>
          <w:i/>
          <w:lang w:val="en-GB"/>
        </w:rPr>
        <w:t>Mil4</w:t>
      </w:r>
      <w:r>
        <w:rPr>
          <w:rFonts w:cs="Arial" w:ascii="Arial" w:hAnsi="Arial"/>
          <w:lang w:val="en-GB"/>
        </w:rPr>
        <w:t xml:space="preserve"> ........... Some properties of the lattice of DL-classes of rings.</w:t>
      </w:r>
    </w:p>
    <w:p>
      <w:pPr>
        <w:pStyle w:val="Normal"/>
        <w:spacing w:lineRule="auto" w:line="240" w:before="0" w:after="0"/>
        <w:rPr>
          <w:rFonts w:ascii="Arial" w:hAnsi="Arial" w:cs="Arial"/>
          <w:szCs w:val="22"/>
          <w:lang w:val="en-GB"/>
        </w:rPr>
      </w:pPr>
      <w:r>
        <w:rPr>
          <w:rFonts w:cs="Arial" w:ascii="Arial" w:hAnsi="Arial"/>
          <w:lang w:val="en-GB"/>
        </w:rPr>
        <w:t xml:space="preserve">The duration of the project is planned for 24 months. </w:t>
        <w:br/>
      </w:r>
      <w:r>
        <w:rPr>
          <w:rFonts w:cs="Arial" w:ascii="Arial" w:hAnsi="Arial"/>
          <w:iCs/>
          <w:szCs w:val="22"/>
          <w:lang w:val="en-GB"/>
        </w:rPr>
        <w:t>All work packages are carefully designed to consistently capture all the individual steps necessary for the research planned in this project.</w:t>
      </w:r>
      <w:r>
        <w:rPr>
          <w:rFonts w:cs="Arial" w:ascii="Arial" w:hAnsi="Arial"/>
          <w:szCs w:val="22"/>
          <w:lang w:val="en-GB"/>
        </w:rPr>
        <w:t xml:space="preserve"> Since the project belongs to the field of basic </w:t>
      </w:r>
      <w:r>
        <w:rPr>
          <w:rFonts w:cs="Arial" w:ascii="Arial" w:hAnsi="Arial"/>
          <w:lang w:val="en-GB"/>
        </w:rPr>
        <w:t xml:space="preserve">mathematical </w:t>
      </w:r>
      <w:r>
        <w:rPr>
          <w:rFonts w:cs="Arial" w:ascii="Arial" w:hAnsi="Arial"/>
          <w:szCs w:val="22"/>
          <w:lang w:val="en-GB"/>
        </w:rPr>
        <w:t xml:space="preserve">research, it is difficult to predict the exact time required to obtain specific results. However, the estimated period dedicated to solution of each work package and time to achieve milestones </w:t>
      </w:r>
      <w:r>
        <w:rPr>
          <w:rFonts w:cs="Arial" w:ascii="Arial" w:hAnsi="Arial"/>
          <w:i/>
          <w:szCs w:val="22"/>
          <w:lang w:val="en-GB"/>
        </w:rPr>
        <w:t>Mil1</w:t>
      </w:r>
      <w:r>
        <w:rPr>
          <w:rFonts w:cs="Arial" w:ascii="Arial" w:hAnsi="Arial"/>
          <w:szCs w:val="22"/>
          <w:lang w:val="en-GB"/>
        </w:rPr>
        <w:t>-</w:t>
      </w:r>
      <w:r>
        <w:rPr>
          <w:rFonts w:cs="Arial" w:ascii="Arial" w:hAnsi="Arial"/>
          <w:i/>
          <w:szCs w:val="22"/>
          <w:lang w:val="en-GB"/>
        </w:rPr>
        <w:t>Mil4</w:t>
      </w:r>
      <w:r>
        <w:rPr>
          <w:rFonts w:cs="Arial" w:ascii="Arial" w:hAnsi="Arial"/>
          <w:szCs w:val="22"/>
          <w:lang w:val="en-GB"/>
        </w:rPr>
        <w:t xml:space="preserve"> can be found in the following timetable:</w:t>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drawing>
          <wp:inline distT="0" distB="0" distL="0" distR="0">
            <wp:extent cx="6479540" cy="2568575"/>
            <wp:effectExtent l="0" t="0" r="0" b="0"/>
            <wp:docPr id="1" name="Obrázok 0" descr="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ok 0" descr="timetable.png"/>
                    <pic:cNvPicPr>
                      <a:picLocks noChangeAspect="1" noChangeArrowheads="1"/>
                    </pic:cNvPicPr>
                  </pic:nvPicPr>
                  <pic:blipFill>
                    <a:blip r:embed="rId7"/>
                    <a:stretch>
                      <a:fillRect/>
                    </a:stretch>
                  </pic:blipFill>
                  <pic:spPr bwMode="auto">
                    <a:xfrm>
                      <a:off x="0" y="0"/>
                      <a:ext cx="6479540" cy="2568575"/>
                    </a:xfrm>
                    <a:prstGeom prst="rect">
                      <a:avLst/>
                    </a:prstGeom>
                  </pic:spPr>
                </pic:pic>
              </a:graphicData>
            </a:graphic>
          </wp:inline>
        </w:drawing>
      </w:r>
    </w:p>
    <w:p>
      <w:pPr>
        <w:pStyle w:val="Normal"/>
        <w:rPr>
          <w:rFonts w:ascii="Arial" w:hAnsi="Arial" w:cs="Arial"/>
          <w:lang w:val="en-GB"/>
        </w:rPr>
      </w:pPr>
      <w:r>
        <w:rPr>
          <w:rFonts w:cs="Arial" w:ascii="Arial" w:hAnsi="Arial"/>
          <w:lang w:val="en-GB"/>
        </w:rPr>
        <w:t>We plan to use the financial resources for publishing in Open Access, traveling to conferences and meetings with experts, buying a laptop and to pay for a lecturer to train the researcher's presentation skills.</w:t>
      </w:r>
    </w:p>
    <w:p>
      <w:pPr>
        <w:pStyle w:val="P68B1DB1-Nadpis423"/>
        <w:rPr>
          <w:lang w:val="en-GB"/>
        </w:rPr>
      </w:pPr>
      <w:r>
        <w:rPr>
          <w:lang w:val="en-GB"/>
        </w:rPr>
      </w:r>
    </w:p>
    <w:p>
      <w:pPr>
        <w:pStyle w:val="P68B1DB1-Nadpis423"/>
        <w:rPr>
          <w:lang w:val="en-GB"/>
        </w:rPr>
      </w:pPr>
      <w:r>
        <w:rPr>
          <w:lang w:val="en-GB"/>
        </w:rPr>
        <w:t>3.1.1 Work packages</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rPr>
      </w:pPr>
      <w:r>
        <w:rPr>
          <w:rFonts w:cs="Calibri" w:cstheme="minorHAnsi" w:ascii="Calibri" w:hAnsi="Calibri"/>
          <w:b/>
          <w:i/>
          <w:sz w:val="22"/>
          <w:highlight w:val="lightGray"/>
        </w:rPr>
      </w:r>
    </w:p>
    <w:p>
      <w:pPr>
        <w:pStyle w:val="Paragraph"/>
        <w:spacing w:beforeAutospacing="0" w:before="0" w:afterAutospacing="0" w:after="0"/>
        <w:jc w:val="both"/>
        <w:textAlignment w:val="baseline"/>
        <w:rPr>
          <w:rFonts w:ascii="Calibri" w:hAnsi="Calibri" w:cs="Calibri" w:asciiTheme="minorHAnsi" w:cstheme="minorHAnsi" w:hAnsiTheme="minorHAnsi"/>
          <w:b/>
          <w:i/>
          <w:i/>
          <w:sz w:val="22"/>
          <w:highlight w:val="lightGray"/>
        </w:rPr>
      </w:pPr>
      <w:r>
        <w:rPr>
          <w:rFonts w:cs="Calibri" w:cstheme="minorHAnsi" w:ascii="Calibri" w:hAnsi="Calibri"/>
          <w:b/>
          <w:i/>
          <w:sz w:val="22"/>
          <w:highlight w:val="lightGray"/>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605"/>
        <w:gridCol w:w="5590"/>
      </w:tblGrid>
      <w:tr>
        <w:trPr>
          <w:trHeight w:val="289" w:hRule="atLeast"/>
        </w:trPr>
        <w:tc>
          <w:tcPr>
            <w:tcW w:w="4605"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5590" w:type="dxa"/>
            <w:tcBorders>
              <w:top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WP1</w:t>
            </w:r>
          </w:p>
        </w:tc>
      </w:tr>
      <w:tr>
        <w:trPr>
          <w:trHeight w:val="504" w:hRule="atLeast"/>
        </w:trPr>
        <w:tc>
          <w:tcPr>
            <w:tcW w:w="4605"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Title of the work package</w:t>
            </w:r>
          </w:p>
        </w:tc>
        <w:tc>
          <w:tcPr>
            <w:tcW w:w="5590" w:type="dxa"/>
            <w:tcBorders>
              <w:top w:val="single" w:sz="4" w:space="0" w:color="000000"/>
              <w:bottom w:val="single" w:sz="4" w:space="0" w:color="000000"/>
              <w:right w:val="single" w:sz="8" w:space="0" w:color="000000"/>
            </w:tcBorders>
            <w:shd w:color="auto" w:fill="FFFFFF" w:themeFill="background1" w:val="clear"/>
          </w:tcPr>
          <w:p>
            <w:pPr>
              <w:pStyle w:val="P68B1DB1-paragraph25"/>
              <w:spacing w:beforeAutospacing="0" w:before="0" w:afterAutospacing="0" w:after="0"/>
              <w:textAlignment w:val="baseline"/>
              <w:rPr>
                <w:i w:val="false"/>
                <w:i w:val="false"/>
                <w:highlight w:val="none"/>
                <w:lang w:val="en-GB"/>
              </w:rPr>
            </w:pPr>
            <w:r>
              <w:rPr>
                <w:i w:val="false"/>
                <w:highlight w:val="none"/>
                <w:lang w:val="en-GB"/>
              </w:rPr>
            </w:r>
          </w:p>
          <w:p>
            <w:pPr>
              <w:pStyle w:val="P68B1DB1-paragraph25"/>
              <w:spacing w:beforeAutospacing="0" w:before="0" w:afterAutospacing="0" w:after="0"/>
              <w:textAlignment w:val="baseline"/>
              <w:rPr>
                <w:b/>
                <w:i w:val="false"/>
                <w:i w:val="false"/>
                <w:lang w:val="en-GB"/>
              </w:rPr>
            </w:pPr>
            <w:r>
              <w:rPr>
                <w:b/>
                <w:i w:val="false"/>
                <w:highlight w:val="none"/>
                <w:lang w:val="en-GB"/>
              </w:rPr>
              <w:t>EKP</w:t>
            </w:r>
          </w:p>
        </w:tc>
      </w:tr>
      <w:tr>
        <w:trPr>
          <w:trHeight w:val="636" w:hRule="atLeast"/>
        </w:trPr>
        <w:tc>
          <w:tcPr>
            <w:tcW w:w="4605"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w:t>
            </w:r>
          </w:p>
        </w:tc>
        <w:tc>
          <w:tcPr>
            <w:tcW w:w="5590"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M1</w:t>
            </w:r>
          </w:p>
        </w:tc>
      </w:tr>
      <w:tr>
        <w:trPr>
          <w:trHeight w:val="329" w:hRule="atLeast"/>
        </w:trPr>
        <w:tc>
          <w:tcPr>
            <w:tcW w:w="4605"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End of implementation of the work package</w:t>
            </w:r>
          </w:p>
        </w:tc>
        <w:tc>
          <w:tcPr>
            <w:tcW w:w="5590"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M7</w:t>
            </w:r>
          </w:p>
        </w:tc>
      </w:tr>
      <w:tr>
        <w:trPr>
          <w:trHeight w:val="527" w:hRule="atLeast"/>
        </w:trPr>
        <w:tc>
          <w:tcPr>
            <w:tcW w:w="4605"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 (expressed in Person Months)</w:t>
            </w:r>
          </w:p>
        </w:tc>
        <w:tc>
          <w:tcPr>
            <w:tcW w:w="5590" w:type="dxa"/>
            <w:tcBorders>
              <w:bottom w:val="single" w:sz="4" w:space="0" w:color="000000"/>
              <w:right w:val="single" w:sz="8"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6,2 Person Months</w:t>
            </w:r>
          </w:p>
        </w:tc>
      </w:tr>
      <w:tr>
        <w:trPr>
          <w:trHeight w:val="359" w:hRule="atLeast"/>
        </w:trPr>
        <w:tc>
          <w:tcPr>
            <w:tcW w:w="4605"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p>
        </w:tc>
        <w:tc>
          <w:tcPr>
            <w:tcW w:w="5590" w:type="dxa"/>
            <w:tcBorders>
              <w:bottom w:val="single" w:sz="4" w:space="0" w:color="000000"/>
              <w:right w:val="single" w:sz="8" w:space="0" w:color="000000"/>
            </w:tcBorders>
            <w:shd w:color="auto" w:fill="auto" w:val="clear"/>
          </w:tcPr>
          <w:p>
            <w:pPr>
              <w:pStyle w:val="Normal"/>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br/>
              <w:t>26 306,60</w:t>
            </w:r>
          </w:p>
        </w:tc>
      </w:tr>
      <w:tr>
        <w:trPr>
          <w:trHeight w:val="648" w:hRule="atLeast"/>
        </w:trPr>
        <w:tc>
          <w:tcPr>
            <w:tcW w:w="4605"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lang w:val="en-GB"/>
              </w:rPr>
            </w:pPr>
            <w:r>
              <w:rPr>
                <w:lang w:val="en-GB"/>
              </w:rPr>
              <w:t>Other eligible costs, excluding personnel costs (in EUR excluding VAT)</w:t>
            </w:r>
          </w:p>
        </w:tc>
        <w:tc>
          <w:tcPr>
            <w:tcW w:w="5590" w:type="dxa"/>
            <w:tcBorders>
              <w:bottom w:val="single" w:sz="4" w:space="0" w:color="000000"/>
              <w:right w:val="single" w:sz="8" w:space="0" w:color="000000"/>
            </w:tcBorders>
            <w:shd w:color="auto" w:fill="auto" w:val="clear"/>
          </w:tcPr>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r>
          </w:p>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t>3 286 + 2 000 = 5 286</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pPr>
            <w:r>
              <w:rPr/>
            </w:r>
          </w:p>
          <w:p>
            <w:pPr>
              <w:pStyle w:val="P68B1DB1-Normlny24"/>
              <w:spacing w:lineRule="auto" w:line="240" w:before="0" w:after="0"/>
              <w:rPr>
                <w:color w:val="000000"/>
                <w:lang w:val="en-GB"/>
              </w:rPr>
            </w:pPr>
            <w:r>
              <w:rPr>
                <w:lang w:val="en-GB"/>
              </w:rPr>
              <w:t>Objectives</w:t>
            </w:r>
          </w:p>
        </w:tc>
      </w:tr>
      <w:tr>
        <w:trPr>
          <w:trHeight w:val="1011"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O1.1: Describe some classes of rings with EKP or SEKP.</w:t>
            </w:r>
          </w:p>
          <w:p>
            <w:pPr>
              <w:pStyle w:val="P68B1DB1-Normlny19"/>
              <w:spacing w:lineRule="auto" w:line="240" w:before="0" w:after="0"/>
              <w:rPr>
                <w:lang w:val="en-GB"/>
              </w:rPr>
            </w:pPr>
            <w:r>
              <w:rPr>
                <w:lang w:val="en-GB"/>
              </w:rPr>
              <w:t>O1.2: Describe some new classes of groups with EKP or SEKP</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spacing w:lineRule="auto" w:line="240" w:before="0" w:after="0"/>
              <w:rPr>
                <w:lang w:val="en-GB"/>
              </w:rPr>
            </w:pPr>
            <w:r>
              <w:rPr/>
            </w:r>
          </w:p>
          <w:p>
            <w:pPr>
              <w:pStyle w:val="P68B1DB1-Normlny26"/>
              <w:spacing w:lineRule="auto" w:line="240" w:before="0" w:after="0"/>
              <w:rPr>
                <w:i w:val="false"/>
                <w:i w:val="false"/>
                <w:lang w:val="en-GB"/>
              </w:rPr>
            </w:pPr>
            <w:r>
              <w:rPr>
                <w:i w:val="false"/>
                <w:lang w:val="en-GB"/>
              </w:rPr>
              <w:t xml:space="preserve">Task 1.1: </w:t>
            </w:r>
            <w:r>
              <w:rPr>
                <w:i w:val="false"/>
                <w:szCs w:val="24"/>
              </w:rPr>
              <w:t>Study of recent publications related to the topic</w:t>
            </w:r>
            <w:r>
              <w:rPr>
                <w:i w:val="false"/>
                <w:lang w:val="en-GB"/>
              </w:rPr>
              <w:t>.</w:t>
            </w:r>
          </w:p>
          <w:p>
            <w:pPr>
              <w:pStyle w:val="P68B1DB1-Normlny26"/>
              <w:spacing w:lineRule="auto" w:line="240" w:before="0" w:after="0"/>
              <w:rPr>
                <w:i w:val="false"/>
                <w:i w:val="false"/>
                <w:lang w:val="en-GB"/>
              </w:rPr>
            </w:pPr>
            <w:r>
              <w:rPr>
                <w:i w:val="false"/>
                <w:lang w:val="en-GB"/>
              </w:rPr>
              <w:t>Task 1.2: Experiment with specific algebraic structures. Create a list of rings and groups, which came out with EKP or SEKP.</w:t>
            </w:r>
          </w:p>
          <w:p>
            <w:pPr>
              <w:pStyle w:val="P68B1DB1-Normlny26"/>
              <w:spacing w:lineRule="auto" w:line="240" w:before="0" w:after="0"/>
              <w:rPr>
                <w:i w:val="false"/>
                <w:i w:val="false"/>
                <w:lang w:val="en-GB"/>
              </w:rPr>
            </w:pPr>
            <w:r>
              <w:rPr>
                <w:i w:val="false"/>
                <w:lang w:val="en-GB"/>
              </w:rPr>
              <w:t>Task 1.3: Analyze properties of structures from the list created in Task 1.2.</w:t>
              <w:br/>
              <w:t>Task 1.4: Establishing hypotheses and proving them.</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Deliverables</w:t>
            </w:r>
          </w:p>
        </w:tc>
      </w:tr>
      <w:tr>
        <w:trPr>
          <w:trHeight w:val="1332"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spacing w:lineRule="auto" w:line="240" w:before="0" w:after="0"/>
              <w:rPr>
                <w:lang w:val="en-GB"/>
              </w:rPr>
            </w:pPr>
            <w:r>
              <w:rPr/>
            </w:r>
          </w:p>
          <w:p>
            <w:pPr>
              <w:pStyle w:val="P68B1DB1-Normlny26"/>
              <w:spacing w:lineRule="auto" w:line="240" w:before="0" w:after="0"/>
              <w:rPr>
                <w:i w:val="false"/>
                <w:i w:val="false"/>
                <w:lang w:val="en-GB"/>
              </w:rPr>
            </w:pPr>
            <w:r>
              <w:rPr>
                <w:i w:val="false"/>
                <w:lang w:val="en-GB"/>
              </w:rPr>
              <w:t xml:space="preserve">D1: </w:t>
            </w:r>
            <w:r>
              <w:rPr>
                <w:b/>
                <w:i w:val="false"/>
                <w:lang w:val="en-GB"/>
              </w:rPr>
              <w:t>EKP seminar contributions</w:t>
            </w:r>
            <w:r>
              <w:rPr>
                <w:i w:val="false"/>
                <w:lang w:val="en-GB"/>
              </w:rPr>
              <w:br/>
              <w:t>At least 2 seminar contributions about obtained and expected results of this work package will be given at scientific seminars held in Košice.</w:t>
            </w:r>
          </w:p>
          <w:p>
            <w:pPr>
              <w:pStyle w:val="P68B1DB1-Normlny26"/>
              <w:spacing w:lineRule="auto" w:line="240" w:before="0" w:after="0"/>
              <w:rPr>
                <w:i w:val="false"/>
                <w:i w:val="false"/>
                <w:lang w:val="en-GB"/>
              </w:rPr>
            </w:pPr>
            <w:r>
              <w:rPr>
                <w:i w:val="false"/>
                <w:lang w:val="en-GB"/>
              </w:rPr>
            </w:r>
          </w:p>
          <w:p>
            <w:pPr>
              <w:pStyle w:val="P68B1DB1-Normlny26"/>
              <w:spacing w:lineRule="auto" w:line="240" w:before="0" w:after="0"/>
              <w:rPr>
                <w:i w:val="false"/>
                <w:i w:val="false"/>
                <w:lang w:val="en-GB"/>
              </w:rPr>
            </w:pPr>
            <w:r>
              <w:rPr>
                <w:i w:val="false"/>
                <w:lang w:val="en-GB"/>
              </w:rPr>
              <w:t>D2:</w:t>
            </w:r>
            <w:r>
              <w:rPr>
                <w:b/>
                <w:i w:val="false"/>
                <w:lang w:val="en-GB"/>
              </w:rPr>
              <w:t xml:space="preserve"> EKP paper</w:t>
            </w:r>
            <w:r>
              <w:rPr>
                <w:i w:val="false"/>
                <w:lang w:val="en-GB"/>
              </w:rPr>
              <w:br/>
              <w:t>At least one article related to the topics of EKP or SEKP of algebraic structures investigated in this work package  will be submitted for publication in a journal indexed in Elsevier/Scopus.</w:t>
            </w:r>
          </w:p>
          <w:p>
            <w:pPr>
              <w:pStyle w:val="P68B1DB1-Normlny26"/>
              <w:spacing w:lineRule="auto" w:line="240" w:before="0" w:after="0"/>
              <w:rPr>
                <w:i w:val="false"/>
                <w:i w:val="false"/>
                <w:lang w:val="en-GB"/>
              </w:rPr>
            </w:pPr>
            <w:r>
              <w:rPr>
                <w:i w:val="false"/>
                <w:lang w:val="en-GB"/>
              </w:rPr>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464"/>
        <w:gridCol w:w="5731"/>
      </w:tblGrid>
      <w:tr>
        <w:trPr>
          <w:trHeight w:val="125" w:hRule="atLeast"/>
        </w:trPr>
        <w:tc>
          <w:tcPr>
            <w:tcW w:w="4464"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5731" w:type="dxa"/>
            <w:tcBorders>
              <w:top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WP2</w:t>
            </w:r>
          </w:p>
        </w:tc>
      </w:tr>
      <w:tr>
        <w:trPr>
          <w:trHeight w:val="504"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Title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paragraph25"/>
              <w:spacing w:beforeAutospacing="0" w:before="0" w:afterAutospacing="0" w:after="0"/>
              <w:textAlignment w:val="baseline"/>
              <w:rPr>
                <w:b/>
                <w:i w:val="false"/>
                <w:i w:val="false"/>
                <w:highlight w:val="none"/>
                <w:lang w:val="en-GB"/>
              </w:rPr>
            </w:pPr>
            <w:r>
              <w:rPr>
                <w:b/>
                <w:i w:val="false"/>
                <w:highlight w:val="none"/>
                <w:lang w:val="en-GB"/>
              </w:rPr>
            </w:r>
          </w:p>
          <w:p>
            <w:pPr>
              <w:pStyle w:val="P68B1DB1-paragraph25"/>
              <w:spacing w:beforeAutospacing="0" w:before="0" w:afterAutospacing="0" w:after="0"/>
              <w:textAlignment w:val="baseline"/>
              <w:rPr>
                <w:b/>
                <w:i w:val="false"/>
                <w:i w:val="false"/>
                <w:lang w:val="en-GB"/>
              </w:rPr>
            </w:pPr>
            <w:r>
              <w:rPr>
                <w:b/>
                <w:i w:val="false"/>
                <w:highlight w:val="none"/>
                <w:lang w:val="en-GB"/>
              </w:rPr>
              <w:t>EDL</w:t>
            </w:r>
          </w:p>
        </w:tc>
      </w:tr>
      <w:tr>
        <w:trPr>
          <w:trHeight w:val="636"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 xml:space="preserve"> </w:t>
            </w:r>
            <w:r>
              <w:rPr>
                <w:lang w:val="en-GB"/>
              </w:rPr>
              <w:t>M8</w:t>
            </w:r>
          </w:p>
        </w:tc>
      </w:tr>
      <w:tr>
        <w:trPr>
          <w:trHeight w:val="329"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End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M13</w:t>
            </w:r>
          </w:p>
        </w:tc>
      </w:tr>
      <w:tr>
        <w:trPr>
          <w:trHeight w:val="527"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w:t>
            </w:r>
          </w:p>
        </w:tc>
        <w:tc>
          <w:tcPr>
            <w:tcW w:w="5731" w:type="dxa"/>
            <w:tcBorders>
              <w:bottom w:val="single" w:sz="4" w:space="0" w:color="000000"/>
              <w:right w:val="single" w:sz="8"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4,4 Person Months</w:t>
            </w:r>
          </w:p>
        </w:tc>
      </w:tr>
      <w:tr>
        <w:trPr>
          <w:trHeight w:val="359"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p>
        </w:tc>
        <w:tc>
          <w:tcPr>
            <w:tcW w:w="5731" w:type="dxa"/>
            <w:tcBorders>
              <w:bottom w:val="single" w:sz="4" w:space="0" w:color="000000"/>
              <w:right w:val="single" w:sz="8" w:space="0" w:color="000000"/>
            </w:tcBorders>
            <w:shd w:color="auto" w:fill="auto" w:val="clear"/>
          </w:tcPr>
          <w:p>
            <w:pPr>
              <w:pStyle w:val="Normal"/>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br/>
              <w:t>18 662,2</w:t>
            </w:r>
          </w:p>
        </w:tc>
      </w:tr>
      <w:tr>
        <w:trPr>
          <w:trHeight w:val="648"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t>Other eligible costs, excluding personnel costs (in EUR excluding VAT)</w:t>
            </w:r>
          </w:p>
        </w:tc>
        <w:tc>
          <w:tcPr>
            <w:tcW w:w="5731" w:type="dxa"/>
            <w:tcBorders>
              <w:bottom w:val="single" w:sz="4" w:space="0" w:color="000000"/>
              <w:right w:val="single" w:sz="8" w:space="0" w:color="000000"/>
            </w:tcBorders>
            <w:shd w:color="auto" w:fill="auto" w:val="clear"/>
          </w:tcPr>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r>
          </w:p>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t>2 332 + 2 000 = 4 332</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Objectives</w:t>
            </w:r>
          </w:p>
        </w:tc>
      </w:tr>
      <w:tr>
        <w:trPr>
          <w:trHeight w:val="905"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O2.1: Describe some classes of rings, groups with EDL.</w:t>
            </w:r>
          </w:p>
          <w:p>
            <w:pPr>
              <w:pStyle w:val="P68B1DB1-Normlny19"/>
              <w:spacing w:lineRule="auto" w:line="240" w:before="0" w:after="0"/>
              <w:rPr>
                <w:lang w:val="en-GB"/>
              </w:rPr>
            </w:pPr>
            <w:r>
              <w:rPr>
                <w:lang w:val="en-GB"/>
              </w:rPr>
              <w:t>O2.2: To solve whether the statement “If an algebra is simple, then it is with EDL” is true.</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color w:val="000000"/>
                <w:lang w:val="en-GB"/>
              </w:rPr>
            </w:pPr>
            <w:r>
              <w:rPr>
                <w:lang w:val="en-GB"/>
              </w:rPr>
              <w:t>Description of the work package</w:t>
            </w:r>
          </w:p>
        </w:tc>
      </w:tr>
      <w:tr>
        <w:trPr>
          <w:trHeight w:val="14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spacing w:lineRule="auto" w:line="240" w:before="0" w:after="0"/>
              <w:rPr>
                <w:i w:val="false"/>
                <w:i w:val="false"/>
                <w:lang w:val="en-GB"/>
              </w:rPr>
            </w:pPr>
            <w:r>
              <w:rPr>
                <w:i w:val="false"/>
                <w:lang w:val="en-GB"/>
              </w:rPr>
            </w:r>
          </w:p>
          <w:p>
            <w:pPr>
              <w:pStyle w:val="P68B1DB1-Normlny26"/>
              <w:spacing w:lineRule="auto" w:line="240" w:before="0" w:after="0"/>
              <w:rPr>
                <w:i w:val="false"/>
                <w:i w:val="false"/>
                <w:lang w:val="en-GB"/>
              </w:rPr>
            </w:pPr>
            <w:r>
              <w:rPr>
                <w:i w:val="false"/>
                <w:lang w:val="en-GB"/>
              </w:rPr>
              <w:t>Task 2.1: Do an overview of results about algebraic structures with EDL.</w:t>
            </w:r>
          </w:p>
          <w:p>
            <w:pPr>
              <w:pStyle w:val="P68B1DB1-Normlny26"/>
              <w:spacing w:lineRule="auto" w:line="240" w:before="0" w:after="0"/>
              <w:rPr>
                <w:i w:val="false"/>
                <w:i w:val="false"/>
                <w:lang w:val="en-GB"/>
              </w:rPr>
            </w:pPr>
            <w:r>
              <w:rPr>
                <w:i w:val="false"/>
                <w:lang w:val="en-GB"/>
              </w:rPr>
              <w:t>Task 2.2: Generalize obtained examples of groups and rings.</w:t>
            </w:r>
          </w:p>
          <w:p>
            <w:pPr>
              <w:pStyle w:val="P68B1DB1-Normlny26"/>
              <w:spacing w:lineRule="auto" w:line="240" w:before="0" w:after="0"/>
              <w:rPr>
                <w:i w:val="false"/>
                <w:i w:val="false"/>
                <w:lang w:val="en-GB"/>
              </w:rPr>
            </w:pPr>
            <w:r>
              <w:rPr>
                <w:i w:val="false"/>
                <w:lang w:val="en-GB"/>
              </w:rPr>
              <w:t>Task 2.3: Investigate EDL in structures defined on the set of complex numbers.</w:t>
            </w:r>
          </w:p>
          <w:p>
            <w:pPr>
              <w:pStyle w:val="P68B1DB1-Normlny26"/>
              <w:spacing w:lineRule="auto" w:line="240" w:before="0" w:after="0"/>
              <w:rPr>
                <w:color w:val="000000"/>
                <w:lang w:val="en-GB"/>
              </w:rPr>
            </w:pPr>
            <w:r>
              <w:rPr>
                <w:i w:val="false"/>
                <w:lang w:val="en-GB"/>
              </w:rPr>
              <w:t>Task 2.4: Establish conjectures about simple algebras and prove them.</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Deliverables</w:t>
            </w:r>
          </w:p>
        </w:tc>
      </w:tr>
      <w:tr>
        <w:trPr>
          <w:trHeight w:val="2113"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spacing w:lineRule="auto" w:line="240" w:before="0" w:after="0"/>
              <w:rPr>
                <w:lang w:val="en-GB"/>
              </w:rPr>
            </w:pPr>
            <w:r>
              <w:rPr/>
            </w:r>
          </w:p>
          <w:p>
            <w:pPr>
              <w:pStyle w:val="P68B1DB1-Normlny26"/>
              <w:spacing w:lineRule="auto" w:line="240" w:before="0" w:after="0"/>
              <w:rPr>
                <w:i w:val="false"/>
                <w:i w:val="false"/>
                <w:lang w:val="en-GB"/>
              </w:rPr>
            </w:pPr>
            <w:r>
              <w:rPr>
                <w:i w:val="false"/>
                <w:lang w:val="en-GB"/>
              </w:rPr>
              <w:t xml:space="preserve">D3: </w:t>
            </w:r>
            <w:r>
              <w:rPr>
                <w:b/>
                <w:i w:val="false"/>
                <w:lang w:val="en-GB"/>
              </w:rPr>
              <w:t>EDL seminar contributions</w:t>
            </w:r>
            <w:r>
              <w:rPr>
                <w:i w:val="false"/>
                <w:lang w:val="en-GB"/>
              </w:rPr>
              <w:br/>
              <w:t>At least one seminar contributions about obtained and expected results of this work package will be given at scientific seminars held in Košice.</w:t>
            </w:r>
          </w:p>
          <w:p>
            <w:pPr>
              <w:pStyle w:val="P68B1DB1-Normlny26"/>
              <w:spacing w:lineRule="auto" w:line="240" w:before="0" w:after="0"/>
              <w:rPr>
                <w:i w:val="false"/>
                <w:i w:val="false"/>
                <w:lang w:val="en-GB"/>
              </w:rPr>
            </w:pPr>
            <w:r>
              <w:rPr/>
            </w:r>
          </w:p>
          <w:p>
            <w:pPr>
              <w:pStyle w:val="P68B1DB1-Normlny26"/>
              <w:spacing w:lineRule="auto" w:line="240" w:before="0" w:after="0"/>
              <w:rPr>
                <w:i w:val="false"/>
                <w:i w:val="false"/>
                <w:lang w:val="en-GB"/>
              </w:rPr>
            </w:pPr>
            <w:r>
              <w:rPr>
                <w:i w:val="false"/>
                <w:lang w:val="en-GB"/>
              </w:rPr>
              <w:t xml:space="preserve">D4: </w:t>
            </w:r>
            <w:r>
              <w:rPr>
                <w:b/>
                <w:i w:val="false"/>
                <w:lang w:val="en-GB"/>
              </w:rPr>
              <w:t>EDL paper</w:t>
            </w:r>
            <w:r>
              <w:rPr>
                <w:i w:val="false"/>
                <w:lang w:val="en-GB"/>
              </w:rPr>
              <w:br/>
              <w:t>At least one article related to the topic of algebras with easy direct will be submitted for publication in a journal indexed in Elsevier/Scopus.</w:t>
            </w:r>
          </w:p>
          <w:p>
            <w:pPr>
              <w:pStyle w:val="P68B1DB1-Normlny26"/>
              <w:spacing w:lineRule="auto" w:line="240" w:before="0" w:after="0"/>
              <w:rPr>
                <w:i w:val="false"/>
                <w:i w:val="false"/>
                <w:lang w:val="en-GB"/>
              </w:rPr>
            </w:pPr>
            <w:r>
              <w:rPr>
                <w:i w:val="false"/>
                <w:lang w:val="en-GB"/>
              </w:rPr>
            </w:r>
          </w:p>
          <w:p>
            <w:pPr>
              <w:pStyle w:val="P68B1DB1-Normlny26"/>
              <w:spacing w:lineRule="auto" w:line="240" w:before="0" w:after="0"/>
              <w:rPr>
                <w:i w:val="false"/>
                <w:i w:val="false"/>
                <w:lang w:val="en-GB"/>
              </w:rPr>
            </w:pPr>
            <w:r>
              <w:rPr>
                <w:i w:val="false"/>
                <w:lang w:val="en-GB"/>
              </w:rPr>
            </w:r>
          </w:p>
        </w:tc>
      </w:tr>
    </w:tbl>
    <w:p>
      <w:pPr>
        <w:pStyle w:val="P68B1DB1-Nadpis423"/>
        <w:rPr/>
      </w:pPr>
      <w:r>
        <w:rPr/>
      </w:r>
    </w:p>
    <w:p>
      <w:pPr>
        <w:pStyle w:val="P68B1DB1-paragraph21"/>
        <w:spacing w:beforeAutospacing="0" w:before="0" w:afterAutospacing="0" w:after="0"/>
        <w:jc w:val="both"/>
        <w:textAlignment w:val="baseline"/>
        <w:rPr>
          <w:lang w:val="en-GB"/>
        </w:rPr>
      </w:pPr>
      <w:r>
        <w:rPr>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464"/>
        <w:gridCol w:w="5731"/>
      </w:tblGrid>
      <w:tr>
        <w:trPr>
          <w:trHeight w:val="125" w:hRule="atLeast"/>
        </w:trPr>
        <w:tc>
          <w:tcPr>
            <w:tcW w:w="4464"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5731" w:type="dxa"/>
            <w:tcBorders>
              <w:top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WP3</w:t>
            </w:r>
          </w:p>
        </w:tc>
      </w:tr>
      <w:tr>
        <w:trPr>
          <w:trHeight w:val="504"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Title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paragraph25"/>
              <w:spacing w:beforeAutospacing="0" w:before="0" w:afterAutospacing="0" w:after="0"/>
              <w:textAlignment w:val="baseline"/>
              <w:rPr>
                <w:i w:val="false"/>
                <w:i w:val="false"/>
                <w:highlight w:val="none"/>
                <w:lang w:val="en-GB"/>
              </w:rPr>
            </w:pPr>
            <w:r>
              <w:rPr/>
            </w:r>
          </w:p>
          <w:p>
            <w:pPr>
              <w:pStyle w:val="P68B1DB1-paragraph25"/>
              <w:spacing w:beforeAutospacing="0" w:before="0" w:afterAutospacing="0" w:after="0"/>
              <w:textAlignment w:val="baseline"/>
              <w:rPr>
                <w:b/>
                <w:i w:val="false"/>
                <w:i w:val="false"/>
                <w:lang w:val="en-GB"/>
              </w:rPr>
            </w:pPr>
            <w:r>
              <w:rPr>
                <w:b/>
                <w:i w:val="false"/>
                <w:highlight w:val="none"/>
                <w:lang w:val="en-GB"/>
              </w:rPr>
              <w:t>DL-classes</w:t>
            </w:r>
          </w:p>
        </w:tc>
      </w:tr>
      <w:tr>
        <w:trPr>
          <w:trHeight w:val="698"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M14</w:t>
            </w:r>
          </w:p>
        </w:tc>
      </w:tr>
      <w:tr>
        <w:trPr>
          <w:trHeight w:val="329"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End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M21</w:t>
            </w:r>
          </w:p>
        </w:tc>
      </w:tr>
      <w:tr>
        <w:trPr>
          <w:trHeight w:val="527"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w:t>
            </w:r>
          </w:p>
        </w:tc>
        <w:tc>
          <w:tcPr>
            <w:tcW w:w="5731" w:type="dxa"/>
            <w:tcBorders>
              <w:bottom w:val="single" w:sz="4" w:space="0" w:color="000000"/>
              <w:right w:val="single" w:sz="8"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5,9 Person Months</w:t>
            </w:r>
          </w:p>
        </w:tc>
      </w:tr>
      <w:tr>
        <w:trPr>
          <w:trHeight w:val="359"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p>
        </w:tc>
        <w:tc>
          <w:tcPr>
            <w:tcW w:w="5731" w:type="dxa"/>
            <w:tcBorders>
              <w:bottom w:val="single" w:sz="4" w:space="0" w:color="000000"/>
              <w:right w:val="single" w:sz="8" w:space="0" w:color="000000"/>
            </w:tcBorders>
            <w:shd w:color="auto" w:fill="auto" w:val="clear"/>
          </w:tcPr>
          <w:p>
            <w:pPr>
              <w:pStyle w:val="Normal"/>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br/>
              <w:t>25 033,70</w:t>
            </w:r>
          </w:p>
        </w:tc>
      </w:tr>
      <w:tr>
        <w:trPr>
          <w:trHeight w:val="648"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t>Other eligible costs, excluding personnel costs (in EUR excluding VAT)</w:t>
            </w:r>
          </w:p>
        </w:tc>
        <w:tc>
          <w:tcPr>
            <w:tcW w:w="5731" w:type="dxa"/>
            <w:tcBorders>
              <w:bottom w:val="single" w:sz="4" w:space="0" w:color="000000"/>
              <w:right w:val="single" w:sz="8" w:space="0" w:color="000000"/>
            </w:tcBorders>
            <w:shd w:color="auto" w:fill="auto" w:val="clear"/>
          </w:tcPr>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br/>
              <w:t>3127 + 2 000 = 5 127</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Objectives</w:t>
            </w:r>
          </w:p>
        </w:tc>
      </w:tr>
      <w:tr>
        <w:trPr>
          <w:trHeight w:val="1248"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US"/>
              </w:rPr>
            </w:pPr>
            <w:r>
              <w:rPr>
                <w:lang w:val="en-GB"/>
              </w:rPr>
              <w:t xml:space="preserve">O3.1: An overview of known </w:t>
            </w:r>
            <w:r>
              <w:rPr>
                <w:lang w:val="en-US"/>
              </w:rPr>
              <w:t>classes of rings, groups, semigroups, modules, algebras over fields closed with respect to direct limits.</w:t>
            </w:r>
          </w:p>
          <w:p>
            <w:pPr>
              <w:pStyle w:val="P68B1DB1-Normlny19"/>
              <w:spacing w:lineRule="auto" w:line="240" w:before="0" w:after="0"/>
              <w:rPr>
                <w:lang w:val="en-US"/>
              </w:rPr>
            </w:pPr>
            <w:r>
              <w:rPr>
                <w:lang w:val="en-US"/>
              </w:rPr>
              <w:t xml:space="preserve">O3.2: </w:t>
            </w:r>
            <w:r>
              <w:rPr>
                <w:lang w:val="en-GB"/>
              </w:rPr>
              <w:t xml:space="preserve">Study the </w:t>
            </w:r>
            <w:r>
              <w:rPr>
                <w:lang w:val="en-US"/>
              </w:rPr>
              <w:t>lattice of classes of rings closed with respect to direct limits.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Description of the work package</w:t>
            </w:r>
          </w:p>
        </w:tc>
      </w:tr>
      <w:tr>
        <w:trPr>
          <w:trHeight w:val="1967"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26"/>
              <w:spacing w:lineRule="auto" w:line="240" w:before="0" w:after="0"/>
              <w:rPr>
                <w:lang w:val="en-GB"/>
              </w:rPr>
            </w:pPr>
            <w:r>
              <w:rPr/>
            </w:r>
          </w:p>
          <w:p>
            <w:pPr>
              <w:pStyle w:val="P68B1DB1-Normlny26"/>
              <w:spacing w:lineRule="auto" w:line="240" w:before="0" w:after="0"/>
              <w:rPr>
                <w:i w:val="false"/>
                <w:i w:val="false"/>
                <w:lang w:val="en-GB"/>
              </w:rPr>
            </w:pPr>
            <w:r>
              <w:rPr>
                <w:i w:val="false"/>
                <w:lang w:val="en-GB"/>
              </w:rPr>
              <w:t xml:space="preserve">Task 3.1: </w:t>
            </w:r>
            <w:r>
              <w:rPr>
                <w:i w:val="false"/>
                <w:szCs w:val="24"/>
              </w:rPr>
              <w:t>Study of publications related to the topic.</w:t>
            </w:r>
          </w:p>
          <w:p>
            <w:pPr>
              <w:pStyle w:val="P68B1DB1-Normlny26"/>
              <w:spacing w:lineRule="auto" w:line="240" w:before="0" w:after="0"/>
              <w:rPr>
                <w:i w:val="false"/>
                <w:i w:val="false"/>
                <w:lang w:val="en-GB"/>
              </w:rPr>
            </w:pPr>
            <w:r>
              <w:rPr>
                <w:i w:val="false"/>
                <w:lang w:val="en-GB"/>
              </w:rPr>
              <w:t xml:space="preserve">Task 3.2: Prepare a list of classes </w:t>
            </w:r>
            <w:r>
              <w:rPr>
                <w:i w:val="false"/>
                <w:lang w:val="en-US"/>
              </w:rPr>
              <w:t>closed with respect to direct limits from relevant publications studied in Task 3.1.</w:t>
            </w:r>
          </w:p>
          <w:p>
            <w:pPr>
              <w:pStyle w:val="P68B1DB1-Normlny26"/>
              <w:spacing w:lineRule="auto" w:line="240" w:before="0" w:after="0"/>
              <w:rPr>
                <w:i w:val="false"/>
                <w:i w:val="false"/>
                <w:lang w:val="en-GB"/>
              </w:rPr>
            </w:pPr>
            <w:r>
              <w:rPr>
                <w:i w:val="false"/>
                <w:lang w:val="en-GB"/>
              </w:rPr>
              <w:t>Task 3.3: Detect which of classes fom Task 3.2 are axiomatic.</w:t>
            </w:r>
          </w:p>
          <w:p>
            <w:pPr>
              <w:pStyle w:val="P68B1DB1-Normlny26"/>
              <w:spacing w:lineRule="auto" w:line="240" w:before="0" w:after="0"/>
              <w:rPr>
                <w:i w:val="false"/>
                <w:i w:val="false"/>
                <w:lang w:val="en-US"/>
              </w:rPr>
            </w:pPr>
            <w:r>
              <w:rPr>
                <w:i w:val="false"/>
                <w:lang w:val="en-GB"/>
              </w:rPr>
              <w:t xml:space="preserve">Task 3.4: Detect if axiomatic classes from Task 3.3 are equivalent to the known formula for classes </w:t>
            </w:r>
            <w:r>
              <w:rPr>
                <w:i w:val="false"/>
                <w:lang w:val="en-US"/>
              </w:rPr>
              <w:t>closed with respect to direct limits</w:t>
            </w:r>
          </w:p>
          <w:p>
            <w:pPr>
              <w:pStyle w:val="P68B1DB1-Normlny26"/>
              <w:spacing w:lineRule="auto" w:line="240" w:before="0" w:after="0"/>
              <w:rPr>
                <w:color w:val="000000"/>
                <w:lang w:val="en-GB"/>
              </w:rPr>
            </w:pPr>
            <w:r>
              <w:rPr>
                <w:i w:val="false"/>
                <w:lang w:val="en-US"/>
              </w:rPr>
              <w:t xml:space="preserve">Task 3.4: Find some properties of </w:t>
            </w:r>
            <w:r>
              <w:rPr>
                <w:lang w:val="en-GB"/>
              </w:rPr>
              <w:t xml:space="preserve">the </w:t>
            </w:r>
            <w:r>
              <w:rPr>
                <w:lang w:val="en-US"/>
              </w:rPr>
              <w:t>lattice of classes of rings closed with respect to direct limits.</w:t>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Deliverables</w:t>
            </w:r>
          </w:p>
        </w:tc>
      </w:tr>
      <w:tr>
        <w:trPr>
          <w:trHeight w:val="70"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spacing w:lineRule="auto" w:line="240" w:before="0" w:after="0"/>
              <w:rPr>
                <w:lang w:val="en-GB"/>
              </w:rPr>
            </w:pPr>
            <w:r>
              <w:rPr/>
            </w:r>
          </w:p>
          <w:p>
            <w:pPr>
              <w:pStyle w:val="P68B1DB1-Normlny26"/>
              <w:spacing w:lineRule="auto" w:line="240" w:before="0" w:after="0"/>
              <w:rPr>
                <w:i w:val="false"/>
                <w:i w:val="false"/>
                <w:lang w:val="en-GB"/>
              </w:rPr>
            </w:pPr>
            <w:r>
              <w:rPr>
                <w:i w:val="false"/>
                <w:lang w:val="en-GB"/>
              </w:rPr>
              <w:t xml:space="preserve">D5: </w:t>
            </w:r>
            <w:r>
              <w:rPr>
                <w:b/>
                <w:i w:val="false"/>
                <w:lang w:val="en-GB"/>
              </w:rPr>
              <w:t>Presentations about DL-classes</w:t>
            </w:r>
            <w:r>
              <w:rPr>
                <w:i w:val="false"/>
                <w:lang w:val="en-GB"/>
              </w:rPr>
              <w:br/>
              <w:t>At least 2 seminar contributions about obtained and expected results of this work package will be given at scientific seminars held in Košice.</w:t>
            </w:r>
          </w:p>
          <w:p>
            <w:pPr>
              <w:pStyle w:val="P68B1DB1-Normlny26"/>
              <w:spacing w:lineRule="auto" w:line="240" w:before="0" w:after="0"/>
              <w:rPr>
                <w:i w:val="false"/>
                <w:i w:val="false"/>
                <w:lang w:val="en-GB"/>
              </w:rPr>
            </w:pPr>
            <w:r>
              <w:rPr>
                <w:i w:val="false"/>
                <w:lang w:val="en-GB"/>
              </w:rPr>
            </w:r>
          </w:p>
          <w:p>
            <w:pPr>
              <w:pStyle w:val="P68B1DB1-Normlny26"/>
              <w:spacing w:lineRule="auto" w:line="240" w:before="0" w:after="0"/>
              <w:rPr>
                <w:i w:val="false"/>
                <w:i w:val="false"/>
                <w:lang w:val="en-GB"/>
              </w:rPr>
            </w:pPr>
            <w:r>
              <w:rPr>
                <w:i w:val="false"/>
                <w:lang w:val="en-GB"/>
              </w:rPr>
              <w:t xml:space="preserve">D6: </w:t>
            </w:r>
            <w:r>
              <w:rPr>
                <w:b/>
                <w:i w:val="false"/>
                <w:lang w:val="en-GB"/>
              </w:rPr>
              <w:t>Paper on DL-classes</w:t>
            </w:r>
            <w:r>
              <w:rPr>
                <w:i w:val="false"/>
                <w:lang w:val="en-GB"/>
              </w:rPr>
              <w:br/>
              <w:t>At least one article related to the direct limit closed classes of will be submitted for publication in a journal indexed in Elsevier/Scopus.</w:t>
            </w:r>
          </w:p>
          <w:p>
            <w:pPr>
              <w:pStyle w:val="P68B1DB1-Normlny26"/>
              <w:spacing w:lineRule="auto" w:line="240" w:before="0" w:after="0"/>
              <w:rPr>
                <w:i w:val="false"/>
                <w:i w:val="false"/>
                <w:lang w:val="en-GB"/>
              </w:rPr>
            </w:pPr>
            <w:r>
              <w:rPr>
                <w:i w:val="false"/>
                <w:lang w:val="en-GB"/>
              </w:rPr>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tbl>
      <w:tblPr>
        <w:tblW w:w="10196" w:type="dxa"/>
        <w:jc w:val="left"/>
        <w:tblInd w:w="0" w:type="dxa"/>
        <w:tblLayout w:type="fixed"/>
        <w:tblCellMar>
          <w:top w:w="0" w:type="dxa"/>
          <w:left w:w="70" w:type="dxa"/>
          <w:bottom w:w="0" w:type="dxa"/>
          <w:right w:w="70" w:type="dxa"/>
        </w:tblCellMar>
        <w:tblLook w:val="04a0" w:noVBand="1" w:noHBand="0" w:lastColumn="0" w:firstColumn="1" w:lastRow="0" w:firstRow="1"/>
      </w:tblPr>
      <w:tblGrid>
        <w:gridCol w:w="4464"/>
        <w:gridCol w:w="5731"/>
      </w:tblGrid>
      <w:tr>
        <w:trPr>
          <w:trHeight w:val="125" w:hRule="atLeast"/>
        </w:trPr>
        <w:tc>
          <w:tcPr>
            <w:tcW w:w="4464" w:type="dxa"/>
            <w:tcBorders>
              <w:top w:val="single" w:sz="8" w:space="0" w:color="000000"/>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5731" w:type="dxa"/>
            <w:tcBorders>
              <w:top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WP4</w:t>
            </w:r>
          </w:p>
        </w:tc>
      </w:tr>
      <w:tr>
        <w:trPr>
          <w:trHeight w:val="504"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Title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paragraph25"/>
              <w:spacing w:beforeAutospacing="0" w:before="0" w:afterAutospacing="0" w:after="0"/>
              <w:textAlignment w:val="baseline"/>
              <w:rPr>
                <w:b/>
                <w:i w:val="false"/>
                <w:i w:val="false"/>
                <w:highlight w:val="none"/>
                <w:lang w:val="en-GB"/>
              </w:rPr>
            </w:pPr>
            <w:r>
              <w:rPr>
                <w:b/>
                <w:i w:val="false"/>
                <w:highlight w:val="none"/>
                <w:lang w:val="en-GB"/>
              </w:rPr>
            </w:r>
          </w:p>
          <w:p>
            <w:pPr>
              <w:pStyle w:val="P68B1DB1-paragraph25"/>
              <w:spacing w:beforeAutospacing="0" w:before="0" w:afterAutospacing="0" w:after="0"/>
              <w:textAlignment w:val="baseline"/>
              <w:rPr>
                <w:b/>
                <w:i w:val="false"/>
                <w:i w:val="false"/>
                <w:lang w:val="en-GB"/>
              </w:rPr>
            </w:pPr>
            <w:r>
              <w:rPr>
                <w:b/>
                <w:i w:val="false"/>
                <w:highlight w:val="none"/>
                <w:lang w:val="en-GB"/>
              </w:rPr>
              <w:t>Dissemination</w:t>
            </w:r>
          </w:p>
        </w:tc>
      </w:tr>
      <w:tr>
        <w:trPr>
          <w:trHeight w:val="636"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b/>
                <w:color w:themeColor="text1" w:val="000000"/>
                <w:sz w:val="20"/>
                <w:lang w:val="en-GB"/>
              </w:rPr>
              <w:t>Start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M4</w:t>
            </w:r>
          </w:p>
        </w:tc>
      </w:tr>
      <w:tr>
        <w:trPr>
          <w:trHeight w:val="329"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End of implementation of the work package</w:t>
            </w:r>
          </w:p>
        </w:tc>
        <w:tc>
          <w:tcPr>
            <w:tcW w:w="5731" w:type="dxa"/>
            <w:tcBorders>
              <w:top w:val="single" w:sz="4"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t> </w:t>
            </w:r>
            <w:r>
              <w:rPr>
                <w:lang w:val="en-GB"/>
              </w:rPr>
              <w:t>M24</w:t>
            </w:r>
          </w:p>
        </w:tc>
      </w:tr>
      <w:tr>
        <w:trPr>
          <w:trHeight w:val="527"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val="000000"/>
                <w:sz w:val="20"/>
                <w:highlight w:val="yellow"/>
                <w:lang w:val="en-GB"/>
              </w:rPr>
            </w:pPr>
            <w:r>
              <w:rPr>
                <w:rFonts w:eastAsia="Times New Roman" w:cs="Arial" w:ascii="Arial" w:hAnsi="Arial"/>
                <w:b/>
                <w:color w:themeColor="text1" w:val="000000"/>
                <w:sz w:val="20"/>
                <w:lang w:val="en-GB"/>
              </w:rPr>
              <w:t>Involvement</w:t>
            </w:r>
          </w:p>
        </w:tc>
        <w:tc>
          <w:tcPr>
            <w:tcW w:w="5731" w:type="dxa"/>
            <w:tcBorders>
              <w:bottom w:val="single" w:sz="4" w:space="0" w:color="000000"/>
              <w:right w:val="single" w:sz="8"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7,5 Person Months</w:t>
            </w:r>
          </w:p>
        </w:tc>
      </w:tr>
      <w:tr>
        <w:trPr>
          <w:trHeight w:val="359" w:hRule="atLeast"/>
        </w:trPr>
        <w:tc>
          <w:tcPr>
            <w:tcW w:w="4464" w:type="dxa"/>
            <w:tcBorders>
              <w:left w:val="single" w:sz="8" w:space="0" w:color="000000"/>
              <w:bottom w:val="single" w:sz="4" w:space="0" w:color="000000"/>
              <w:right w:val="single" w:sz="4" w:space="0" w:color="000000"/>
            </w:tcBorders>
            <w:shd w:color="auto" w:fill="auto" w:val="clear"/>
          </w:tcPr>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r>
          </w:p>
          <w:p>
            <w:pPr>
              <w:pStyle w:val="Normal"/>
              <w:spacing w:lineRule="auto" w:line="240" w:before="0" w:after="0"/>
              <w:rPr>
                <w:rFonts w:ascii="Arial" w:hAnsi="Arial" w:eastAsia="Times New Roman" w:cs="Arial"/>
                <w:b/>
                <w:color w:themeColor="text1" w:val="000000"/>
                <w:sz w:val="20"/>
                <w:lang w:val="en-GB"/>
              </w:rPr>
            </w:pPr>
            <w:r>
              <w:rPr>
                <w:rFonts w:eastAsia="Times New Roman" w:cs="Arial" w:ascii="Arial" w:hAnsi="Arial"/>
                <w:b/>
                <w:color w:themeColor="text1" w:val="000000"/>
                <w:sz w:val="20"/>
                <w:lang w:val="en-GB"/>
              </w:rPr>
              <w:t>Personnel costs (in EUR)</w:t>
            </w:r>
          </w:p>
        </w:tc>
        <w:tc>
          <w:tcPr>
            <w:tcW w:w="5731" w:type="dxa"/>
            <w:tcBorders>
              <w:bottom w:val="single" w:sz="4" w:space="0" w:color="000000"/>
              <w:right w:val="single" w:sz="8" w:space="0" w:color="000000"/>
            </w:tcBorders>
            <w:shd w:color="auto" w:fill="auto" w:val="clear"/>
          </w:tcPr>
          <w:p>
            <w:pPr>
              <w:pStyle w:val="Normal"/>
              <w:spacing w:lineRule="auto" w:line="240" w:before="0" w:after="160"/>
              <w:rPr>
                <w:rFonts w:ascii="Arial" w:hAnsi="Arial" w:eastAsia="Times New Roman" w:cs="Arial"/>
                <w:color w:themeColor="text1" w:val="000000"/>
                <w:sz w:val="20"/>
                <w:lang w:val="en-GB"/>
              </w:rPr>
            </w:pPr>
            <w:r>
              <w:rPr>
                <w:rFonts w:eastAsia="Times New Roman" w:cs="Arial" w:ascii="Arial" w:hAnsi="Arial"/>
                <w:color w:themeColor="text1" w:val="000000"/>
                <w:sz w:val="20"/>
                <w:lang w:val="en-GB"/>
              </w:rPr>
              <w:br/>
              <w:t>31 822,50</w:t>
            </w:r>
          </w:p>
        </w:tc>
      </w:tr>
      <w:tr>
        <w:trPr>
          <w:trHeight w:val="648" w:hRule="atLeast"/>
        </w:trPr>
        <w:tc>
          <w:tcPr>
            <w:tcW w:w="4464" w:type="dxa"/>
            <w:tcBorders>
              <w:left w:val="single" w:sz="8"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t>Other eligible costs, excluding personnel costs (in EUR excluding VAT)</w:t>
            </w:r>
          </w:p>
        </w:tc>
        <w:tc>
          <w:tcPr>
            <w:tcW w:w="5731" w:type="dxa"/>
            <w:tcBorders>
              <w:bottom w:val="single" w:sz="4" w:space="0" w:color="000000"/>
              <w:right w:val="single" w:sz="8" w:space="0" w:color="000000"/>
            </w:tcBorders>
            <w:shd w:color="auto" w:fill="auto" w:val="clear"/>
          </w:tcPr>
          <w:p>
            <w:pPr>
              <w:pStyle w:val="Normal"/>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br/>
              <w:t>3 975 +15 000 = 18 975</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Objectives</w:t>
            </w:r>
          </w:p>
        </w:tc>
      </w:tr>
      <w:tr>
        <w:trPr>
          <w:trHeight w:val="945"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pPr>
            <w:r>
              <w:rPr>
                <w:lang w:val="en-GB"/>
              </w:rPr>
              <w:t xml:space="preserve">O4.1: </w:t>
            </w:r>
            <w:r>
              <w:rPr/>
              <w:t>Summarize results obtained in the project and their significance for the theoretical study and applications.</w:t>
            </w:r>
          </w:p>
          <w:p>
            <w:pPr>
              <w:pStyle w:val="P68B1DB1-Normlny19"/>
              <w:spacing w:lineRule="auto" w:line="240" w:before="0" w:after="0"/>
              <w:rPr>
                <w:b/>
                <w:lang w:val="en-GB"/>
              </w:rPr>
            </w:pPr>
            <w:r>
              <w:rPr/>
              <w:t>O4.2: Presentations of results on international scientific events</w:t>
            </w:r>
          </w:p>
        </w:tc>
      </w:tr>
      <w:tr>
        <w:trPr>
          <w:trHeight w:val="372"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Description of the work package</w:t>
            </w:r>
          </w:p>
        </w:tc>
      </w:tr>
      <w:tr>
        <w:trPr>
          <w:trHeight w:val="1716"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pPr>
            <w:r>
              <w:rPr>
                <w:lang w:val="en-GB"/>
              </w:rPr>
              <w:t>Task 4.1:</w:t>
            </w:r>
            <w:r>
              <w:rPr>
                <w:i/>
                <w:lang w:val="en-GB"/>
              </w:rPr>
              <w:t xml:space="preserve"> </w:t>
            </w:r>
            <w:r>
              <w:rPr/>
              <w:t>Summarize EKP results obtained in WP1 and their significance for the theoretical study and applications.</w:t>
            </w:r>
          </w:p>
          <w:p>
            <w:pPr>
              <w:pStyle w:val="P68B1DB1-Normlny26"/>
              <w:spacing w:lineRule="auto" w:line="240" w:before="0" w:after="0"/>
              <w:rPr>
                <w:i w:val="false"/>
                <w:i w:val="false"/>
                <w:lang w:val="en-GB"/>
              </w:rPr>
            </w:pPr>
            <w:r>
              <w:rPr>
                <w:i w:val="false"/>
              </w:rPr>
              <w:t>Task 4.2: Presentation of EKP results on an international scientific event.</w:t>
            </w:r>
          </w:p>
          <w:p>
            <w:pPr>
              <w:pStyle w:val="P68B1DB1-Normlny19"/>
              <w:spacing w:lineRule="auto" w:line="240" w:before="0" w:after="0"/>
              <w:rPr/>
            </w:pPr>
            <w:r>
              <w:rPr>
                <w:lang w:val="en-GB"/>
              </w:rPr>
              <w:t>Task 4.3:</w:t>
            </w:r>
            <w:r>
              <w:rPr>
                <w:i/>
                <w:lang w:val="en-GB"/>
              </w:rPr>
              <w:t xml:space="preserve"> </w:t>
            </w:r>
            <w:r>
              <w:rPr/>
              <w:t>Summarize EDL results obtained in WP2 and their significance for the theoretical study and applications.</w:t>
            </w:r>
          </w:p>
          <w:p>
            <w:pPr>
              <w:pStyle w:val="P68B1DB1-Normlny26"/>
              <w:spacing w:lineRule="auto" w:line="240" w:before="0" w:after="0"/>
              <w:rPr>
                <w:i w:val="false"/>
                <w:i w:val="false"/>
              </w:rPr>
            </w:pPr>
            <w:r>
              <w:rPr>
                <w:i w:val="false"/>
              </w:rPr>
              <w:t>Task 4.4: Presentation of EDL results on an international scientific event.</w:t>
            </w:r>
          </w:p>
          <w:p>
            <w:pPr>
              <w:pStyle w:val="P68B1DB1-Normlny19"/>
              <w:spacing w:lineRule="auto" w:line="240" w:before="0" w:after="0"/>
              <w:rPr/>
            </w:pPr>
            <w:r>
              <w:rPr>
                <w:lang w:val="en-GB"/>
              </w:rPr>
              <w:t>Task 4.5:</w:t>
            </w:r>
            <w:r>
              <w:rPr>
                <w:i/>
                <w:lang w:val="en-GB"/>
              </w:rPr>
              <w:t xml:space="preserve"> </w:t>
            </w:r>
            <w:r>
              <w:rPr/>
              <w:t>Summarize  results obtained in WP3 and their significance for the theoretical study and applications.</w:t>
            </w:r>
          </w:p>
          <w:p>
            <w:pPr>
              <w:pStyle w:val="P68B1DB1-Normlny26"/>
              <w:spacing w:lineRule="auto" w:line="240" w:before="0" w:after="0"/>
              <w:rPr>
                <w:i w:val="false"/>
                <w:i w:val="false"/>
              </w:rPr>
            </w:pPr>
            <w:r>
              <w:rPr>
                <w:i w:val="false"/>
              </w:rPr>
              <w:t>Task 4.6: Presentation of results about direct limit closed classes of algebras on an international scientific event.</w:t>
            </w:r>
          </w:p>
          <w:p>
            <w:pPr>
              <w:pStyle w:val="P68B1DB1-Normlny26"/>
              <w:spacing w:lineRule="auto" w:line="240" w:before="0" w:after="0"/>
              <w:rPr>
                <w:i w:val="false"/>
                <w:i w:val="false"/>
                <w:lang w:val="en-GB"/>
              </w:rPr>
            </w:pPr>
            <w:r>
              <w:rPr>
                <w:i w:val="false"/>
                <w:lang w:val="en-GB"/>
              </w:rPr>
            </w:r>
          </w:p>
          <w:p>
            <w:pPr>
              <w:pStyle w:val="P68B1DB1-Normlny26"/>
              <w:spacing w:lineRule="auto" w:line="240" w:before="0" w:after="0"/>
              <w:rPr>
                <w:color w:val="000000"/>
                <w:lang w:val="en-GB"/>
              </w:rPr>
            </w:pPr>
            <w:r>
              <w:rPr>
                <w:color w:themeColor="text1" w:val="000000"/>
                <w:lang w:val="en-GB"/>
              </w:rPr>
            </w:r>
          </w:p>
        </w:tc>
      </w:tr>
      <w:tr>
        <w:trPr>
          <w:trHeight w:val="420" w:hRule="atLeast"/>
        </w:trPr>
        <w:tc>
          <w:tcPr>
            <w:tcW w:w="10195" w:type="dxa"/>
            <w:gridSpan w:val="2"/>
            <w:tcBorders>
              <w:top w:val="single" w:sz="4" w:space="0" w:color="000000"/>
              <w:left w:val="single" w:sz="8" w:space="0" w:color="000000"/>
              <w:bottom w:val="single" w:sz="4" w:space="0" w:color="000000"/>
              <w:right w:val="single" w:sz="8" w:space="0" w:color="000000"/>
            </w:tcBorders>
            <w:shd w:color="auto" w:fill="9CC2E5" w:themeFill="accent1" w:themeFillTint="99"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Deliverables</w:t>
            </w:r>
          </w:p>
        </w:tc>
      </w:tr>
      <w:tr>
        <w:trPr>
          <w:trHeight w:val="3813" w:hRule="atLeast"/>
        </w:trPr>
        <w:tc>
          <w:tcPr>
            <w:tcW w:w="10195" w:type="dxa"/>
            <w:gridSpan w:val="2"/>
            <w:tcBorders>
              <w:top w:val="single" w:sz="4" w:space="0" w:color="000000"/>
              <w:left w:val="single" w:sz="8" w:space="0" w:color="000000"/>
              <w:bottom w:val="single" w:sz="8" w:space="0" w:color="000000"/>
              <w:right w:val="single" w:sz="8" w:space="0" w:color="000000"/>
            </w:tcBorders>
            <w:shd w:color="auto" w:fill="auto" w:val="clear"/>
          </w:tcPr>
          <w:p>
            <w:pPr>
              <w:pStyle w:val="P68B1DB1-Normlny26"/>
              <w:spacing w:lineRule="auto" w:line="240" w:before="0" w:after="0"/>
              <w:rPr>
                <w:lang w:val="en-GB"/>
              </w:rPr>
            </w:pPr>
            <w:r>
              <w:rPr/>
            </w:r>
          </w:p>
          <w:p>
            <w:pPr>
              <w:pStyle w:val="P68B1DB1-Normlny26"/>
              <w:spacing w:lineRule="auto" w:line="240" w:before="0" w:after="0"/>
              <w:rPr>
                <w:i w:val="false"/>
                <w:i w:val="false"/>
                <w:lang w:val="en-GB"/>
              </w:rPr>
            </w:pPr>
            <w:r>
              <w:rPr>
                <w:i w:val="false"/>
                <w:lang w:val="en-GB"/>
              </w:rPr>
              <w:t xml:space="preserve">D7: </w:t>
            </w:r>
            <w:r>
              <w:rPr>
                <w:b/>
                <w:i w:val="false"/>
                <w:lang w:val="en-GB"/>
              </w:rPr>
              <w:t>Presentations on conferences</w:t>
            </w:r>
          </w:p>
          <w:p>
            <w:pPr>
              <w:pStyle w:val="P68B1DB1-Normlny26"/>
              <w:spacing w:lineRule="auto" w:line="240" w:before="0" w:after="0"/>
              <w:rPr>
                <w:i w:val="false"/>
                <w:i w:val="false"/>
                <w:lang w:val="en-GB"/>
              </w:rPr>
            </w:pPr>
            <w:r>
              <w:rPr>
                <w:i w:val="false"/>
                <w:lang w:val="en-GB"/>
              </w:rPr>
              <w:t>We will present results of this project at least three high-level  international scientific conferences, while at least two of them will not be in Slovakia.</w:t>
            </w:r>
          </w:p>
          <w:p>
            <w:pPr>
              <w:pStyle w:val="P68B1DB1-Normlny26"/>
              <w:spacing w:lineRule="auto" w:line="240" w:before="0" w:after="0"/>
              <w:rPr>
                <w:i w:val="false"/>
                <w:i w:val="false"/>
                <w:lang w:val="en-GB"/>
              </w:rPr>
            </w:pPr>
            <w:r>
              <w:rPr>
                <w:i w:val="false"/>
                <w:lang w:val="en-GB"/>
              </w:rPr>
            </w:r>
          </w:p>
          <w:p>
            <w:pPr>
              <w:pStyle w:val="P68B1DB1-Odsekzoznamu28"/>
              <w:ind w:left="0"/>
              <w:rPr>
                <w:highlight w:val="none"/>
                <w:lang w:val="en-GB"/>
              </w:rPr>
            </w:pPr>
            <w:r>
              <w:rPr>
                <w:i w:val="false"/>
                <w:sz w:val="20"/>
                <w:highlight w:val="none"/>
                <w:lang w:val="en-GB"/>
              </w:rPr>
              <w:t xml:space="preserve">D8: </w:t>
            </w:r>
            <w:r>
              <w:rPr>
                <w:b/>
                <w:i w:val="false"/>
                <w:sz w:val="20"/>
                <w:highlight w:val="none"/>
                <w:lang w:val="en-GB"/>
              </w:rPr>
              <w:t>Interim report</w:t>
            </w:r>
            <w:r>
              <w:rPr>
                <w:highlight w:val="none"/>
                <w:lang w:val="en-GB"/>
              </w:rPr>
              <w:t xml:space="preserve"> </w:t>
              <w:br/>
            </w:r>
            <w:r>
              <w:rPr>
                <w:i w:val="false"/>
                <w:sz w:val="20"/>
                <w:highlight w:val="none"/>
                <w:lang w:val="en-GB"/>
              </w:rPr>
              <w:t>Report on the implementation and achievements of the project at mid-term of project implementation will be given.</w:t>
            </w:r>
          </w:p>
          <w:p>
            <w:pPr>
              <w:pStyle w:val="P68B1DB1-Normlny26"/>
              <w:spacing w:lineRule="auto" w:line="240" w:before="0" w:after="0"/>
              <w:rPr>
                <w:b/>
                <w:i w:val="false"/>
                <w:i w:val="false"/>
              </w:rPr>
            </w:pPr>
            <w:r>
              <w:rPr>
                <w:i w:val="false"/>
              </w:rPr>
              <w:t xml:space="preserve">D9: </w:t>
            </w:r>
            <w:r>
              <w:rPr>
                <w:b/>
                <w:i w:val="false"/>
              </w:rPr>
              <w:t>New research plan</w:t>
            </w:r>
          </w:p>
          <w:p>
            <w:pPr>
              <w:pStyle w:val="P68B1DB1-Normlny26"/>
              <w:spacing w:lineRule="auto" w:line="240" w:before="0" w:after="0"/>
              <w:rPr>
                <w:i w:val="false"/>
                <w:i w:val="false"/>
              </w:rPr>
            </w:pPr>
            <w:r>
              <w:rPr>
                <w:i w:val="false"/>
              </w:rPr>
              <w:t>We will develop a list of open questions and a research proposal for the next period with the active participation of the researcher.</w:t>
            </w:r>
          </w:p>
          <w:p>
            <w:pPr>
              <w:pStyle w:val="P68B1DB1-Normlny26"/>
              <w:spacing w:lineRule="auto" w:line="240" w:before="0" w:after="0"/>
              <w:rPr>
                <w:i w:val="false"/>
                <w:i w:val="false"/>
              </w:rPr>
            </w:pPr>
            <w:r>
              <w:rPr>
                <w:i w:val="false"/>
              </w:rPr>
            </w:r>
          </w:p>
          <w:p>
            <w:pPr>
              <w:pStyle w:val="P68B1DB1-Normlny26"/>
              <w:spacing w:lineRule="auto" w:line="240" w:before="0" w:after="0"/>
              <w:rPr>
                <w:b/>
                <w:i w:val="false"/>
                <w:i w:val="false"/>
              </w:rPr>
            </w:pPr>
            <w:r>
              <w:rPr>
                <w:i w:val="false"/>
              </w:rPr>
              <w:t xml:space="preserve">D10: </w:t>
            </w:r>
            <w:r>
              <w:rPr>
                <w:b/>
                <w:i w:val="false"/>
              </w:rPr>
              <w:t>Final report</w:t>
            </w:r>
          </w:p>
          <w:p>
            <w:pPr>
              <w:pStyle w:val="P68B1DB1-Normlny26"/>
              <w:spacing w:lineRule="auto" w:line="240" w:before="0" w:after="0"/>
              <w:rPr>
                <w:i w:val="false"/>
                <w:i w:val="false"/>
                <w:lang w:val="en-GB"/>
              </w:rPr>
            </w:pPr>
            <w:r>
              <w:rPr>
                <w:i w:val="false"/>
              </w:rPr>
              <w:t>Report summarizing all results obtained during implementation of the project and comparison between achieved and  expected results will be prepared. It will be presented at the end of the project implementation.</w:t>
            </w:r>
          </w:p>
        </w:tc>
      </w:tr>
    </w:tbl>
    <w:p>
      <w:pPr>
        <w:pStyle w:val="P68B1DB1-paragraph21"/>
        <w:spacing w:beforeAutospacing="0" w:before="0" w:afterAutospacing="0" w:after="0"/>
        <w:jc w:val="both"/>
        <w:textAlignment w:val="baseline"/>
        <w:rPr>
          <w:lang w:val="en-GB"/>
        </w:rPr>
      </w:pPr>
      <w:r>
        <w:rPr>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3.1.2 List of work packages</w:t>
      </w:r>
      <w:r>
        <w:rPr>
          <w:highlight w:val="lightGray"/>
          <w:lang w:val="en-GB"/>
        </w:rPr>
        <w:t>:</w:t>
      </w:r>
    </w:p>
    <w:p>
      <w:pPr>
        <w:pStyle w:val="Paragraph"/>
        <w:spacing w:beforeAutospacing="0" w:before="0" w:afterAutospacing="0" w:after="0"/>
        <w:jc w:val="both"/>
        <w:textAlignment w:val="baseline"/>
        <w:rPr>
          <w:rFonts w:ascii="Calibri" w:hAnsi="Calibri" w:cs="Calibri" w:asciiTheme="minorHAnsi" w:cstheme="minorHAnsi" w:hAnsiTheme="minorHAnsi"/>
          <w:b/>
          <w:sz w:val="22"/>
          <w:lang w:val="en-GB"/>
        </w:rPr>
      </w:pPr>
      <w:r>
        <w:rPr>
          <w:rFonts w:cs="Calibri" w:cstheme="minorHAnsi" w:ascii="Calibri" w:hAnsi="Calibri"/>
          <w:b/>
          <w:sz w:val="22"/>
          <w:lang w:val="en-GB"/>
        </w:rPr>
      </w:r>
    </w:p>
    <w:tbl>
      <w:tblPr>
        <w:tblW w:w="48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597"/>
        <w:gridCol w:w="4584"/>
        <w:gridCol w:w="1809"/>
        <w:gridCol w:w="1804"/>
      </w:tblGrid>
      <w:tr>
        <w:trPr>
          <w:trHeight w:val="523" w:hRule="atLeast"/>
        </w:trPr>
        <w:tc>
          <w:tcPr>
            <w:tcW w:w="1597"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Work package number</w:t>
            </w:r>
          </w:p>
        </w:tc>
        <w:tc>
          <w:tcPr>
            <w:tcW w:w="4584"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Title of the work package</w:t>
            </w:r>
          </w:p>
        </w:tc>
        <w:tc>
          <w:tcPr>
            <w:tcW w:w="180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r>
          </w:p>
          <w:p>
            <w:pPr>
              <w:pStyle w:val="P68B1DB1-Normlny19"/>
              <w:spacing w:lineRule="auto" w:line="240" w:before="0" w:after="0"/>
              <w:rPr>
                <w:b/>
                <w:lang w:val="en-GB"/>
              </w:rPr>
            </w:pPr>
            <w:r>
              <w:rPr>
                <w:b/>
                <w:lang w:val="en-GB"/>
              </w:rPr>
              <w:t>Start of activities</w:t>
            </w:r>
          </w:p>
        </w:tc>
        <w:tc>
          <w:tcPr>
            <w:tcW w:w="1804"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b/>
                <w:lang w:val="en-GB"/>
              </w:rPr>
            </w:pPr>
            <w:r>
              <w:rPr>
                <w:b/>
                <w:lang w:val="en-GB"/>
              </w:rPr>
            </w:r>
          </w:p>
          <w:p>
            <w:pPr>
              <w:pStyle w:val="P68B1DB1-Normlny19"/>
              <w:spacing w:lineRule="auto" w:line="240" w:before="0" w:after="0"/>
              <w:rPr>
                <w:b/>
                <w:lang w:val="en-GB"/>
              </w:rPr>
            </w:pPr>
            <w:r>
              <w:rPr>
                <w:b/>
                <w:lang w:val="en-GB"/>
              </w:rPr>
              <w:t>End of activities</w:t>
            </w:r>
          </w:p>
        </w:tc>
      </w:tr>
      <w:tr>
        <w:trPr>
          <w:trHeight w:val="288" w:hRule="atLeast"/>
        </w:trPr>
        <w:tc>
          <w:tcPr>
            <w:tcW w:w="1597"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1</w:t>
            </w:r>
          </w:p>
        </w:tc>
        <w:tc>
          <w:tcPr>
            <w:tcW w:w="45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 </w:t>
            </w:r>
            <w:r>
              <w:rPr>
                <w:lang w:val="en-GB"/>
              </w:rPr>
              <w:t>EKP</w:t>
            </w:r>
          </w:p>
        </w:tc>
        <w:tc>
          <w:tcPr>
            <w:tcW w:w="1809"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M1</w:t>
            </w:r>
          </w:p>
        </w:tc>
        <w:tc>
          <w:tcPr>
            <w:tcW w:w="1804"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M7</w:t>
            </w:r>
          </w:p>
        </w:tc>
      </w:tr>
      <w:tr>
        <w:trPr>
          <w:trHeight w:val="288" w:hRule="atLeast"/>
        </w:trPr>
        <w:tc>
          <w:tcPr>
            <w:tcW w:w="1597"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2</w:t>
            </w:r>
          </w:p>
        </w:tc>
        <w:tc>
          <w:tcPr>
            <w:tcW w:w="45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 </w:t>
            </w:r>
            <w:r>
              <w:rPr>
                <w:lang w:val="en-GB"/>
              </w:rPr>
              <w:t>EDL</w:t>
            </w:r>
          </w:p>
        </w:tc>
        <w:tc>
          <w:tcPr>
            <w:tcW w:w="1809"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M8</w:t>
            </w:r>
          </w:p>
        </w:tc>
        <w:tc>
          <w:tcPr>
            <w:tcW w:w="1804"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M15</w:t>
            </w:r>
          </w:p>
        </w:tc>
      </w:tr>
      <w:tr>
        <w:trPr>
          <w:trHeight w:val="288" w:hRule="atLeast"/>
        </w:trPr>
        <w:tc>
          <w:tcPr>
            <w:tcW w:w="1597"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3</w:t>
            </w:r>
          </w:p>
        </w:tc>
        <w:tc>
          <w:tcPr>
            <w:tcW w:w="45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 </w:t>
            </w:r>
            <w:r>
              <w:rPr>
                <w:lang w:val="en-GB"/>
              </w:rPr>
              <w:t>DL-classes of algebras</w:t>
            </w:r>
          </w:p>
        </w:tc>
        <w:tc>
          <w:tcPr>
            <w:tcW w:w="1809"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 xml:space="preserve">  </w:t>
            </w:r>
            <w:r>
              <w:rPr>
                <w:lang w:val="en-GB"/>
              </w:rPr>
              <w:t>M16</w:t>
            </w:r>
          </w:p>
        </w:tc>
        <w:tc>
          <w:tcPr>
            <w:tcW w:w="1804"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M21</w:t>
            </w:r>
          </w:p>
        </w:tc>
      </w:tr>
      <w:tr>
        <w:trPr>
          <w:trHeight w:val="288" w:hRule="atLeast"/>
        </w:trPr>
        <w:tc>
          <w:tcPr>
            <w:tcW w:w="1597"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4</w:t>
            </w:r>
          </w:p>
        </w:tc>
        <w:tc>
          <w:tcPr>
            <w:tcW w:w="45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 </w:t>
            </w:r>
            <w:r>
              <w:rPr>
                <w:lang w:val="en-GB"/>
              </w:rPr>
              <w:t>Dissemination</w:t>
            </w:r>
          </w:p>
        </w:tc>
        <w:tc>
          <w:tcPr>
            <w:tcW w:w="1809"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M4</w:t>
            </w:r>
          </w:p>
        </w:tc>
        <w:tc>
          <w:tcPr>
            <w:tcW w:w="1804"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t>M24</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lang w:val="en-GB"/>
        </w:rPr>
      </w:pPr>
      <w:r>
        <w:rPr>
          <w:rFonts w:cs="Calibri" w:cstheme="minorHAnsi" w:ascii="Calibri" w:hAnsi="Calibri"/>
          <w:i/>
          <w:sz w:val="22"/>
          <w:lang w:val="en-GB"/>
        </w:rPr>
      </w:r>
    </w:p>
    <w:p>
      <w:pPr>
        <w:pStyle w:val="P68B1DB1-Nadpis423"/>
        <w:rPr>
          <w:lang w:val="en-GB"/>
        </w:rPr>
      </w:pPr>
      <w:r>
        <w:rPr>
          <w:lang w:val="en-GB"/>
        </w:rPr>
        <w:t>3.1.3 List of deliverables:</w:t>
      </w:r>
    </w:p>
    <w:p>
      <w:pPr>
        <w:pStyle w:val="Paragraph"/>
        <w:spacing w:beforeAutospacing="0" w:before="0" w:afterAutospacing="0" w:after="0"/>
        <w:jc w:val="both"/>
        <w:rPr>
          <w:rFonts w:ascii="Calibri" w:hAnsi="Calibri" w:cs="" w:asciiTheme="minorHAnsi" w:cstheme="minorBidi" w:hAnsiTheme="minorHAnsi"/>
          <w:b/>
          <w:i/>
          <w:i/>
          <w:sz w:val="22"/>
          <w:highlight w:val="lightGray"/>
          <w:lang w:val="en-GB"/>
        </w:rPr>
      </w:pPr>
      <w:r>
        <w:rPr>
          <w:rFonts w:cs="" w:cstheme="minorBidi" w:ascii="Calibri" w:hAnsi="Calibri"/>
          <w:b/>
          <w:i/>
          <w:sz w:val="22"/>
          <w:highlight w:val="lightGray"/>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1185"/>
        <w:gridCol w:w="2600"/>
        <w:gridCol w:w="1037"/>
        <w:gridCol w:w="1259"/>
        <w:gridCol w:w="945"/>
        <w:gridCol w:w="1992"/>
        <w:gridCol w:w="1185"/>
      </w:tblGrid>
      <w:tr>
        <w:trPr>
          <w:trHeight w:val="1008"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ind w:right="-20"/>
              <w:rPr>
                <w:lang w:val="en-GB"/>
              </w:rPr>
            </w:pPr>
            <w:r>
              <w:rPr>
                <w:lang w:val="en-GB"/>
              </w:rPr>
            </w:r>
          </w:p>
          <w:p>
            <w:pPr>
              <w:pStyle w:val="P68B1DB1-Normlny24"/>
              <w:spacing w:lineRule="auto" w:line="240" w:before="0" w:after="0"/>
              <w:ind w:right="-20"/>
              <w:rPr>
                <w:color w:val="000000"/>
                <w:lang w:val="en-GB"/>
              </w:rPr>
            </w:pPr>
            <w:r>
              <w:rPr>
                <w:lang w:val="en-GB"/>
              </w:rPr>
              <w:t>Deliverable number</w:t>
            </w:r>
          </w:p>
        </w:tc>
        <w:tc>
          <w:tcPr>
            <w:tcW w:w="2600"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Deliverable</w:t>
            </w:r>
          </w:p>
        </w:tc>
        <w:tc>
          <w:tcPr>
            <w:tcW w:w="103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Work package number</w:t>
            </w:r>
          </w:p>
        </w:tc>
        <w:tc>
          <w:tcPr>
            <w:tcW w:w="1259"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Type</w:t>
            </w:r>
          </w:p>
        </w:tc>
        <w:tc>
          <w:tcPr>
            <w:tcW w:w="945"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color w:val="000000"/>
                <w:lang w:val="en-GB"/>
              </w:rPr>
            </w:pPr>
            <w:r>
              <w:rPr>
                <w:lang w:val="en-GB"/>
              </w:rPr>
              <w:t>Access and dissemination</w:t>
            </w:r>
          </w:p>
        </w:tc>
        <w:tc>
          <w:tcPr>
            <w:tcW w:w="1992" w:type="dxa"/>
            <w:tcBorders>
              <w:top w:val="single" w:sz="4" w:space="0" w:color="000000"/>
              <w:bottom w:val="single" w:sz="4" w:space="0" w:color="000000"/>
              <w:right w:val="single" w:sz="4" w:space="0" w:color="000000"/>
            </w:tcBorders>
            <w:shd w:color="auto" w:fill="FFFFFF" w:themeFill="background1"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Method of verification</w:t>
            </w:r>
          </w:p>
        </w:tc>
        <w:tc>
          <w:tcPr>
            <w:tcW w:w="1185"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Delivery</w:t>
            </w:r>
          </w:p>
        </w:tc>
      </w:tr>
      <w:tr>
        <w:trPr>
          <w:trHeight w:val="548" w:hRule="atLeast"/>
        </w:trPr>
        <w:tc>
          <w:tcPr>
            <w:tcW w:w="1185"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D1</w:t>
            </w:r>
          </w:p>
        </w:tc>
        <w:tc>
          <w:tcPr>
            <w:tcW w:w="260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EKP seminar contributions</w:t>
            </w:r>
          </w:p>
        </w:tc>
        <w:tc>
          <w:tcPr>
            <w:tcW w:w="103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w:t>
            </w:r>
          </w:p>
        </w:tc>
        <w:tc>
          <w:tcPr>
            <w:tcW w:w="1259" w:type="dxa"/>
            <w:tcBorders>
              <w:bottom w:val="single" w:sz="4" w:space="0" w:color="000000"/>
              <w:right w:val="single" w:sz="4" w:space="0" w:color="000000"/>
            </w:tcBorders>
            <w:shd w:color="auto" w:fill="auto" w:val="clear"/>
          </w:tcPr>
          <w:p>
            <w:pPr>
              <w:pStyle w:val="P68B1DB1-Normlny29"/>
              <w:spacing w:lineRule="auto" w:line="240" w:before="0" w:after="0"/>
              <w:rPr>
                <w:i w:val="false"/>
                <w:i w:val="false"/>
                <w:highlight w:val="none"/>
                <w:lang w:val="en-GB"/>
              </w:rPr>
            </w:pPr>
            <w:r>
              <w:rPr>
                <w:i w:val="false"/>
                <w:highlight w:val="none"/>
                <w:lang w:val="en-GB"/>
              </w:rPr>
            </w:r>
          </w:p>
          <w:p>
            <w:pPr>
              <w:pStyle w:val="P68B1DB1-Normlny29"/>
              <w:spacing w:lineRule="auto" w:line="240" w:before="0" w:after="0"/>
              <w:rPr>
                <w:i w:val="false"/>
                <w:i w:val="false"/>
                <w:lang w:val="en-GB"/>
              </w:rPr>
            </w:pPr>
            <w:r>
              <w:rPr>
                <w:i w:val="false"/>
                <w:highlight w:val="none"/>
                <w:lang w:val="en-GB"/>
              </w:rPr>
              <w:t>talk</w:t>
            </w:r>
          </w:p>
        </w:tc>
        <w:tc>
          <w:tcPr>
            <w:tcW w:w="945" w:type="dxa"/>
            <w:tcBorders>
              <w:bottom w:val="single" w:sz="4" w:space="0" w:color="000000"/>
              <w:right w:val="single" w:sz="4" w:space="0" w:color="000000"/>
            </w:tcBorders>
            <w:shd w:color="auto" w:fill="auto" w:val="clear"/>
          </w:tcPr>
          <w:p>
            <w:pPr>
              <w:pStyle w:val="P68B1DB1-Normlny29"/>
              <w:spacing w:lineRule="auto" w:line="240" w:before="0" w:after="0"/>
              <w:jc w:val="center"/>
              <w:rPr>
                <w:i w:val="false"/>
                <w:i w:val="false"/>
                <w:highlight w:val="none"/>
                <w:lang w:val="en-GB"/>
              </w:rPr>
            </w:pPr>
            <w:r>
              <w:rPr>
                <w:i w:val="false"/>
                <w:highlight w:val="none"/>
                <w:lang w:val="en-GB"/>
              </w:rPr>
            </w:r>
          </w:p>
          <w:p>
            <w:pPr>
              <w:pStyle w:val="P68B1DB1-Normlny29"/>
              <w:spacing w:lineRule="auto" w:line="240" w:before="0" w:after="0"/>
              <w:jc w:val="center"/>
              <w:rPr>
                <w:i w:val="false"/>
                <w:i w:val="false"/>
                <w:lang w:val="en-GB"/>
              </w:rPr>
            </w:pPr>
            <w:r>
              <w:rPr>
                <w:i w:val="false"/>
                <w:highlight w:val="none"/>
                <w:lang w:val="en-GB"/>
              </w:rPr>
              <w:t>P</w:t>
            </w:r>
          </w:p>
        </w:tc>
        <w:tc>
          <w:tcPr>
            <w:tcW w:w="19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Expert feedback</w:t>
            </w:r>
          </w:p>
        </w:tc>
        <w:tc>
          <w:tcPr>
            <w:tcW w:w="11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M4, M7</w:t>
            </w:r>
          </w:p>
        </w:tc>
      </w:tr>
      <w:tr>
        <w:trPr>
          <w:trHeight w:val="288" w:hRule="atLeast"/>
        </w:trPr>
        <w:tc>
          <w:tcPr>
            <w:tcW w:w="1185"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D2</w:t>
            </w:r>
          </w:p>
        </w:tc>
        <w:tc>
          <w:tcPr>
            <w:tcW w:w="260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EKP paper</w:t>
            </w:r>
          </w:p>
        </w:tc>
        <w:tc>
          <w:tcPr>
            <w:tcW w:w="103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w:t>
            </w:r>
          </w:p>
        </w:tc>
        <w:tc>
          <w:tcPr>
            <w:tcW w:w="125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publication</w:t>
            </w:r>
          </w:p>
        </w:tc>
        <w:tc>
          <w:tcPr>
            <w:tcW w:w="945"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Peer review</w:t>
            </w:r>
          </w:p>
        </w:tc>
        <w:tc>
          <w:tcPr>
            <w:tcW w:w="11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M7</w:t>
            </w:r>
          </w:p>
        </w:tc>
      </w:tr>
      <w:tr>
        <w:trPr>
          <w:trHeight w:val="288" w:hRule="atLeast"/>
        </w:trPr>
        <w:tc>
          <w:tcPr>
            <w:tcW w:w="1185"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D3</w:t>
            </w:r>
          </w:p>
        </w:tc>
        <w:tc>
          <w:tcPr>
            <w:tcW w:w="260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EDL seminar contribution</w:t>
            </w:r>
          </w:p>
        </w:tc>
        <w:tc>
          <w:tcPr>
            <w:tcW w:w="103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2</w:t>
            </w:r>
          </w:p>
        </w:tc>
        <w:tc>
          <w:tcPr>
            <w:tcW w:w="125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talk</w:t>
            </w:r>
          </w:p>
        </w:tc>
        <w:tc>
          <w:tcPr>
            <w:tcW w:w="945"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Expert feedback</w:t>
            </w:r>
          </w:p>
        </w:tc>
        <w:tc>
          <w:tcPr>
            <w:tcW w:w="11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M13</w:t>
            </w:r>
          </w:p>
        </w:tc>
      </w:tr>
      <w:tr>
        <w:trPr>
          <w:trHeight w:val="288" w:hRule="atLeast"/>
        </w:trPr>
        <w:tc>
          <w:tcPr>
            <w:tcW w:w="1185"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D4</w:t>
            </w:r>
          </w:p>
        </w:tc>
        <w:tc>
          <w:tcPr>
            <w:tcW w:w="260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EDL paper</w:t>
            </w:r>
          </w:p>
        </w:tc>
        <w:tc>
          <w:tcPr>
            <w:tcW w:w="103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2</w:t>
            </w:r>
          </w:p>
        </w:tc>
        <w:tc>
          <w:tcPr>
            <w:tcW w:w="125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publication</w:t>
            </w:r>
          </w:p>
        </w:tc>
        <w:tc>
          <w:tcPr>
            <w:tcW w:w="945"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Peer review</w:t>
            </w:r>
          </w:p>
        </w:tc>
        <w:tc>
          <w:tcPr>
            <w:tcW w:w="11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M13</w:t>
            </w:r>
          </w:p>
        </w:tc>
      </w:tr>
      <w:tr>
        <w:trPr>
          <w:trHeight w:val="288" w:hRule="atLeast"/>
        </w:trPr>
        <w:tc>
          <w:tcPr>
            <w:tcW w:w="1185"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D5</w:t>
            </w:r>
          </w:p>
        </w:tc>
        <w:tc>
          <w:tcPr>
            <w:tcW w:w="2600"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Presentations about DL-classes</w:t>
            </w:r>
          </w:p>
        </w:tc>
        <w:tc>
          <w:tcPr>
            <w:tcW w:w="103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3</w:t>
            </w:r>
          </w:p>
        </w:tc>
        <w:tc>
          <w:tcPr>
            <w:tcW w:w="1259"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talk</w:t>
            </w:r>
          </w:p>
        </w:tc>
        <w:tc>
          <w:tcPr>
            <w:tcW w:w="945"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2"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Expert feedback</w:t>
            </w:r>
          </w:p>
        </w:tc>
        <w:tc>
          <w:tcPr>
            <w:tcW w:w="1185"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M17,M21</w:t>
            </w:r>
          </w:p>
        </w:tc>
      </w:tr>
      <w:tr>
        <w:trPr>
          <w:trHeight w:val="288"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D6</w:t>
            </w:r>
          </w:p>
        </w:tc>
        <w:tc>
          <w:tcPr>
            <w:tcW w:w="2600"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Paper on DL-classes</w:t>
            </w:r>
          </w:p>
        </w:tc>
        <w:tc>
          <w:tcPr>
            <w:tcW w:w="1037"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3</w:t>
            </w:r>
          </w:p>
        </w:tc>
        <w:tc>
          <w:tcPr>
            <w:tcW w:w="125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publication</w:t>
            </w:r>
          </w:p>
        </w:tc>
        <w:tc>
          <w:tcPr>
            <w:tcW w:w="94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2"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Peer review</w:t>
            </w:r>
          </w:p>
        </w:tc>
        <w:tc>
          <w:tcPr>
            <w:tcW w:w="118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M21</w:t>
            </w:r>
          </w:p>
        </w:tc>
      </w:tr>
      <w:tr>
        <w:trPr>
          <w:trHeight w:val="276"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D7</w:t>
            </w:r>
          </w:p>
        </w:tc>
        <w:tc>
          <w:tcPr>
            <w:tcW w:w="2600" w:type="dxa"/>
            <w:tcBorders>
              <w:top w:val="single" w:sz="4" w:space="0" w:color="000000"/>
              <w:bottom w:val="single" w:sz="4" w:space="0" w:color="000000"/>
              <w:right w:val="single" w:sz="4" w:space="0" w:color="000000"/>
            </w:tcBorders>
            <w:shd w:color="auto" w:fill="auto" w:val="clear"/>
          </w:tcPr>
          <w:p>
            <w:pPr>
              <w:pStyle w:val="Normal"/>
              <w:spacing w:before="0" w:after="160"/>
              <w:rPr>
                <w:rFonts w:ascii="Arial" w:hAnsi="Arial" w:cs="Arial"/>
                <w:sz w:val="20"/>
              </w:rPr>
            </w:pPr>
            <w:r>
              <w:rPr>
                <w:rFonts w:cs="Arial" w:ascii="Arial" w:hAnsi="Arial"/>
                <w:sz w:val="20"/>
              </w:rPr>
              <w:t>Presentations on conferences</w:t>
            </w:r>
          </w:p>
        </w:tc>
        <w:tc>
          <w:tcPr>
            <w:tcW w:w="1037"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1-4</w:t>
            </w:r>
          </w:p>
        </w:tc>
        <w:tc>
          <w:tcPr>
            <w:tcW w:w="125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talk</w:t>
            </w:r>
          </w:p>
        </w:tc>
        <w:tc>
          <w:tcPr>
            <w:tcW w:w="94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P</w:t>
            </w:r>
          </w:p>
        </w:tc>
        <w:tc>
          <w:tcPr>
            <w:tcW w:w="1992"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Expert feedback</w:t>
            </w:r>
          </w:p>
        </w:tc>
        <w:tc>
          <w:tcPr>
            <w:tcW w:w="118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t>M10, M18,M23</w:t>
            </w:r>
          </w:p>
        </w:tc>
      </w:tr>
      <w:tr>
        <w:trPr>
          <w:trHeight w:val="288"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D8</w:t>
            </w:r>
          </w:p>
        </w:tc>
        <w:tc>
          <w:tcPr>
            <w:tcW w:w="2600"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Interim report</w:t>
            </w:r>
          </w:p>
        </w:tc>
        <w:tc>
          <w:tcPr>
            <w:tcW w:w="1037"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1,2,4</w:t>
            </w:r>
          </w:p>
        </w:tc>
        <w:tc>
          <w:tcPr>
            <w:tcW w:w="125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report</w:t>
            </w:r>
          </w:p>
        </w:tc>
        <w:tc>
          <w:tcPr>
            <w:tcW w:w="94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N</w:t>
            </w:r>
          </w:p>
        </w:tc>
        <w:tc>
          <w:tcPr>
            <w:tcW w:w="1992"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Progress evaluation</w:t>
            </w:r>
          </w:p>
        </w:tc>
        <w:tc>
          <w:tcPr>
            <w:tcW w:w="118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M13</w:t>
            </w:r>
          </w:p>
        </w:tc>
      </w:tr>
      <w:tr>
        <w:trPr>
          <w:trHeight w:val="288"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D9</w:t>
            </w:r>
          </w:p>
        </w:tc>
        <w:tc>
          <w:tcPr>
            <w:tcW w:w="2600"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pPr>
            <w:r>
              <w:rPr/>
            </w:r>
          </w:p>
          <w:p>
            <w:pPr>
              <w:pStyle w:val="P68B1DB1-Normlny19"/>
              <w:spacing w:lineRule="auto" w:line="240" w:before="0" w:after="0"/>
              <w:rPr>
                <w:lang w:val="en-GB"/>
              </w:rPr>
            </w:pPr>
            <w:r>
              <w:rPr/>
              <w:t>New research plan</w:t>
            </w:r>
          </w:p>
        </w:tc>
        <w:tc>
          <w:tcPr>
            <w:tcW w:w="1037"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1-4</w:t>
            </w:r>
          </w:p>
        </w:tc>
        <w:tc>
          <w:tcPr>
            <w:tcW w:w="125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proposal</w:t>
            </w:r>
          </w:p>
        </w:tc>
        <w:tc>
          <w:tcPr>
            <w:tcW w:w="94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N</w:t>
            </w:r>
          </w:p>
        </w:tc>
        <w:tc>
          <w:tcPr>
            <w:tcW w:w="1992"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Proposal evaluation</w:t>
            </w:r>
          </w:p>
        </w:tc>
        <w:tc>
          <w:tcPr>
            <w:tcW w:w="118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M23</w:t>
            </w:r>
          </w:p>
        </w:tc>
      </w:tr>
      <w:tr>
        <w:trPr>
          <w:trHeight w:val="288" w:hRule="atLeast"/>
        </w:trPr>
        <w:tc>
          <w:tcPr>
            <w:tcW w:w="1185"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D10</w:t>
            </w:r>
          </w:p>
        </w:tc>
        <w:tc>
          <w:tcPr>
            <w:tcW w:w="2600"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pPr>
            <w:r>
              <w:rPr/>
            </w:r>
          </w:p>
          <w:p>
            <w:pPr>
              <w:pStyle w:val="P68B1DB1-Normlny19"/>
              <w:spacing w:lineRule="auto" w:line="240" w:before="0" w:after="0"/>
              <w:rPr>
                <w:lang w:val="en-GB"/>
              </w:rPr>
            </w:pPr>
            <w:r>
              <w:rPr/>
              <w:t>Final report</w:t>
            </w:r>
          </w:p>
        </w:tc>
        <w:tc>
          <w:tcPr>
            <w:tcW w:w="1037"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1-4</w:t>
            </w:r>
          </w:p>
        </w:tc>
        <w:tc>
          <w:tcPr>
            <w:tcW w:w="1259"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report</w:t>
            </w:r>
          </w:p>
        </w:tc>
        <w:tc>
          <w:tcPr>
            <w:tcW w:w="94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N</w:t>
            </w:r>
          </w:p>
        </w:tc>
        <w:tc>
          <w:tcPr>
            <w:tcW w:w="1992"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Project evaluation</w:t>
            </w:r>
          </w:p>
        </w:tc>
        <w:tc>
          <w:tcPr>
            <w:tcW w:w="1185" w:type="dxa"/>
            <w:tcBorders>
              <w:top w:val="single" w:sz="4" w:space="0" w:color="000000"/>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M24</w:t>
            </w:r>
          </w:p>
        </w:tc>
      </w:tr>
    </w:tbl>
    <w:p>
      <w:pPr>
        <w:pStyle w:val="Paragraph"/>
        <w:spacing w:beforeAutospacing="0" w:before="0" w:afterAutospacing="0" w:after="0"/>
        <w:jc w:val="both"/>
        <w:rPr>
          <w:rFonts w:ascii="Calibri" w:hAnsi="Calibri" w:cs="" w:asciiTheme="minorHAnsi" w:cstheme="minorBidi" w:hAnsiTheme="minorHAnsi"/>
          <w:b/>
          <w:i/>
          <w:i/>
          <w:sz w:val="22"/>
          <w:highlight w:val="lightGray"/>
          <w:lang w:val="en-GB"/>
        </w:rPr>
      </w:pPr>
      <w:r>
        <w:rPr>
          <w:rFonts w:cs="" w:cstheme="minorBidi" w:ascii="Calibri" w:hAnsi="Calibri"/>
          <w:b/>
          <w:i/>
          <w:sz w:val="22"/>
          <w:highlight w:val="lightGray"/>
          <w:lang w:val="en-GB"/>
        </w:rPr>
      </w:r>
    </w:p>
    <w:p>
      <w:pPr>
        <w:pStyle w:val="P68B1DB1-Nadpis423"/>
        <w:rPr>
          <w:lang w:val="en-GB"/>
        </w:rPr>
      </w:pPr>
      <w:r>
        <w:rPr>
          <w:lang w:val="en-GB"/>
        </w:rPr>
        <w:t>3.1.4 List of milestones</w:t>
      </w:r>
    </w:p>
    <w:p>
      <w:pPr>
        <w:pStyle w:val="Paragraph"/>
        <w:spacing w:beforeAutospacing="0" w:before="0" w:afterAutospacing="0" w:after="0"/>
        <w:jc w:val="both"/>
        <w:textAlignment w:val="baseline"/>
        <w:rPr>
          <w:rFonts w:ascii="Calibri" w:hAnsi="Calibri" w:cs="Calibri" w:asciiTheme="minorHAnsi" w:cstheme="minorHAnsi" w:hAnsiTheme="minorHAnsi"/>
          <w:b/>
          <w:i/>
          <w:i/>
          <w:sz w:val="22"/>
          <w:lang w:val="en-GB"/>
        </w:rPr>
      </w:pPr>
      <w:r>
        <w:rPr>
          <w:rFonts w:cs="Calibri" w:cstheme="minorHAnsi" w:ascii="Calibri" w:hAnsi="Calibri"/>
          <w:b/>
          <w:i/>
          <w:sz w:val="22"/>
          <w:lang w:val="en-GB"/>
        </w:rPr>
      </w:r>
    </w:p>
    <w:tbl>
      <w:tblPr>
        <w:tblW w:w="4950" w:type="pct"/>
        <w:jc w:val="left"/>
        <w:tblInd w:w="70" w:type="dxa"/>
        <w:tblLayout w:type="fixed"/>
        <w:tblCellMar>
          <w:top w:w="0" w:type="dxa"/>
          <w:left w:w="70" w:type="dxa"/>
          <w:bottom w:w="0" w:type="dxa"/>
          <w:right w:w="70" w:type="dxa"/>
        </w:tblCellMar>
        <w:tblLook w:val="04a0" w:noVBand="1" w:noHBand="0" w:lastColumn="0" w:firstColumn="1" w:lastRow="0" w:firstRow="1"/>
      </w:tblPr>
      <w:tblGrid>
        <w:gridCol w:w="1256"/>
        <w:gridCol w:w="4184"/>
        <w:gridCol w:w="1117"/>
        <w:gridCol w:w="1394"/>
        <w:gridCol w:w="2150"/>
      </w:tblGrid>
      <w:tr>
        <w:trPr>
          <w:trHeight w:val="1068" w:hRule="atLeast"/>
        </w:trPr>
        <w:tc>
          <w:tcPr>
            <w:tcW w:w="1256" w:type="dxa"/>
            <w:tcBorders>
              <w:top w:val="single" w:sz="4" w:space="0" w:color="000000"/>
              <w:left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Milestone number</w:t>
            </w:r>
          </w:p>
        </w:tc>
        <w:tc>
          <w:tcPr>
            <w:tcW w:w="4184"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Milestone</w:t>
            </w:r>
          </w:p>
        </w:tc>
        <w:tc>
          <w:tcPr>
            <w:tcW w:w="1117"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color w:val="000000"/>
                <w:lang w:val="en-GB"/>
              </w:rPr>
            </w:pPr>
            <w:r>
              <w:rPr>
                <w:lang w:val="en-GB"/>
              </w:rPr>
              <w:t>Work package number</w:t>
            </w:r>
          </w:p>
        </w:tc>
        <w:tc>
          <w:tcPr>
            <w:tcW w:w="1394"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lang w:val="en-GB"/>
              </w:rPr>
            </w:pPr>
            <w:r>
              <w:rPr>
                <w:lang w:val="en-GB"/>
              </w:rPr>
              <w:t>Method of</w:t>
            </w:r>
          </w:p>
          <w:p>
            <w:pPr>
              <w:pStyle w:val="P68B1DB1-Normlny24"/>
              <w:spacing w:lineRule="auto" w:line="240" w:before="0" w:after="0"/>
              <w:rPr>
                <w:lang w:val="en-GB"/>
              </w:rPr>
            </w:pPr>
            <w:r>
              <w:rPr>
                <w:lang w:val="en-GB"/>
              </w:rPr>
              <w:t>verification</w:t>
            </w:r>
          </w:p>
        </w:tc>
        <w:tc>
          <w:tcPr>
            <w:tcW w:w="2150" w:type="dxa"/>
            <w:tcBorders>
              <w:top w:val="single" w:sz="4" w:space="0" w:color="000000"/>
              <w:bottom w:val="single" w:sz="4" w:space="0" w:color="000000"/>
              <w:right w:val="single" w:sz="4" w:space="0" w:color="000000"/>
            </w:tcBorders>
            <w:shd w:color="auto" w:fill="auto" w:val="clear"/>
          </w:tcPr>
          <w:p>
            <w:pPr>
              <w:pStyle w:val="P68B1DB1-Normlny24"/>
              <w:spacing w:lineRule="auto" w:line="240" w:before="0" w:after="0"/>
              <w:rPr>
                <w:lang w:val="en-GB"/>
              </w:rPr>
            </w:pPr>
            <w:r>
              <w:rPr>
                <w:lang w:val="en-GB"/>
              </w:rPr>
            </w:r>
          </w:p>
          <w:p>
            <w:pPr>
              <w:pStyle w:val="P68B1DB1-Normlny24"/>
              <w:spacing w:lineRule="auto" w:line="240" w:before="0" w:after="0"/>
              <w:rPr>
                <w:lang w:val="en-GB"/>
              </w:rPr>
            </w:pPr>
            <w:r>
              <w:rPr>
                <w:lang w:val="en-GB"/>
              </w:rPr>
              <w:t>Expected time to reach the milestone</w:t>
            </w:r>
          </w:p>
          <w:p>
            <w:pPr>
              <w:pStyle w:val="P68B1DB1-Normlny24"/>
              <w:spacing w:lineRule="auto" w:line="240" w:before="0" w:after="0"/>
              <w:rPr>
                <w:color w:val="000000"/>
                <w:lang w:val="en-GB"/>
              </w:rPr>
            </w:pPr>
            <w:r>
              <w:rPr>
                <w:color w:themeColor="text1" w:val="000000"/>
                <w:lang w:val="en-GB"/>
              </w:rPr>
            </w:r>
          </w:p>
        </w:tc>
      </w:tr>
      <w:tr>
        <w:trPr>
          <w:trHeight w:val="291" w:hRule="atLeast"/>
        </w:trPr>
        <w:tc>
          <w:tcPr>
            <w:tcW w:w="1256"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w:t>
            </w:r>
          </w:p>
        </w:tc>
        <w:tc>
          <w:tcPr>
            <w:tcW w:w="41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New algebras with EKP or SEKP</w:t>
            </w:r>
          </w:p>
          <w:p>
            <w:pPr>
              <w:pStyle w:val="P68B1DB1-Normlny19"/>
              <w:spacing w:lineRule="auto" w:line="240" w:before="0" w:after="0"/>
              <w:rPr>
                <w:lang w:val="en-GB"/>
              </w:rPr>
            </w:pPr>
            <w:r>
              <w:rPr>
                <w:lang w:val="en-GB"/>
              </w:rPr>
              <w:t>in rings and groups</w:t>
            </w:r>
          </w:p>
        </w:tc>
        <w:tc>
          <w:tcPr>
            <w:tcW w:w="111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1</w:t>
            </w:r>
          </w:p>
        </w:tc>
        <w:tc>
          <w:tcPr>
            <w:tcW w:w="1394" w:type="dxa"/>
            <w:tcBorders>
              <w:bottom w:val="single" w:sz="4" w:space="0" w:color="000000"/>
              <w:right w:val="single" w:sz="4" w:space="0" w:color="000000"/>
            </w:tcBorders>
            <w:shd w:color="auto" w:fill="auto" w:val="clear"/>
          </w:tcPr>
          <w:p>
            <w:pPr>
              <w:pStyle w:val="P68B1DB1-Normlny24"/>
              <w:spacing w:lineRule="auto" w:line="240" w:before="0" w:after="0"/>
              <w:rPr>
                <w:b w:val="false"/>
                <w:lang w:val="en-GB"/>
              </w:rPr>
            </w:pPr>
            <w:r>
              <w:rPr>
                <w:b w:val="false"/>
                <w:lang w:val="en-GB"/>
              </w:rPr>
            </w:r>
          </w:p>
          <w:p>
            <w:pPr>
              <w:pStyle w:val="P68B1DB1-Normlny24"/>
              <w:spacing w:lineRule="auto" w:line="240" w:before="0" w:after="0"/>
              <w:rPr>
                <w:b w:val="false"/>
                <w:color w:val="000000"/>
                <w:lang w:val="en-GB"/>
              </w:rPr>
            </w:pPr>
            <w:r>
              <w:rPr>
                <w:b w:val="false"/>
                <w:lang w:val="en-GB"/>
              </w:rPr>
              <w:t>Peer review</w:t>
            </w:r>
          </w:p>
        </w:tc>
        <w:tc>
          <w:tcPr>
            <w:tcW w:w="2150"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M7</w:t>
            </w:r>
          </w:p>
        </w:tc>
      </w:tr>
      <w:tr>
        <w:trPr>
          <w:trHeight w:val="291" w:hRule="atLeast"/>
        </w:trPr>
        <w:tc>
          <w:tcPr>
            <w:tcW w:w="1256"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2</w:t>
            </w:r>
          </w:p>
        </w:tc>
        <w:tc>
          <w:tcPr>
            <w:tcW w:w="41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Some rings and groups with EDL</w:t>
            </w:r>
          </w:p>
          <w:p>
            <w:pPr>
              <w:pStyle w:val="P68B1DB1-Normlny19"/>
              <w:spacing w:lineRule="auto" w:line="240" w:before="0" w:after="0"/>
              <w:rPr>
                <w:lang w:val="en-GB"/>
              </w:rPr>
            </w:pPr>
            <w:r>
              <w:rPr>
                <w:lang w:val="en-GB"/>
              </w:rPr>
              <w:t>and application of them in Universal algebra</w:t>
            </w:r>
          </w:p>
        </w:tc>
        <w:tc>
          <w:tcPr>
            <w:tcW w:w="111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2</w:t>
            </w:r>
          </w:p>
        </w:tc>
        <w:tc>
          <w:tcPr>
            <w:tcW w:w="13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Peer review</w:t>
            </w:r>
          </w:p>
        </w:tc>
        <w:tc>
          <w:tcPr>
            <w:tcW w:w="2150"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M13</w:t>
            </w:r>
          </w:p>
        </w:tc>
      </w:tr>
      <w:tr>
        <w:trPr>
          <w:trHeight w:val="291" w:hRule="atLeast"/>
        </w:trPr>
        <w:tc>
          <w:tcPr>
            <w:tcW w:w="1256"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3</w:t>
            </w:r>
          </w:p>
        </w:tc>
        <w:tc>
          <w:tcPr>
            <w:tcW w:w="41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Overview of DL- </w:t>
            </w:r>
            <w:r>
              <w:rPr>
                <w:lang w:val="en-US"/>
              </w:rPr>
              <w:t>classes of rings, groups, semigroups, modules, algebras over fields</w:t>
            </w:r>
          </w:p>
        </w:tc>
        <w:tc>
          <w:tcPr>
            <w:tcW w:w="111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3</w:t>
            </w:r>
          </w:p>
        </w:tc>
        <w:tc>
          <w:tcPr>
            <w:tcW w:w="13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Expert review</w:t>
            </w:r>
          </w:p>
        </w:tc>
        <w:tc>
          <w:tcPr>
            <w:tcW w:w="2150"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M19</w:t>
            </w:r>
          </w:p>
        </w:tc>
      </w:tr>
      <w:tr>
        <w:trPr>
          <w:trHeight w:val="850" w:hRule="atLeast"/>
        </w:trPr>
        <w:tc>
          <w:tcPr>
            <w:tcW w:w="1256" w:type="dxa"/>
            <w:tcBorders>
              <w:left w:val="single" w:sz="4" w:space="0" w:color="000000"/>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4</w:t>
            </w:r>
          </w:p>
        </w:tc>
        <w:tc>
          <w:tcPr>
            <w:tcW w:w="418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r>
          </w:p>
          <w:p>
            <w:pPr>
              <w:pStyle w:val="P68B1DB1-Normlny19"/>
              <w:spacing w:lineRule="auto" w:line="240" w:before="0" w:after="0"/>
              <w:rPr>
                <w:lang w:val="en-GB"/>
              </w:rPr>
            </w:pPr>
            <w:r>
              <w:rPr>
                <w:lang w:val="en-GB"/>
              </w:rPr>
              <w:t>Some properties of the lattice</w:t>
            </w:r>
          </w:p>
          <w:p>
            <w:pPr>
              <w:pStyle w:val="P68B1DB1-Normlny19"/>
              <w:spacing w:lineRule="auto" w:line="240" w:before="0" w:after="0"/>
              <w:rPr>
                <w:lang w:val="en-GB"/>
              </w:rPr>
            </w:pPr>
            <w:r>
              <w:rPr>
                <w:lang w:val="en-GB"/>
              </w:rPr>
              <w:t>of DL-classes of rings</w:t>
            </w:r>
          </w:p>
        </w:tc>
        <w:tc>
          <w:tcPr>
            <w:tcW w:w="1117"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3</w:t>
            </w:r>
          </w:p>
        </w:tc>
        <w:tc>
          <w:tcPr>
            <w:tcW w:w="1394" w:type="dxa"/>
            <w:tcBorders>
              <w:bottom w:val="single" w:sz="4" w:space="0" w:color="000000"/>
              <w:right w:val="single" w:sz="4" w:space="0" w:color="000000"/>
            </w:tcBorders>
            <w:shd w:color="auto" w:fill="auto" w:val="clear"/>
          </w:tcPr>
          <w:p>
            <w:pPr>
              <w:pStyle w:val="P68B1DB1-Normlny19"/>
              <w:spacing w:lineRule="auto" w:line="240" w:before="0" w:after="0"/>
              <w:rPr>
                <w:lang w:val="en-GB"/>
              </w:rPr>
            </w:pPr>
            <w:r>
              <w:rPr>
                <w:lang w:val="en-GB"/>
              </w:rPr>
            </w:r>
          </w:p>
          <w:p>
            <w:pPr>
              <w:pStyle w:val="P68B1DB1-Normlny19"/>
              <w:spacing w:lineRule="auto" w:line="240" w:before="0" w:after="0"/>
              <w:rPr>
                <w:lang w:val="en-GB"/>
              </w:rPr>
            </w:pPr>
            <w:r>
              <w:rPr>
                <w:lang w:val="en-GB"/>
              </w:rPr>
              <w:t>Peer review</w:t>
            </w:r>
          </w:p>
        </w:tc>
        <w:tc>
          <w:tcPr>
            <w:tcW w:w="2150" w:type="dxa"/>
            <w:tcBorders>
              <w:bottom w:val="single" w:sz="4" w:space="0" w:color="000000"/>
              <w:right w:val="single" w:sz="4" w:space="0" w:color="000000"/>
            </w:tcBorders>
            <w:shd w:color="auto" w:fill="auto" w:val="clear"/>
          </w:tcPr>
          <w:p>
            <w:pPr>
              <w:pStyle w:val="P68B1DB1-Normlny19"/>
              <w:spacing w:lineRule="auto" w:line="240" w:before="0" w:after="0"/>
              <w:jc w:val="center"/>
              <w:rPr>
                <w:lang w:val="en-GB"/>
              </w:rPr>
            </w:pPr>
            <w:r>
              <w:rPr>
                <w:lang w:val="en-GB"/>
              </w:rPr>
            </w:r>
          </w:p>
          <w:p>
            <w:pPr>
              <w:pStyle w:val="P68B1DB1-Normlny19"/>
              <w:spacing w:lineRule="auto" w:line="240" w:before="0" w:after="0"/>
              <w:jc w:val="center"/>
              <w:rPr>
                <w:lang w:val="en-GB"/>
              </w:rPr>
            </w:pPr>
            <w:r>
              <w:rPr>
                <w:lang w:val="en-GB"/>
              </w:rPr>
              <w:t>M21</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szCs w:val="22"/>
          <w:highlight w:val="lightGray"/>
        </w:rPr>
      </w:pPr>
      <w:r>
        <w:rPr>
          <w:rFonts w:cs="Calibri" w:cstheme="minorHAnsi" w:ascii="Calibri" w:hAnsi="Calibri"/>
          <w:i/>
          <w:sz w:val="22"/>
          <w:szCs w:val="22"/>
          <w:highlight w:val="lightGray"/>
        </w:rPr>
      </w:r>
    </w:p>
    <w:p>
      <w:pPr>
        <w:pStyle w:val="Paragraph"/>
        <w:spacing w:beforeAutospacing="0" w:before="0" w:afterAutospacing="0" w:after="0"/>
        <w:jc w:val="both"/>
        <w:textAlignment w:val="baseline"/>
        <w:rPr>
          <w:rFonts w:ascii="Calibri" w:hAnsi="Calibri" w:cs="Calibri" w:asciiTheme="minorHAnsi" w:cstheme="minorHAnsi" w:hAnsiTheme="minorHAnsi"/>
          <w:sz w:val="22"/>
          <w:highlight w:val="lightGray"/>
          <w:lang w:val="en-GB"/>
        </w:rPr>
      </w:pPr>
      <w:r>
        <w:rPr>
          <w:rFonts w:cs="Calibri" w:cstheme="minorHAnsi" w:ascii="Calibri" w:hAnsi="Calibri"/>
          <w:sz w:val="22"/>
          <w:highlight w:val="lightGray"/>
          <w:lang w:val="en-GB"/>
        </w:rPr>
      </w:r>
    </w:p>
    <w:p>
      <w:pPr>
        <w:pStyle w:val="P68B1DB1-Nadpis315"/>
        <w:spacing w:before="120" w:after="120"/>
        <w:rPr>
          <w:lang w:val="en-GB"/>
        </w:rPr>
      </w:pPr>
      <w:bookmarkStart w:id="19" w:name="_Toc146551750"/>
      <w:bookmarkStart w:id="20" w:name="_Toc117149278"/>
      <w:r>
        <w:rPr>
          <w:lang w:val="en-GB"/>
        </w:rPr>
        <w:t xml:space="preserve">3.2 </w:t>
      </w:r>
      <w:bookmarkEnd w:id="20"/>
      <w:r>
        <w:rPr>
          <w:rStyle w:val="Normaltextrun"/>
          <w:caps w:val="false"/>
          <w:smallCaps w:val="false"/>
          <w:lang w:val="en-GB"/>
        </w:rPr>
        <w:t>IMPLEMENTATION RISKS AND PROPOSED MEASURES</w:t>
      </w:r>
      <w:bookmarkEnd w:id="19"/>
      <w:r>
        <w:rPr>
          <w:caps w:val="false"/>
          <w:smallCaps w:val="false"/>
          <w:lang w:val="en-GB"/>
        </w:rPr>
        <w:t xml:space="preserve">  </w:t>
      </w:r>
    </w:p>
    <w:p>
      <w:pPr>
        <w:pStyle w:val="Paragraph"/>
        <w:spacing w:beforeAutospacing="0" w:before="0" w:afterAutospacing="0" w:after="0"/>
        <w:jc w:val="both"/>
        <w:rPr>
          <w:rFonts w:ascii="Calibri" w:hAnsi="Calibri" w:cs="" w:asciiTheme="minorHAnsi" w:cstheme="minorBidi" w:hAnsiTheme="minorHAnsi"/>
          <w:lang w:val="en-GB"/>
        </w:rPr>
      </w:pPr>
      <w:r>
        <w:rPr>
          <w:rFonts w:cs="" w:cstheme="minorBidi" w:ascii="Calibri" w:hAnsi="Calibri"/>
          <w:lang w:val="en-GB"/>
        </w:rPr>
      </w:r>
    </w:p>
    <w:p>
      <w:pPr>
        <w:pStyle w:val="P68B1DB1-paragraph30"/>
        <w:spacing w:beforeAutospacing="0" w:before="0" w:afterAutospacing="0" w:after="0"/>
        <w:jc w:val="both"/>
        <w:rPr>
          <w:i w:val="false"/>
          <w:i w:val="false"/>
          <w:color w:themeColor="text1" w:val="000000"/>
          <w:highlight w:val="none"/>
          <w:lang w:val="en-GB"/>
        </w:rPr>
      </w:pPr>
      <w:r>
        <w:rPr>
          <w:i w:val="false"/>
          <w:color w:themeColor="text1" w:val="000000"/>
          <w:highlight w:val="none"/>
          <w:lang w:val="en-GB"/>
        </w:rPr>
        <w:t>A list of risks and problems that may hinder the smooth implementation of the project consists mainly of problems with publication delays, either caused by publisher and an unexpectedly long review process, or if the studied problem turns out to be more complicated than expected. Further, due to the experiences from past years we must also take into account the possibility of a pandemic, which can cause a lockdown or similar obstacles. Since this project is focused on basic research, we do not expect any legislative issues. In order to avoid these problems, each risk will be assessed in terms of its severity and likelihood of occurrence. We will identify its triggers and indicators and develop the corresponding mitigation strategies and contingency plans.</w:t>
      </w:r>
    </w:p>
    <w:p>
      <w:pPr>
        <w:pStyle w:val="P68B1DB1-paragraph30"/>
        <w:spacing w:beforeAutospacing="0" w:before="0" w:afterAutospacing="0" w:after="0"/>
        <w:jc w:val="both"/>
        <w:rPr>
          <w:i w:val="false"/>
          <w:i w:val="false"/>
          <w:color w:themeColor="text1" w:val="000000"/>
          <w:highlight w:val="none"/>
        </w:rPr>
      </w:pPr>
      <w:r>
        <w:rPr>
          <w:i w:val="false"/>
          <w:color w:themeColor="text1" w:val="000000"/>
          <w:highlight w:val="none"/>
        </w:rPr>
      </w:r>
    </w:p>
    <w:p>
      <w:pPr>
        <w:pStyle w:val="P68B1DB1-Nadpis423"/>
        <w:rPr>
          <w:lang w:val="en-GB"/>
        </w:rPr>
      </w:pPr>
      <w:r>
        <w:rPr>
          <w:lang w:val="en-GB"/>
        </w:rPr>
        <w:t>3.2.1 Risks of implementation:</w:t>
      </w:r>
    </w:p>
    <w:p>
      <w:pPr>
        <w:pStyle w:val="P68B1DB1-Nadpis423"/>
        <w:rPr>
          <w:lang w:val="en-GB"/>
        </w:rPr>
      </w:pPr>
      <w:r>
        <w:rPr>
          <w:lang w:val="en-GB"/>
        </w:rPr>
      </w:r>
    </w:p>
    <w:tbl>
      <w:tblPr>
        <w:tblW w:w="5000" w:type="pct"/>
        <w:jc w:val="left"/>
        <w:tblInd w:w="0" w:type="dxa"/>
        <w:tblLayout w:type="fixed"/>
        <w:tblCellMar>
          <w:top w:w="0" w:type="dxa"/>
          <w:left w:w="70" w:type="dxa"/>
          <w:bottom w:w="0" w:type="dxa"/>
          <w:right w:w="70" w:type="dxa"/>
        </w:tblCellMar>
        <w:tblLook w:val="04a0" w:noVBand="1" w:noHBand="0" w:lastColumn="0" w:firstColumn="1" w:lastRow="0" w:firstRow="1"/>
      </w:tblPr>
      <w:tblGrid>
        <w:gridCol w:w="3587"/>
        <w:gridCol w:w="2347"/>
        <w:gridCol w:w="4270"/>
      </w:tblGrid>
      <w:tr>
        <w:trPr>
          <w:trHeight w:val="516" w:hRule="atLeast"/>
        </w:trPr>
        <w:tc>
          <w:tcPr>
            <w:tcW w:w="3587"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rPr>
            </w:pPr>
            <w:r>
              <w:rPr>
                <w:rFonts w:eastAsia="Times New Roman" w:cs="Arial" w:ascii="Arial" w:hAnsi="Arial"/>
                <w:b/>
                <w:color w:val="000000"/>
                <w:sz w:val="20"/>
              </w:rPr>
            </w:r>
          </w:p>
          <w:p>
            <w:pPr>
              <w:pStyle w:val="Normal"/>
              <w:spacing w:lineRule="auto" w:line="240" w:before="0" w:after="0"/>
              <w:rPr>
                <w:rFonts w:ascii="Arial" w:hAnsi="Arial" w:eastAsia="Times New Roman" w:cs="Arial"/>
                <w:b/>
                <w:color w:val="000000"/>
                <w:sz w:val="20"/>
              </w:rPr>
            </w:pPr>
            <w:r>
              <w:rPr>
                <w:rFonts w:eastAsia="Times New Roman" w:cs="Arial" w:ascii="Arial" w:hAnsi="Arial"/>
                <w:b/>
                <w:color w:val="000000"/>
                <w:sz w:val="20"/>
              </w:rPr>
              <w:t>Description of the risk of implementation (severity)</w:t>
            </w:r>
          </w:p>
        </w:tc>
        <w:tc>
          <w:tcPr>
            <w:tcW w:w="2347" w:type="dxa"/>
            <w:tcBorders>
              <w:top w:val="single" w:sz="4" w:space="0" w:color="000000"/>
              <w:bottom w:val="single" w:sz="4" w:space="0" w:color="000000"/>
              <w:right w:val="single" w:sz="4" w:space="0" w:color="000000"/>
            </w:tcBorders>
          </w:tcPr>
          <w:p>
            <w:pPr>
              <w:pStyle w:val="P68B1DB1-Normlny19"/>
              <w:spacing w:lineRule="auto" w:line="240" w:before="0" w:after="0"/>
              <w:rPr>
                <w:b/>
              </w:rPr>
            </w:pPr>
            <w:r>
              <w:rPr>
                <w:b/>
              </w:rPr>
            </w:r>
          </w:p>
          <w:p>
            <w:pPr>
              <w:pStyle w:val="P68B1DB1-Normlny19"/>
              <w:spacing w:lineRule="auto" w:line="240" w:before="0" w:after="0"/>
              <w:rPr>
                <w:b/>
              </w:rPr>
            </w:pPr>
            <w:r>
              <w:rPr>
                <w:b/>
              </w:rPr>
              <w:t xml:space="preserve">Work package </w:t>
              <w:br/>
            </w:r>
          </w:p>
        </w:tc>
        <w:tc>
          <w:tcPr>
            <w:tcW w:w="4270" w:type="dxa"/>
            <w:tcBorders>
              <w:top w:val="single" w:sz="4" w:space="0" w:color="000000"/>
              <w:bottom w:val="single" w:sz="4" w:space="0" w:color="000000"/>
              <w:right w:val="single" w:sz="4" w:space="0" w:color="000000"/>
            </w:tcBorders>
          </w:tcPr>
          <w:p>
            <w:pPr>
              <w:pStyle w:val="P68B1DB1-Normlny24"/>
              <w:spacing w:lineRule="auto" w:line="240" w:before="0" w:after="0"/>
              <w:rPr/>
            </w:pPr>
            <w:r>
              <w:rPr/>
            </w:r>
          </w:p>
          <w:p>
            <w:pPr>
              <w:pStyle w:val="P68B1DB1-Normlny24"/>
              <w:spacing w:lineRule="auto" w:line="240" w:before="0" w:after="0"/>
              <w:rPr>
                <w:color w:val="000000"/>
              </w:rPr>
            </w:pPr>
            <w:r>
              <w:rPr/>
              <w:t>Proposed measures for risk mitigation or elimination</w:t>
            </w:r>
          </w:p>
        </w:tc>
      </w:tr>
      <w:tr>
        <w:trPr>
          <w:trHeight w:val="769" w:hRule="atLeast"/>
        </w:trPr>
        <w:tc>
          <w:tcPr>
            <w:tcW w:w="3587" w:type="dxa"/>
            <w:tcBorders>
              <w:left w:val="single" w:sz="4" w:space="0" w:color="000000"/>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 </w:t>
            </w:r>
            <w:r>
              <w:rPr/>
              <w:t>Publication delays (medium)</w:t>
            </w:r>
          </w:p>
        </w:tc>
        <w:tc>
          <w:tcPr>
            <w:tcW w:w="2347" w:type="dxa"/>
            <w:tcBorders>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WP1, WP2, WP3</w:t>
            </w:r>
          </w:p>
        </w:tc>
        <w:tc>
          <w:tcPr>
            <w:tcW w:w="4270" w:type="dxa"/>
            <w:tcBorders>
              <w:bottom w:val="single" w:sz="4" w:space="0" w:color="000000"/>
              <w:right w:val="single" w:sz="4" w:space="0" w:color="000000"/>
            </w:tcBorders>
          </w:tcPr>
          <w:p>
            <w:pPr>
              <w:pStyle w:val="P68B1DB1-Normlny19"/>
              <w:spacing w:lineRule="auto" w:line="240" w:before="0" w:after="0"/>
              <w:rPr/>
            </w:pPr>
            <w:r>
              <w:rPr/>
              <w:t>Check journal’s average publication time. Monitor the progress. Contact Editor after the internal deadline is crossed.</w:t>
            </w:r>
          </w:p>
        </w:tc>
      </w:tr>
      <w:tr>
        <w:trPr>
          <w:trHeight w:val="695" w:hRule="atLeast"/>
        </w:trPr>
        <w:tc>
          <w:tcPr>
            <w:tcW w:w="3587" w:type="dxa"/>
            <w:tcBorders>
              <w:left w:val="single" w:sz="4" w:space="0" w:color="000000"/>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Task is too complicated (low)</w:t>
            </w:r>
          </w:p>
        </w:tc>
        <w:tc>
          <w:tcPr>
            <w:tcW w:w="2347" w:type="dxa"/>
            <w:tcBorders>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WP1, WP2, WP3</w:t>
            </w:r>
          </w:p>
        </w:tc>
        <w:tc>
          <w:tcPr>
            <w:tcW w:w="4270" w:type="dxa"/>
            <w:tcBorders>
              <w:bottom w:val="single" w:sz="4" w:space="0" w:color="000000"/>
              <w:right w:val="single" w:sz="4" w:space="0" w:color="000000"/>
            </w:tcBorders>
          </w:tcPr>
          <w:p>
            <w:pPr>
              <w:pStyle w:val="P68B1DB1-Normlny19"/>
              <w:spacing w:lineRule="auto" w:line="240" w:before="0" w:after="0"/>
              <w:rPr/>
            </w:pPr>
            <w:r>
              <w:rPr/>
              <w:t>Contact experts working in the field for cooperation on the solution of the task.  In the worst-case scenario – if none of the experts would be able to solve the task or give actionable recommendations, skip it and focus on subsequent tasks.</w:t>
            </w:r>
          </w:p>
        </w:tc>
      </w:tr>
      <w:tr>
        <w:trPr>
          <w:trHeight w:val="759" w:hRule="atLeast"/>
        </w:trPr>
        <w:tc>
          <w:tcPr>
            <w:tcW w:w="3587" w:type="dxa"/>
            <w:tcBorders>
              <w:left w:val="single" w:sz="4" w:space="0" w:color="000000"/>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Pandemic (medium)</w:t>
            </w:r>
          </w:p>
        </w:tc>
        <w:tc>
          <w:tcPr>
            <w:tcW w:w="2347" w:type="dxa"/>
            <w:tcBorders>
              <w:bottom w:val="single" w:sz="4" w:space="0" w:color="000000"/>
              <w:right w:val="single" w:sz="4" w:space="0" w:color="000000"/>
            </w:tcBorders>
          </w:tcPr>
          <w:p>
            <w:pPr>
              <w:pStyle w:val="P68B1DB1-Normlny19"/>
              <w:spacing w:lineRule="auto" w:line="240" w:before="0" w:after="0"/>
              <w:rPr/>
            </w:pPr>
            <w:r>
              <w:rPr/>
            </w:r>
          </w:p>
          <w:p>
            <w:pPr>
              <w:pStyle w:val="P68B1DB1-Normlny19"/>
              <w:spacing w:lineRule="auto" w:line="240" w:before="0" w:after="0"/>
              <w:rPr/>
            </w:pPr>
            <w:r>
              <w:rPr/>
              <w:t>All WPs</w:t>
            </w:r>
          </w:p>
        </w:tc>
        <w:tc>
          <w:tcPr>
            <w:tcW w:w="4270" w:type="dxa"/>
            <w:tcBorders>
              <w:bottom w:val="single" w:sz="4" w:space="0" w:color="000000"/>
              <w:right w:val="single" w:sz="4" w:space="0" w:color="000000"/>
            </w:tcBorders>
          </w:tcPr>
          <w:p>
            <w:pPr>
              <w:pStyle w:val="P68B1DB1-Normlny19"/>
              <w:spacing w:lineRule="auto" w:line="240" w:before="0" w:after="0"/>
              <w:rPr/>
            </w:pPr>
            <w:r>
              <w:rPr/>
              <w:t>Focus on online conferences, collaboration via online tools and use home office</w:t>
            </w:r>
          </w:p>
        </w:tc>
      </w:tr>
    </w:tbl>
    <w:p>
      <w:pPr>
        <w:pStyle w:val="Normal"/>
        <w:rPr/>
      </w:pPr>
      <w:r>
        <w:rPr/>
      </w:r>
    </w:p>
    <w:p>
      <w:pPr>
        <w:pStyle w:val="Paragraph"/>
        <w:spacing w:beforeAutospacing="0" w:before="0" w:afterAutospacing="0" w:after="0"/>
        <w:jc w:val="both"/>
        <w:textAlignment w:val="baseline"/>
        <w:rPr>
          <w:rFonts w:ascii="Calibri" w:hAnsi="Calibri" w:cs="Calibri" w:asciiTheme="minorHAnsi" w:cstheme="minorHAnsi" w:hAnsiTheme="minorHAnsi"/>
        </w:rPr>
      </w:pPr>
      <w:r>
        <w:rPr>
          <w:rFonts w:cs="Calibri" w:cstheme="minorHAnsi" w:ascii="Calibri" w:hAnsi="Calibri"/>
        </w:rPr>
      </w:r>
    </w:p>
    <w:p>
      <w:pPr>
        <w:pStyle w:val="P68B1DB1-Nadpis314"/>
        <w:rPr>
          <w:lang w:val="en-GB"/>
        </w:rPr>
      </w:pPr>
      <w:bookmarkStart w:id="21" w:name="_Toc146551751"/>
      <w:bookmarkStart w:id="22" w:name="_Toc117149279"/>
      <w:r>
        <w:rPr>
          <w:lang w:val="en-GB"/>
        </w:rPr>
        <w:t xml:space="preserve">3.3 </w:t>
      </w:r>
      <w:bookmarkEnd w:id="22"/>
      <w:r>
        <w:rPr>
          <w:rStyle w:val="Normaltextrun"/>
          <w:lang w:val="en-GB"/>
        </w:rPr>
        <w:t>OPERATIONAL CAPACITY OF THE APPLICANT/HOST ORGANISATION</w:t>
      </w:r>
      <w:bookmarkEnd w:id="21"/>
    </w:p>
    <w:p>
      <w:pPr>
        <w:pStyle w:val="Normal"/>
        <w:rPr>
          <w:rFonts w:ascii="Arial" w:hAnsi="Arial" w:eastAsia="" w:cs="Arial" w:eastAsiaTheme="majorEastAsia"/>
          <w:szCs w:val="22"/>
          <w:lang w:val="en-GB"/>
        </w:rPr>
      </w:pPr>
      <w:r>
        <w:rPr>
          <w:rFonts w:eastAsia="" w:cs="Arial" w:eastAsiaTheme="majorEastAsia" w:ascii="Arial" w:hAnsi="Arial"/>
          <w:szCs w:val="22"/>
          <w:lang w:val="en-GB"/>
        </w:rPr>
      </w:r>
    </w:p>
    <w:p>
      <w:pPr>
        <w:pStyle w:val="Normal"/>
        <w:rPr>
          <w:rFonts w:ascii="Arial" w:hAnsi="Arial" w:cs="Arial"/>
          <w:lang w:val="en-GB"/>
        </w:rPr>
      </w:pPr>
      <w:r>
        <w:rPr>
          <w:rFonts w:cs="Arial" w:ascii="Arial" w:hAnsi="Arial"/>
          <w:szCs w:val="22"/>
          <w:lang w:val="en-GB"/>
        </w:rPr>
        <w:t xml:space="preserve">Research in mathematics doesn’t require much </w:t>
      </w:r>
      <w:r>
        <w:rPr>
          <w:rFonts w:cs="Arial" w:ascii="Arial" w:hAnsi="Arial"/>
          <w:b/>
          <w:szCs w:val="22"/>
          <w:lang w:val="en-GB"/>
        </w:rPr>
        <w:t>staff, technical, infrastructure capacities</w:t>
      </w:r>
      <w:r>
        <w:rPr>
          <w:rFonts w:cs="Arial" w:ascii="Arial" w:hAnsi="Arial"/>
          <w:i/>
          <w:szCs w:val="22"/>
          <w:lang w:val="en-GB"/>
        </w:rPr>
        <w:t xml:space="preserve">. </w:t>
      </w:r>
      <w:r>
        <w:rPr>
          <w:rFonts w:cs="Arial" w:ascii="Arial" w:hAnsi="Arial"/>
          <w:szCs w:val="22"/>
          <w:lang w:val="en-GB"/>
        </w:rPr>
        <w:t>This is also the case with the implementation of this project.</w:t>
      </w:r>
      <w:r>
        <w:rPr>
          <w:rFonts w:cs="Arial" w:ascii="Arial" w:hAnsi="Arial"/>
          <w:lang w:val="en-GB"/>
        </w:rPr>
        <w:t xml:space="preserve"> </w:t>
      </w:r>
      <w:r>
        <w:rPr>
          <w:rFonts w:cs="Arial" w:ascii="Arial" w:hAnsi="Arial"/>
          <w:szCs w:val="22"/>
          <w:lang w:val="en-GB"/>
        </w:rPr>
        <w:t>The most essential is an office with a desk, a working computer with good security</w:t>
      </w:r>
      <w:r>
        <w:rPr>
          <w:rFonts w:cs="Arial" w:ascii="Arial" w:hAnsi="Arial"/>
          <w:i/>
          <w:szCs w:val="22"/>
          <w:lang w:val="en-GB"/>
        </w:rPr>
        <w:t xml:space="preserve"> </w:t>
      </w:r>
      <w:r>
        <w:rPr>
          <w:rFonts w:cs="Arial" w:ascii="Arial" w:hAnsi="Arial"/>
          <w:szCs w:val="22"/>
          <w:lang w:val="en-GB"/>
        </w:rPr>
        <w:t>and access to internet</w:t>
      </w:r>
      <w:r>
        <w:rPr>
          <w:rFonts w:cs="Arial" w:ascii="Arial" w:hAnsi="Arial"/>
          <w:i/>
          <w:szCs w:val="22"/>
          <w:lang w:val="en-GB"/>
        </w:rPr>
        <w:t xml:space="preserve">. </w:t>
      </w:r>
      <w:r>
        <w:rPr>
          <w:rFonts w:cs="Arial" w:ascii="Arial" w:hAnsi="Arial"/>
          <w:szCs w:val="22"/>
          <w:lang w:val="en-GB"/>
        </w:rPr>
        <w:t>MI SAS has all this capacities</w:t>
      </w:r>
      <w:r>
        <w:rPr>
          <w:rFonts w:cs="Arial" w:ascii="Arial" w:hAnsi="Arial"/>
          <w:i/>
          <w:szCs w:val="22"/>
          <w:lang w:val="en-GB"/>
        </w:rPr>
        <w:t xml:space="preserve"> </w:t>
      </w:r>
      <w:r>
        <w:rPr>
          <w:rFonts w:cs="Arial" w:ascii="Arial" w:hAnsi="Arial"/>
          <w:szCs w:val="22"/>
          <w:lang w:val="en-GB"/>
        </w:rPr>
        <w:t>available fo</w:t>
      </w:r>
      <w:r>
        <w:rPr>
          <w:rFonts w:cs="Arial" w:ascii="Arial" w:hAnsi="Arial"/>
          <w:lang w:val="en-GB"/>
        </w:rPr>
        <w:t>r</w:t>
      </w:r>
      <w:r>
        <w:rPr>
          <w:rFonts w:cs="Arial" w:ascii="Arial" w:hAnsi="Arial"/>
          <w:szCs w:val="22"/>
          <w:lang w:val="en-GB"/>
        </w:rPr>
        <w:t xml:space="preserve"> </w:t>
      </w:r>
      <w:r>
        <w:rPr>
          <w:rFonts w:cs="Arial" w:ascii="Arial" w:hAnsi="Arial"/>
          <w:lang w:val="en-GB"/>
        </w:rPr>
        <w:t xml:space="preserve">every of </w:t>
      </w:r>
      <w:r>
        <w:rPr>
          <w:rFonts w:cs="Arial" w:ascii="Arial" w:hAnsi="Arial"/>
          <w:szCs w:val="22"/>
          <w:lang w:val="en-GB"/>
        </w:rPr>
        <w:t xml:space="preserve"> its employee</w:t>
      </w:r>
      <w:r>
        <w:rPr>
          <w:rFonts w:cs="Arial" w:ascii="Arial" w:hAnsi="Arial"/>
          <w:i/>
          <w:szCs w:val="22"/>
          <w:lang w:val="en-GB"/>
        </w:rPr>
        <w:t xml:space="preserve"> </w:t>
      </w:r>
      <w:r>
        <w:rPr>
          <w:rFonts w:cs="Arial" w:ascii="Arial" w:hAnsi="Arial"/>
          <w:lang w:val="en-GB"/>
        </w:rPr>
        <w:t xml:space="preserve">without restrictions </w:t>
      </w:r>
      <w:r>
        <w:rPr>
          <w:rFonts w:cs="Arial" w:ascii="Arial" w:hAnsi="Arial"/>
          <w:szCs w:val="22"/>
          <w:lang w:val="en-GB"/>
        </w:rPr>
        <w:t>and therefore</w:t>
      </w:r>
      <w:r>
        <w:rPr>
          <w:rFonts w:cs="Arial" w:ascii="Arial" w:hAnsi="Arial"/>
          <w:i/>
          <w:szCs w:val="22"/>
          <w:lang w:val="en-GB"/>
        </w:rPr>
        <w:t xml:space="preserve"> </w:t>
      </w:r>
      <w:r>
        <w:rPr>
          <w:rFonts w:cs="Arial" w:ascii="Arial" w:hAnsi="Arial"/>
          <w:szCs w:val="22"/>
          <w:lang w:val="en-GB"/>
        </w:rPr>
        <w:t>during the whole project. Further, access to databases</w:t>
      </w:r>
      <w:r>
        <w:rPr>
          <w:rFonts w:cs="Arial" w:ascii="Arial" w:hAnsi="Arial"/>
          <w:i/>
          <w:szCs w:val="22"/>
          <w:lang w:val="en-GB"/>
        </w:rPr>
        <w:t xml:space="preserve">  </w:t>
      </w:r>
      <w:r>
        <w:rPr>
          <w:rFonts w:cs="Arial" w:ascii="Arial" w:hAnsi="Arial"/>
          <w:szCs w:val="22"/>
          <w:lang w:val="en-GB"/>
        </w:rPr>
        <w:t>is</w:t>
      </w:r>
      <w:r>
        <w:rPr>
          <w:rFonts w:cs="Arial" w:ascii="Arial" w:hAnsi="Arial"/>
          <w:i/>
          <w:szCs w:val="22"/>
          <w:lang w:val="en-GB"/>
        </w:rPr>
        <w:t xml:space="preserve"> </w:t>
      </w:r>
      <w:r>
        <w:rPr>
          <w:rFonts w:cs="Arial" w:ascii="Arial" w:hAnsi="Arial"/>
          <w:szCs w:val="22"/>
          <w:lang w:val="en-GB"/>
        </w:rPr>
        <w:t>important</w:t>
      </w:r>
      <w:r>
        <w:rPr>
          <w:rFonts w:cs="Arial" w:ascii="Arial" w:hAnsi="Arial"/>
          <w:i/>
          <w:szCs w:val="22"/>
          <w:lang w:val="en-GB"/>
        </w:rPr>
        <w:t xml:space="preserve"> </w:t>
      </w:r>
      <w:r>
        <w:rPr>
          <w:rFonts w:cs="Arial" w:ascii="Arial" w:hAnsi="Arial"/>
          <w:szCs w:val="22"/>
          <w:lang w:val="en-GB"/>
        </w:rPr>
        <w:t>for a researcher</w:t>
      </w:r>
      <w:r>
        <w:rPr>
          <w:rFonts w:cs="Arial" w:ascii="Arial" w:hAnsi="Arial"/>
          <w:i/>
          <w:szCs w:val="22"/>
          <w:lang w:val="en-GB"/>
        </w:rPr>
        <w:t xml:space="preserve">. </w:t>
      </w:r>
      <w:r>
        <w:rPr>
          <w:rFonts w:eastAsia="Times New Roman" w:cs="Arial" w:ascii="Arial" w:hAnsi="Arial"/>
          <w:szCs w:val="22"/>
          <w:lang w:val="en-GB"/>
        </w:rPr>
        <w:t xml:space="preserve">MI SAS provides access to scientific databases as </w:t>
      </w:r>
      <w:r>
        <w:rPr>
          <w:rFonts w:cs="Arial" w:ascii="Arial" w:hAnsi="Arial"/>
          <w:szCs w:val="22"/>
          <w:lang w:val="en-GB"/>
        </w:rPr>
        <w:t>Science Direct, Scopus, WoS, SpringerLink, SpringerNATURE, JSTOR, PLOS, PNAS, Taylor &amp; Francis, Wiley Online Library</w:t>
      </w:r>
      <w:r>
        <w:rPr>
          <w:rFonts w:cs="Arial" w:ascii="Arial" w:hAnsi="Arial"/>
          <w:lang w:val="en-GB"/>
        </w:rPr>
        <w:t xml:space="preserve">, etc.  Moreover, it provides access to many </w:t>
      </w:r>
      <w:r>
        <w:rPr>
          <w:rFonts w:cs="Arial" w:ascii="Arial" w:hAnsi="Arial"/>
          <w:szCs w:val="22"/>
          <w:lang w:val="en-GB"/>
        </w:rPr>
        <w:t>scientific journals and databases and high-level library service.</w:t>
      </w:r>
    </w:p>
    <w:p>
      <w:pPr>
        <w:pStyle w:val="P68B1DB1-Normlny31"/>
        <w:rPr>
          <w:i w:val="false"/>
          <w:i w:val="false"/>
          <w:color w:val="auto"/>
          <w:lang w:val="en-GB"/>
        </w:rPr>
      </w:pPr>
      <w:r>
        <w:rPr>
          <w:i w:val="false"/>
          <w:color w:val="auto"/>
          <w:lang w:val="en-GB"/>
        </w:rPr>
        <w:t xml:space="preserve">The researcher will work at the MI SAS workplace in Košice and cooperate especially with E. Halušková. There is a creative and friendly atmosphere at these workplace. In addition to universal algebra, </w:t>
      </w:r>
      <w:r>
        <w:rPr>
          <w:b/>
          <w:i w:val="false"/>
          <w:color w:val="auto"/>
          <w:lang w:val="en-GB"/>
        </w:rPr>
        <w:t>professionals</w:t>
      </w:r>
      <w:r>
        <w:rPr>
          <w:i w:val="false"/>
          <w:color w:val="auto"/>
          <w:lang w:val="en-GB"/>
        </w:rPr>
        <w:t xml:space="preserve"> in the field of logic, complex analysis, and set theory (P. Eliáš, J. Haluška, J. Pócs, M. Repický) will be available here. It is likely that questions from these areas will arise when solving the project, so it is a great advantage to have the opportunity to contact and consult with them immediately. Renowned experts in mathematical structures work at MI SAS outside of Košice (Bratislava: A. Dvurečenskij, A. Jenčová, S. Pulmannová, Banská Bystrica: R. Nedela). The researcher will have the opportunity to consult with them online or visit them in person.</w:t>
      </w:r>
    </w:p>
    <w:p>
      <w:pPr>
        <w:pStyle w:val="P68B1DB1-Normlny31"/>
        <w:rPr>
          <w:lang w:val="en-GB"/>
        </w:rPr>
      </w:pPr>
      <w:r>
        <w:rPr>
          <w:lang w:val="en-GB"/>
        </w:rPr>
      </w:r>
    </w:p>
    <w:p>
      <w:pPr>
        <w:pStyle w:val="P68B1DB1-Normlny31"/>
        <w:rPr>
          <w:lang w:val="en-GB"/>
        </w:rPr>
      </w:pPr>
      <w:r>
        <w:rPr>
          <w:lang w:val="en-GB"/>
        </w:rPr>
        <w:t>3.3.1 Description of the research/innovation infrastructure of the applicant/host organisation that is necessary for the implementation of the project:</w:t>
      </w:r>
    </w:p>
    <w:tbl>
      <w:tblPr>
        <w:tblW w:w="5000" w:type="pct"/>
        <w:jc w:val="left"/>
        <w:tblInd w:w="75" w:type="dxa"/>
        <w:tblLayout w:type="fixed"/>
        <w:tblCellMar>
          <w:top w:w="15" w:type="dxa"/>
          <w:left w:w="70" w:type="dxa"/>
          <w:bottom w:w="15" w:type="dxa"/>
          <w:right w:w="70" w:type="dxa"/>
        </w:tblCellMar>
        <w:tblLook w:val="04a0" w:noVBand="1" w:noHBand="0" w:lastColumn="0" w:firstColumn="1" w:lastRow="0" w:firstRow="1"/>
      </w:tblPr>
      <w:tblGrid>
        <w:gridCol w:w="3830"/>
        <w:gridCol w:w="6373"/>
      </w:tblGrid>
      <w:tr>
        <w:trPr>
          <w:trHeight w:val="660" w:hRule="atLeast"/>
        </w:trPr>
        <w:tc>
          <w:tcPr>
            <w:tcW w:w="3830"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before="0" w:after="160"/>
              <w:rPr>
                <w:lang w:val="en-GB"/>
              </w:rPr>
            </w:pPr>
            <w:r>
              <w:rPr>
                <w:lang w:val="en-GB"/>
              </w:rPr>
              <w:br/>
              <w:t>Name of infrastructure or equipment</w:t>
              <w:br/>
            </w:r>
          </w:p>
        </w:tc>
        <w:tc>
          <w:tcPr>
            <w:tcW w:w="6373" w:type="dxa"/>
            <w:tcBorders>
              <w:top w:val="single" w:sz="4" w:space="0" w:color="000000"/>
              <w:left w:val="single" w:sz="4" w:space="0" w:color="000000"/>
              <w:bottom w:val="single" w:sz="4" w:space="0" w:color="000000"/>
              <w:right w:val="single" w:sz="4" w:space="0" w:color="000000"/>
            </w:tcBorders>
          </w:tcPr>
          <w:p>
            <w:pPr>
              <w:pStyle w:val="P68B1DB1-Normlny24"/>
              <w:widowControl w:val="false"/>
              <w:spacing w:lineRule="auto" w:line="240" w:before="0" w:after="0"/>
              <w:rPr>
                <w:lang w:val="en-GB"/>
              </w:rPr>
            </w:pPr>
            <w:r>
              <w:rPr>
                <w:lang w:val="en-GB"/>
              </w:rPr>
            </w:r>
          </w:p>
          <w:p>
            <w:pPr>
              <w:pStyle w:val="P68B1DB1-Normlny24"/>
              <w:widowControl w:val="false"/>
              <w:spacing w:lineRule="auto" w:line="240" w:before="0" w:after="0"/>
              <w:rPr>
                <w:lang w:val="en-GB"/>
              </w:rPr>
            </w:pPr>
            <w:r>
              <w:rPr>
                <w:lang w:val="en-GB"/>
              </w:rPr>
              <w:t>Short description</w:t>
            </w:r>
          </w:p>
        </w:tc>
      </w:tr>
      <w:tr>
        <w:trPr>
          <w:trHeight w:val="300" w:hRule="exact"/>
        </w:trPr>
        <w:tc>
          <w:tcPr>
            <w:tcW w:w="38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color w:val="000000"/>
                <w:sz w:val="20"/>
                <w:lang w:val="en-GB"/>
              </w:rPr>
            </w:pPr>
            <w:r>
              <w:rPr>
                <w:rFonts w:eastAsia="Times New Roman" w:cs="Arial" w:ascii="Arial" w:hAnsi="Arial"/>
                <w:color w:val="000000"/>
                <w:sz w:val="20"/>
                <w:lang w:val="en-GB"/>
              </w:rPr>
              <w:t>Office</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Desk, computer, internet</w:t>
            </w:r>
          </w:p>
        </w:tc>
      </w:tr>
      <w:tr>
        <w:trPr>
          <w:trHeight w:val="638" w:hRule="exact"/>
        </w:trPr>
        <w:tc>
          <w:tcPr>
            <w:tcW w:w="38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Supercomputer</w:t>
            </w:r>
          </w:p>
        </w:tc>
        <w:tc>
          <w:tcPr>
            <w:tcW w:w="637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MI SAS has access to the supercomputer</w:t>
            </w:r>
            <w:r>
              <w:rPr>
                <w:rFonts w:cs="Arial" w:ascii="Arial" w:hAnsi="Arial"/>
                <w:sz w:val="20"/>
                <w:lang w:val="en-GB"/>
              </w:rPr>
              <w:t xml:space="preserve"> DEVANA with performance 800 TFlop/s</w:t>
            </w:r>
          </w:p>
        </w:tc>
      </w:tr>
      <w:tr>
        <w:trPr>
          <w:trHeight w:val="1086" w:hRule="exact"/>
        </w:trPr>
        <w:tc>
          <w:tcPr>
            <w:tcW w:w="383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lang w:val="en-GB"/>
              </w:rPr>
            </w:pPr>
            <w:r>
              <w:rPr>
                <w:rFonts w:eastAsia="Times New Roman" w:cs="Arial" w:ascii="Arial" w:hAnsi="Arial"/>
                <w:sz w:val="20"/>
                <w:lang w:val="en-GB"/>
              </w:rPr>
              <w:t>Databases</w:t>
            </w:r>
          </w:p>
        </w:tc>
        <w:tc>
          <w:tcPr>
            <w:tcW w:w="6373"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lang w:val="en-GB"/>
              </w:rPr>
            </w:pPr>
            <w:r>
              <w:rPr>
                <w:rFonts w:eastAsia="Times New Roman" w:cs="Arial" w:ascii="Arial" w:hAnsi="Arial"/>
                <w:sz w:val="20"/>
                <w:lang w:val="en-GB"/>
              </w:rPr>
              <w:t xml:space="preserve">MI SAS provides access to scientific databases as </w:t>
            </w:r>
            <w:r>
              <w:rPr>
                <w:rFonts w:cs="Arial" w:ascii="Arial" w:hAnsi="Arial"/>
                <w:sz w:val="20"/>
                <w:lang w:val="en-GB"/>
              </w:rPr>
              <w:t>Science Direct, Scopus, WoS, SpringerLink, SpringerNATURE, JSTOR, PLOS, PNAS, Taylor &amp; Francis, Wiley Online Library</w:t>
            </w:r>
          </w:p>
          <w:p>
            <w:pPr>
              <w:pStyle w:val="Normal"/>
              <w:rPr>
                <w:lang w:val="en-GB"/>
              </w:rPr>
            </w:pPr>
            <w:r>
              <w:rPr>
                <w:lang w:val="en-GB"/>
              </w:rPr>
            </w:r>
          </w:p>
          <w:p>
            <w:pPr>
              <w:pStyle w:val="Normal"/>
              <w:rPr>
                <w:lang w:val="en-GB"/>
              </w:rPr>
            </w:pPr>
            <w:r>
              <w:rPr>
                <w:lang w:val="en-GB"/>
              </w:rPr>
              <w:t>PNAS, Taylor &amp; Francis, Wiley Online Library, etc.</w:t>
            </w:r>
          </w:p>
          <w:p>
            <w:pPr>
              <w:pStyle w:val="Normal"/>
              <w:widowControl w:val="false"/>
              <w:spacing w:lineRule="auto" w:line="240" w:before="0" w:after="0"/>
              <w:rPr>
                <w:rFonts w:ascii="Times New Roman" w:hAnsi="Times New Roman" w:eastAsia="Times New Roman" w:cs="Arial"/>
                <w:sz w:val="20"/>
                <w:lang w:val="en-GB"/>
              </w:rPr>
            </w:pPr>
            <w:r>
              <w:rPr>
                <w:rFonts w:eastAsia="Times New Roman" w:cs="Arial" w:ascii="Times New Roman" w:hAnsi="Times New Roman"/>
                <w:sz w:val="20"/>
                <w:lang w:val="en-GB"/>
              </w:rPr>
              <w:t>the Web of Science, Mathematical Reviews etc.</w:t>
            </w:r>
          </w:p>
        </w:tc>
      </w:tr>
    </w:tbl>
    <w:p>
      <w:pPr>
        <w:pStyle w:val="Normal"/>
        <w:rPr>
          <w:rFonts w:ascii="Times New Roman" w:hAnsi="Times New Roman"/>
          <w:b/>
          <w:lang w:val="en-GB"/>
        </w:rPr>
      </w:pPr>
      <w:r>
        <w:rPr>
          <w:rFonts w:ascii="Times New Roman" w:hAnsi="Times New Roman"/>
          <w:b/>
          <w:lang w:val="en-GB"/>
        </w:rPr>
      </w:r>
    </w:p>
    <w:p>
      <w:pPr>
        <w:pStyle w:val="P68B1DB1-Normlny32"/>
        <w:jc w:val="both"/>
        <w:rPr>
          <w:rStyle w:val="Eop"/>
          <w:b/>
          <w:lang w:val="en-GB"/>
        </w:rPr>
      </w:pPr>
      <w:r>
        <w:rPr>
          <w:rFonts w:eastAsia="" w:cs="Arial" w:ascii="Arial" w:hAnsi="Arial" w:eastAsiaTheme="majorEastAsia"/>
          <w:color w:themeColor="accent1" w:themeShade="bf" w:val="2E74B5"/>
          <w:lang w:val="en-GB"/>
        </w:rPr>
        <w:t>3.3.2 List of the five most important projects of the applicant/host organisation and their relevance to the proposed project (in the last 5 years)</w:t>
      </w:r>
      <w:r>
        <w:rPr>
          <w:rFonts w:eastAsia="Times New Roman" w:cs="Arial" w:ascii="Arial" w:hAnsi="Arial"/>
          <w:lang w:val="en-GB"/>
        </w:rPr>
        <w:t>:</w:t>
      </w:r>
      <w:r>
        <w:rPr>
          <w:rFonts w:cs="Arial" w:ascii="Arial" w:hAnsi="Arial"/>
          <w:highlight w:val="lightGray"/>
          <w:lang w:val="en-GB"/>
        </w:rPr>
        <w:t xml:space="preserve"> </w:t>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2118"/>
        <w:gridCol w:w="1414"/>
        <w:gridCol w:w="6672"/>
      </w:tblGrid>
      <w:tr>
        <w:trPr>
          <w:trHeight w:val="660" w:hRule="atLeast"/>
        </w:trPr>
        <w:tc>
          <w:tcPr>
            <w:tcW w:w="2118"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t>Project name/ identification</w:t>
            </w:r>
          </w:p>
        </w:tc>
        <w:tc>
          <w:tcPr>
            <w:tcW w:w="1414"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Programme/scheme/</w:t>
              <w:br/>
              <w:t>grant provider</w:t>
            </w:r>
          </w:p>
        </w:tc>
        <w:tc>
          <w:tcPr>
            <w:tcW w:w="6672"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t>Short description</w:t>
            </w:r>
          </w:p>
        </w:tc>
      </w:tr>
      <w:tr>
        <w:trPr>
          <w:trHeight w:val="1274" w:hRule="atLeast"/>
        </w:trPr>
        <w:tc>
          <w:tcPr>
            <w:tcW w:w="21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Cs/>
                <w:sz w:val="20"/>
              </w:rPr>
            </w:pPr>
            <w:r>
              <w:rPr>
                <w:rFonts w:eastAsia="Times New Roman" w:cs="Arial" w:ascii="Arial" w:hAnsi="Arial"/>
                <w:bCs/>
                <w:sz w:val="20"/>
              </w:rPr>
              <w:t>Mathematical support of quantum technologies/</w:t>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sz w:val="20"/>
              </w:rPr>
              <w:t>NFP313010T683</w:t>
            </w:r>
          </w:p>
        </w:tc>
        <w:tc>
          <w:tcPr>
            <w:tcW w:w="141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rPr>
              <w:t>ITMS-2014+</w:t>
            </w:r>
          </w:p>
        </w:tc>
        <w:tc>
          <w:tcPr>
            <w:tcW w:w="66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rPr>
              <w:t>The aim of this project was to enable the main project activity: Independent research and development in the field of obtaining new knowledge about mathematical structures and functions. Among others algebraic structures, effect algebras, synapsis algebras, MV-algebras have been studied.</w:t>
            </w:r>
          </w:p>
        </w:tc>
      </w:tr>
      <w:tr>
        <w:trPr>
          <w:trHeight w:val="300" w:hRule="atLeast"/>
        </w:trPr>
        <w:tc>
          <w:tcPr>
            <w:tcW w:w="211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pacing w:lineRule="auto" w:line="240" w:before="0" w:after="0"/>
              <w:outlineLvl w:val="3"/>
              <w:rPr>
                <w:rFonts w:ascii="Arial" w:hAnsi="Arial" w:eastAsia="Times New Roman" w:cs="Arial"/>
                <w:caps/>
                <w:spacing w:val="-1"/>
                <w:sz w:val="20"/>
              </w:rPr>
            </w:pPr>
            <w:r>
              <w:rPr>
                <w:rFonts w:eastAsia="Times New Roman" w:cs="Arial" w:ascii="Arial" w:hAnsi="Arial"/>
                <w:spacing w:val="-1"/>
                <w:sz w:val="20"/>
              </w:rPr>
              <w:t xml:space="preserve">Probabilistic, algebraic and quantum mechanical methods of uncertainty determination/ </w:t>
              <w:br/>
            </w:r>
            <w:r>
              <w:rPr>
                <w:rFonts w:cs="Arial" w:ascii="Arial" w:hAnsi="Arial"/>
                <w:sz w:val="20"/>
              </w:rPr>
              <w:t>APVV-20-0069</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141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APVV</w:t>
            </w:r>
          </w:p>
        </w:tc>
        <w:tc>
          <w:tcPr>
            <w:tcW w:w="66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Project led by prof. A. Dvurečeskij focuses on the mathematical foundations of quantum mechanics and uncertainty. Solvers deepen their knowledge of partial and total algebras such as effect algebras, MV-algebras, synaptic algebras, orthomodular unions, BL-algebras, EMV-algebras, wEMV-algebras, residue unions and their non-commutative generalizations and states on them in connection with partially organized groups.</w:t>
            </w:r>
          </w:p>
        </w:tc>
      </w:tr>
      <w:tr>
        <w:trPr>
          <w:trHeight w:val="300" w:hRule="atLeast"/>
        </w:trPr>
        <w:tc>
          <w:tcPr>
            <w:tcW w:w="21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 xml:space="preserve">Algebraic and topological aspects of aggregation functions/ </w:t>
            </w:r>
            <w:r>
              <w:rPr>
                <w:rFonts w:cs="Arial" w:ascii="Arial" w:hAnsi="Arial"/>
                <w:sz w:val="20"/>
              </w:rPr>
              <w:t>VEGA 2/0097/20</w:t>
            </w:r>
          </w:p>
        </w:tc>
        <w:tc>
          <w:tcPr>
            <w:tcW w:w="141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VEGA</w:t>
            </w:r>
          </w:p>
        </w:tc>
        <w:tc>
          <w:tcPr>
            <w:tcW w:w="66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J. Pocs et al. are working on the rapidly developing topic of aggregation functions. Methods and results from universal algebra, e.g. from clone theory, they have multiple uses here.</w:t>
            </w:r>
          </w:p>
        </w:tc>
      </w:tr>
      <w:tr>
        <w:trPr>
          <w:trHeight w:val="300" w:hRule="atLeast"/>
        </w:trPr>
        <w:tc>
          <w:tcPr>
            <w:tcW w:w="21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Arial" w:ascii="Arial" w:hAnsi="Arial"/>
                <w:iCs/>
                <w:sz w:val="20"/>
              </w:rPr>
              <w:t xml:space="preserve">Selected Problems in Universal Algebra and Lattice Theory/  </w:t>
            </w:r>
            <w:r>
              <w:rPr>
                <w:rFonts w:cs="Arial" w:ascii="Arial" w:hAnsi="Arial"/>
                <w:sz w:val="20"/>
              </w:rPr>
              <w:t>VEGA 2/0044/16</w:t>
            </w:r>
          </w:p>
        </w:tc>
        <w:tc>
          <w:tcPr>
            <w:tcW w:w="141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VEGA</w:t>
            </w:r>
          </w:p>
        </w:tc>
        <w:tc>
          <w:tcPr>
            <w:tcW w:w="66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 xml:space="preserve">As part of this project, DL-classes of general algebras and properties EKP, SEKP for distributive lattices and mono-unary algebras were investigated. </w:t>
            </w:r>
            <w:r>
              <w:rPr>
                <w:rFonts w:cs="Arial" w:ascii="Arial" w:hAnsi="Arial"/>
                <w:sz w:val="20"/>
              </w:rPr>
              <w:t>Responsible solver: M. Ploščica</w:t>
            </w:r>
          </w:p>
        </w:tc>
      </w:tr>
      <w:tr>
        <w:trPr>
          <w:trHeight w:val="300" w:hRule="atLeast"/>
        </w:trPr>
        <w:tc>
          <w:tcPr>
            <w:tcW w:w="2118"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Arial" w:ascii="Arial" w:hAnsi="Arial"/>
                <w:iCs/>
                <w:sz w:val="20"/>
              </w:rPr>
              <w:t>Exceptional structures in discrete mathematics</w:t>
            </w:r>
            <w:r>
              <w:rPr>
                <w:rFonts w:cs="Times New Roman" w:ascii="Times New Roman" w:hAnsi="Times New Roman"/>
                <w:i/>
                <w:iCs/>
                <w:sz w:val="24"/>
                <w:szCs w:val="24"/>
              </w:rPr>
              <w:t xml:space="preserve">/ </w:t>
            </w:r>
            <w:r>
              <w:rPr>
                <w:rFonts w:cs="Arial" w:ascii="Arial" w:hAnsi="Arial"/>
                <w:sz w:val="20"/>
              </w:rPr>
              <w:t>APVV-19-0308</w:t>
            </w:r>
          </w:p>
        </w:tc>
        <w:tc>
          <w:tcPr>
            <w:tcW w:w="1414"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APVV</w:t>
            </w:r>
          </w:p>
        </w:tc>
        <w:tc>
          <w:tcPr>
            <w:tcW w:w="667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Arial" w:ascii="Arial" w:hAnsi="Arial"/>
                <w:sz w:val="20"/>
              </w:rPr>
              <w:t>Responsible solver is R.Nedela. Inter alia a representation of the automorphism group of a graph in a unimodular group  and various properties of snarks has been investigated.</w:t>
            </w:r>
          </w:p>
        </w:tc>
      </w:tr>
    </w:tbl>
    <w:p>
      <w:pPr>
        <w:pStyle w:val="Normal"/>
        <w:rPr>
          <w:rStyle w:val="Eop"/>
          <w:b/>
          <w:lang w:val="en-GB"/>
        </w:rPr>
      </w:pPr>
      <w:r>
        <w:rPr>
          <w:b/>
          <w:lang w:val="en-GB"/>
        </w:rPr>
      </w:r>
    </w:p>
    <w:p>
      <w:pPr>
        <w:pStyle w:val="P68B1DB1-paragraph33"/>
        <w:spacing w:beforeAutospacing="0" w:before="0" w:afterAutospacing="0" w:after="0"/>
        <w:jc w:val="both"/>
        <w:textAlignment w:val="baseline"/>
        <w:rPr>
          <w:rFonts w:ascii="Calibri" w:hAnsi="Calibri" w:cs="Calibri" w:asciiTheme="minorHAnsi" w:cstheme="minorHAnsi" w:hAnsiTheme="minorHAnsi"/>
          <w:i w:val="false"/>
          <w:i w:val="false"/>
          <w:highlight w:val="lightGray"/>
          <w:lang w:val="en-GB"/>
        </w:rPr>
      </w:pPr>
      <w:r>
        <w:rPr>
          <w:rFonts w:eastAsia="" w:cs="Arial" w:ascii="Arial" w:hAnsi="Arial" w:eastAsiaTheme="majorEastAsia"/>
          <w:color w:themeColor="accent1" w:themeShade="bf" w:val="2E74B5"/>
          <w:lang w:val="en-GB"/>
        </w:rPr>
        <w:t>3.3.3 List of maximum five most important outputs of the applicant/host organisation relevant to the submitted project:</w:t>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tbl>
      <w:tblPr>
        <w:tblW w:w="5000" w:type="pct"/>
        <w:jc w:val="left"/>
        <w:tblInd w:w="0" w:type="dxa"/>
        <w:tblLayout w:type="fixed"/>
        <w:tblCellMar>
          <w:top w:w="15" w:type="dxa"/>
          <w:left w:w="70" w:type="dxa"/>
          <w:bottom w:w="15" w:type="dxa"/>
          <w:right w:w="70" w:type="dxa"/>
        </w:tblCellMar>
        <w:tblLook w:val="04a0" w:noVBand="1" w:noHBand="0" w:lastColumn="0" w:firstColumn="1" w:lastRow="0" w:firstRow="1"/>
      </w:tblPr>
      <w:tblGrid>
        <w:gridCol w:w="3689"/>
        <w:gridCol w:w="1412"/>
        <w:gridCol w:w="5103"/>
      </w:tblGrid>
      <w:tr>
        <w:trPr>
          <w:trHeight w:val="660" w:hRule="atLeast"/>
        </w:trPr>
        <w:tc>
          <w:tcPr>
            <w:tcW w:w="3689" w:type="dxa"/>
            <w:tcBorders>
              <w:top w:val="single" w:sz="4" w:space="0" w:color="000000"/>
              <w:left w:val="single" w:sz="4" w:space="0" w:color="000000"/>
              <w:bottom w:val="single" w:sz="4" w:space="0" w:color="000000"/>
              <w:right w:val="single" w:sz="4" w:space="0" w:color="000000"/>
            </w:tcBorders>
          </w:tcPr>
          <w:p>
            <w:pPr>
              <w:pStyle w:val="P68B1DB1-Normlny24"/>
              <w:spacing w:before="0" w:after="160"/>
              <w:rPr>
                <w:color w:val="000000"/>
                <w:lang w:val="en-GB"/>
              </w:rPr>
            </w:pPr>
            <w:r>
              <w:rPr>
                <w:lang w:val="en-GB"/>
              </w:rPr>
              <w:br/>
              <w:t>Output name/identification</w:t>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b/>
                <w:color w:val="000000"/>
                <w:sz w:val="20"/>
                <w:lang w:val="en-GB"/>
              </w:rPr>
            </w:pPr>
            <w:r>
              <w:rPr>
                <w:rStyle w:val="Normaltextrun"/>
                <w:rFonts w:cs="Arial" w:ascii="Arial" w:hAnsi="Arial"/>
                <w:b/>
                <w:color w:val="000000"/>
                <w:sz w:val="20"/>
                <w:shd w:fill="FFFFFF" w:val="clear"/>
                <w:lang w:val="en-GB"/>
              </w:rPr>
              <w:t>Type of o</w:t>
            </w:r>
            <w:r>
              <w:rPr>
                <w:rStyle w:val="Normaltextrun"/>
                <w:b/>
                <w:color w:val="000000"/>
                <w:shd w:fill="FFFFFF" w:val="clear"/>
                <w:lang w:val="en-GB"/>
              </w:rPr>
              <w:t>utput</w:t>
            </w:r>
          </w:p>
        </w:tc>
        <w:tc>
          <w:tcPr>
            <w:tcW w:w="5103" w:type="dxa"/>
            <w:tcBorders>
              <w:top w:val="single" w:sz="4" w:space="0" w:color="000000"/>
              <w:left w:val="single" w:sz="4" w:space="0" w:color="000000"/>
              <w:bottom w:val="single" w:sz="4" w:space="0" w:color="000000"/>
              <w:right w:val="single" w:sz="4" w:space="0" w:color="000000"/>
            </w:tcBorders>
          </w:tcPr>
          <w:p>
            <w:pPr>
              <w:pStyle w:val="P68B1DB1-Normlny24"/>
              <w:spacing w:lineRule="auto" w:line="240" w:before="0" w:after="0"/>
              <w:rPr>
                <w:color w:val="000000"/>
                <w:lang w:val="en-GB"/>
              </w:rPr>
            </w:pPr>
            <w:r>
              <w:rPr>
                <w:lang w:val="en-GB"/>
              </w:rPr>
              <w:br/>
              <w:t>Short description</w:t>
            </w:r>
          </w:p>
        </w:tc>
      </w:tr>
      <w:tr>
        <w:trPr>
          <w:trHeight w:val="300" w:hRule="atLeast"/>
        </w:trPr>
        <w:tc>
          <w:tcPr>
            <w:tcW w:w="36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rPr>
            </w:pPr>
            <w:r>
              <w:rPr>
                <w:rFonts w:eastAsia="Times New Roman" w:cs="Arial" w:ascii="Arial" w:hAnsi="Arial"/>
                <w:sz w:val="20"/>
              </w:rPr>
              <w:t xml:space="preserve">A. Dvurečenskij, S. Pulmannová: </w:t>
            </w:r>
            <w:r>
              <w:rPr>
                <w:rFonts w:eastAsia="Times New Roman" w:cs="Arial" w:ascii="Arial" w:hAnsi="Arial"/>
                <w:i/>
                <w:sz w:val="20"/>
              </w:rPr>
              <w:t>New Trends in Quantum Structures</w:t>
            </w:r>
            <w:r>
              <w:rPr>
                <w:rFonts w:eastAsia="Times New Roman" w:cs="Arial" w:ascii="Arial" w:hAnsi="Arial"/>
                <w:sz w:val="20"/>
              </w:rPr>
              <w:t>. Dordrecht : Kluwer Academic ; Bratislava : Ister Science,</w:t>
            </w:r>
          </w:p>
          <w:p>
            <w:pPr>
              <w:pStyle w:val="Normal"/>
              <w:spacing w:lineRule="auto" w:line="240" w:before="0" w:after="0"/>
              <w:rPr>
                <w:rFonts w:ascii="Arial" w:hAnsi="Arial" w:eastAsia="Times New Roman" w:cs="Arial"/>
                <w:b/>
                <w:color w:val="000000"/>
                <w:sz w:val="20"/>
                <w:lang w:val="en-GB"/>
              </w:rPr>
            </w:pPr>
            <w:r>
              <w:rPr>
                <w:rFonts w:eastAsia="Times New Roman" w:cs="Arial" w:ascii="Arial" w:hAnsi="Arial"/>
                <w:sz w:val="20"/>
              </w:rPr>
              <w:t>2000. 541+xvi pp. Accessible on https://doi.org/10.1007/978-94-017-2422-7. ISBN 0-7923-6471-6.</w:t>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monography</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This book presents some of the newest trends in the mathematical theory of algebraic structures arising in quantum mechanics. Properties of D-posets and effect algebras are studied, they are shown to be equivalent and closely related to partially ordered Abelian groups.</w:t>
            </w:r>
          </w:p>
        </w:tc>
      </w:tr>
      <w:tr>
        <w:trPr>
          <w:trHeight w:val="300" w:hRule="atLeast"/>
        </w:trPr>
        <w:tc>
          <w:tcPr>
            <w:tcW w:w="3689"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Arial" w:ascii="Arial" w:hAnsi="Arial"/>
                <w:iCs/>
                <w:sz w:val="20"/>
              </w:rPr>
              <w:t>E. Halušková</w:t>
            </w:r>
            <w:r>
              <w:rPr>
                <w:rFonts w:cs="Arial" w:ascii="Arial" w:hAnsi="Arial"/>
                <w:sz w:val="20"/>
              </w:rPr>
              <w:t>: </w:t>
            </w:r>
            <w:r>
              <w:rPr>
                <w:rFonts w:cs="Arial" w:ascii="Arial" w:hAnsi="Arial"/>
                <w:i/>
                <w:sz w:val="20"/>
              </w:rPr>
              <w:t>Some monounary algebras with EKP</w:t>
            </w:r>
            <w:r>
              <w:rPr>
                <w:rFonts w:cs="Arial" w:ascii="Arial" w:hAnsi="Arial"/>
                <w:sz w:val="20"/>
              </w:rPr>
              <w:t xml:space="preserve"> Math. Bohem. 145 (2020), 401-414.</w:t>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All mono-unary algebras with an injective operation and EKP are described.</w:t>
            </w:r>
          </w:p>
        </w:tc>
      </w:tr>
      <w:tr>
        <w:trPr>
          <w:trHeight w:val="300" w:hRule="atLeast"/>
        </w:trPr>
        <w:tc>
          <w:tcPr>
            <w:tcW w:w="368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rPr>
            </w:pPr>
            <w:r>
              <w:rPr>
                <w:rFonts w:cs="Arial" w:ascii="Arial" w:hAnsi="Arial"/>
                <w:sz w:val="20"/>
              </w:rPr>
              <w:t xml:space="preserve">E. Halušková – M. Ploščica: </w:t>
            </w:r>
            <w:r>
              <w:rPr>
                <w:rFonts w:cs="Arial" w:ascii="Arial" w:hAnsi="Arial"/>
                <w:i/>
                <w:sz w:val="20"/>
              </w:rPr>
              <w:t>On direct limits of finite algebras</w:t>
            </w:r>
            <w:r>
              <w:rPr>
                <w:rFonts w:cs="Arial" w:ascii="Arial" w:hAnsi="Arial"/>
                <w:sz w:val="20"/>
              </w:rPr>
              <w:t>, Contributions to General Algebra, 11 (Olomouc, 1998, Velke Karlovice, 1998), Verlag Johannes Heyn, Klagenfurt, 1999, 101–104.</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The main result of this paper is that every finite algebra is the algebra with EDL.</w:t>
            </w:r>
          </w:p>
        </w:tc>
      </w:tr>
      <w:tr>
        <w:trPr>
          <w:trHeight w:val="300" w:hRule="atLeast"/>
        </w:trPr>
        <w:tc>
          <w:tcPr>
            <w:tcW w:w="368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rPr>
            </w:pPr>
            <w:r>
              <w:rPr>
                <w:rFonts w:cs="Arial" w:ascii="Arial" w:hAnsi="Arial"/>
                <w:sz w:val="20"/>
              </w:rPr>
              <w:t xml:space="preserve">E. Halušková: </w:t>
            </w:r>
            <w:r>
              <w:rPr>
                <w:rFonts w:cs="Arial" w:ascii="Arial" w:hAnsi="Arial"/>
                <w:i/>
                <w:sz w:val="20"/>
              </w:rPr>
              <w:t>On direct limit closed classes of algebras</w:t>
            </w:r>
            <w:r>
              <w:rPr>
                <w:rFonts w:cs="Arial" w:ascii="Arial" w:hAnsi="Arial"/>
                <w:sz w:val="20"/>
              </w:rPr>
              <w:t>, Bulletin of the Section of Logic 45:3/4(2016), 155–169.</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i/>
                <w:i/>
                <w:sz w:val="20"/>
                <w:lang w:val="en-GB"/>
              </w:rPr>
            </w:pPr>
            <w:r>
              <w:rPr>
                <w:rFonts w:cs="Arial" w:ascii="Arial" w:hAnsi="Arial"/>
                <w:sz w:val="20"/>
              </w:rPr>
              <w:t>Algebras of type F are considered as structures of the model theory. It</w:t>
            </w:r>
            <w:r>
              <w:rPr>
                <w:rFonts w:cs="Arial" w:ascii="Arial" w:hAnsi="Arial"/>
                <w:i/>
                <w:sz w:val="20"/>
              </w:rPr>
              <w:t xml:space="preserve"> </w:t>
            </w:r>
            <w:r>
              <w:rPr>
                <w:rFonts w:cs="Arial" w:ascii="Arial" w:hAnsi="Arial"/>
                <w:sz w:val="20"/>
              </w:rPr>
              <w:t>is shown that the Keisler sentence from 1960 determines all first-order defined DL-classes. Further, DL-classes which are models of infinitely long sentence with finitely many quantifiers are obtained.</w:t>
            </w:r>
          </w:p>
        </w:tc>
      </w:tr>
      <w:tr>
        <w:trPr>
          <w:trHeight w:val="300" w:hRule="atLeast"/>
        </w:trPr>
        <w:tc>
          <w:tcPr>
            <w:tcW w:w="3689" w:type="dxa"/>
            <w:tcBorders>
              <w:top w:val="single" w:sz="4" w:space="0" w:color="000000"/>
              <w:left w:val="single" w:sz="4" w:space="0" w:color="000000"/>
              <w:bottom w:val="single" w:sz="4" w:space="0" w:color="000000"/>
              <w:right w:val="single" w:sz="4" w:space="0" w:color="000000"/>
            </w:tcBorders>
          </w:tcPr>
          <w:p>
            <w:pPr>
              <w:pStyle w:val="Normal"/>
              <w:rPr>
                <w:rFonts w:ascii="Arial" w:hAnsi="Arial" w:cs="Arial"/>
                <w:sz w:val="20"/>
              </w:rPr>
            </w:pPr>
            <w:r>
              <w:rPr>
                <w:rFonts w:cs="Arial" w:ascii="Arial" w:hAnsi="Arial"/>
                <w:sz w:val="20"/>
              </w:rPr>
              <w:t xml:space="preserve">E. Halušková: </w:t>
            </w:r>
            <w:r>
              <w:rPr>
                <w:rFonts w:cs="Arial" w:ascii="Arial" w:hAnsi="Arial"/>
                <w:i/>
                <w:sz w:val="20"/>
              </w:rPr>
              <w:t>Monounary algebras with easy direct limits</w:t>
            </w:r>
            <w:r>
              <w:rPr>
                <w:rFonts w:cs="Arial" w:ascii="Arial" w:hAnsi="Arial"/>
                <w:sz w:val="20"/>
              </w:rPr>
              <w:t>, Miskolc Math. Notes 19(2018), No.1, 291–302.</w:t>
            </w:r>
          </w:p>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r>
          </w:p>
        </w:tc>
        <w:tc>
          <w:tcPr>
            <w:tcW w:w="14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eastAsia="Times New Roman" w:cs="Arial" w:ascii="Arial" w:hAnsi="Arial"/>
                <w:sz w:val="20"/>
                <w:lang w:val="en-GB"/>
              </w:rPr>
              <w:t>publication</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Arial" w:hAnsi="Arial" w:eastAsia="Times New Roman" w:cs="Arial"/>
                <w:sz w:val="20"/>
                <w:lang w:val="en-GB"/>
              </w:rPr>
            </w:pPr>
            <w:r>
              <w:rPr>
                <w:rFonts w:cs="Arial" w:ascii="Arial" w:hAnsi="Arial"/>
                <w:color w:val="222222"/>
                <w:sz w:val="20"/>
                <w:shd w:fill="FFFFFF" w:val="clear"/>
              </w:rPr>
              <w:t>If A is a monounary with EDL, then A is countable and the number of retracts of A is not equal to the cardinality of integers. Further, we will see that the number of non-isomorphic monounary algebras with EDL is uncountable.</w:t>
            </w:r>
          </w:p>
        </w:tc>
      </w:tr>
    </w:tbl>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Paragraph"/>
        <w:spacing w:beforeAutospacing="0" w:before="0" w:afterAutospacing="0" w:after="0"/>
        <w:jc w:val="both"/>
        <w:textAlignment w:val="baseline"/>
        <w:rPr>
          <w:rFonts w:ascii="Calibri" w:hAnsi="Calibri" w:cs="Calibri" w:asciiTheme="minorHAnsi" w:cstheme="minorHAnsi" w:hAnsiTheme="minorHAnsi"/>
          <w:i/>
          <w:i/>
          <w:sz w:val="22"/>
          <w:highlight w:val="lightGray"/>
          <w:lang w:val="en-GB"/>
        </w:rPr>
      </w:pPr>
      <w:r>
        <w:rPr>
          <w:rFonts w:cs="Calibri" w:cstheme="minorHAnsi" w:ascii="Calibri" w:hAnsi="Calibri"/>
          <w:i/>
          <w:sz w:val="22"/>
          <w:highlight w:val="lightGray"/>
          <w:lang w:val="en-GB"/>
        </w:rPr>
      </w:r>
    </w:p>
    <w:p>
      <w:pPr>
        <w:pStyle w:val="Normal"/>
        <w:rPr>
          <w:rStyle w:val="Normaltextrun"/>
          <w:b/>
          <w:lang w:val="en-GB"/>
        </w:rPr>
      </w:pPr>
      <w:r>
        <w:rPr>
          <w:b/>
          <w:lang w:val="en-GB"/>
        </w:rPr>
      </w:r>
    </w:p>
    <w:p>
      <w:pPr>
        <w:pStyle w:val="Normal"/>
        <w:spacing w:before="0" w:after="160"/>
        <w:rPr>
          <w:rFonts w:cs="Calibri" w:cstheme="minorHAnsi"/>
          <w:lang w:val="en-GB"/>
        </w:rPr>
      </w:pPr>
      <w:r>
        <w:rPr>
          <w:rFonts w:cs="Calibri" w:cstheme="minorHAnsi"/>
          <w:lang w:val="en-GB"/>
        </w:rPr>
      </w:r>
    </w:p>
    <w:sectPr>
      <w:footerReference w:type="default" r:id="rId8"/>
      <w:type w:val="nextPage"/>
      <w:pgSz w:w="11906" w:h="16838"/>
      <w:pgMar w:left="851" w:right="851" w:gutter="0" w:header="0" w:top="851" w:footer="425"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Narrow">
    <w:charset w:val="01"/>
    <w:family w:val="roman"/>
    <w:pitch w:val="variable"/>
  </w:font>
  <w:font w:name="Helvetica Neue">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75646403"/>
    </w:sdtPr>
    <w:sdtContent>
      <w:p>
        <w:pPr>
          <w:pStyle w:val="P68B1DB1-Pta34"/>
          <w:jc w:val="center"/>
          <w:rPr/>
        </w:pPr>
        <w:r>
          <w:rPr/>
          <w:fldChar w:fldCharType="begin"/>
        </w:r>
        <w:r>
          <w:rPr/>
          <w:instrText xml:space="preserve"> PAGE </w:instrText>
        </w:r>
        <w:r>
          <w:rPr/>
          <w:fldChar w:fldCharType="separate"/>
        </w:r>
        <w:r>
          <w:rPr/>
          <w:t>1</w:t>
        </w:r>
        <w:r>
          <w:rPr/>
          <w:fldChar w:fldCharType="end"/>
        </w:r>
        <w:r>
          <w:rPr/>
          <w:t xml:space="preserve"> </w:t>
        </w:r>
        <w:r>
          <w:rPr/>
          <w:t>of 30</w:t>
        </w:r>
      </w:p>
    </w:sdtContent>
  </w:sdt>
  <w:p>
    <w:pPr>
      <w:pStyle w:val="Footer"/>
      <w:rPr>
        <w:rFonts w:ascii="Arial" w:hAnsi="Arial" w:cs="Arial"/>
        <w:sz w:val="16"/>
      </w:rPr>
    </w:pPr>
    <w:r>
      <w:rPr>
        <w:rFonts w:cs="Arial" w:ascii="Arial" w:hAnsi="Arial"/>
        <w:sz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1080" w:hanging="360"/>
      </w:pPr>
      <w:rPr/>
    </w:lvl>
    <w:lvl w:ilvl="1">
      <w:start w:val="4"/>
      <w:numFmt w:val="decimal"/>
      <w:lvlText w:val="%1.%2"/>
      <w:lvlJc w:val="left"/>
      <w:pPr>
        <w:tabs>
          <w:tab w:val="num" w:pos="0"/>
        </w:tabs>
        <w:ind w:left="1212" w:hanging="492"/>
      </w:pPr>
      <w:rPr/>
    </w:lvl>
    <w:lvl w:ilvl="2">
      <w:start w:val="1"/>
      <w:numFmt w:val="decimal"/>
      <w:lvlText w:val="%1.%2.%3"/>
      <w:lvlJc w:val="left"/>
      <w:pPr>
        <w:tabs>
          <w:tab w:val="num" w:pos="0"/>
        </w:tabs>
        <w:ind w:left="2139" w:hanging="720"/>
      </w:pPr>
      <w:rPr/>
    </w:lvl>
    <w:lvl w:ilvl="3">
      <w:start w:val="1"/>
      <w:numFmt w:val="decimal"/>
      <w:lvlText w:val="%1.%2.%3.%4"/>
      <w:lvlJc w:val="left"/>
      <w:pPr>
        <w:tabs>
          <w:tab w:val="num" w:pos="0"/>
        </w:tabs>
        <w:ind w:left="1440" w:hanging="72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1800" w:hanging="108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160" w:hanging="1440"/>
      </w:pPr>
      <w:rPr/>
    </w:lvl>
    <w:lvl w:ilvl="8">
      <w:start w:val="1"/>
      <w:numFmt w:val="decimal"/>
      <w:lvlText w:val="%1.%2.%3.%4.%5.%6.%7.%8.%9"/>
      <w:lvlJc w:val="left"/>
      <w:pPr>
        <w:tabs>
          <w:tab w:val="num" w:pos="0"/>
        </w:tabs>
        <w:ind w:left="2160" w:hanging="1440"/>
      </w:pPr>
      <w:rPr/>
    </w:lvl>
  </w:abstractNum>
  <w:abstractNum w:abstractNumId="2">
    <w:lvl w:ilvl="0">
      <w:start w:val="1"/>
      <w:numFmt w:val="decimal"/>
      <w:lvlText w:val="%1"/>
      <w:lvlJc w:val="left"/>
      <w:pPr>
        <w:tabs>
          <w:tab w:val="num" w:pos="0"/>
        </w:tabs>
        <w:ind w:left="400" w:hanging="400"/>
      </w:pPr>
      <w:rPr>
        <w:rFonts w:ascii="Arial" w:hAnsi="Arial" w:cs="Arial"/>
      </w:rPr>
    </w:lvl>
    <w:lvl w:ilvl="1">
      <w:start w:val="1"/>
      <w:numFmt w:val="decimal"/>
      <w:lvlText w:val="%1.%2"/>
      <w:lvlJc w:val="left"/>
      <w:pPr>
        <w:tabs>
          <w:tab w:val="num" w:pos="0"/>
        </w:tabs>
        <w:ind w:left="400" w:hanging="400"/>
      </w:pPr>
      <w:rPr>
        <w:rFonts w:ascii="Arial" w:hAnsi="Arial" w:cs="Arial"/>
      </w:rPr>
    </w:lvl>
    <w:lvl w:ilvl="2">
      <w:start w:val="1"/>
      <w:numFmt w:val="decimal"/>
      <w:lvlText w:val="%1.%2.%3"/>
      <w:lvlJc w:val="left"/>
      <w:pPr>
        <w:tabs>
          <w:tab w:val="num" w:pos="0"/>
        </w:tabs>
        <w:ind w:left="720" w:hanging="720"/>
      </w:pPr>
      <w:rPr>
        <w:rFonts w:ascii="Arial" w:hAnsi="Arial" w:cs="Arial"/>
      </w:rPr>
    </w:lvl>
    <w:lvl w:ilvl="3">
      <w:start w:val="1"/>
      <w:numFmt w:val="decimal"/>
      <w:lvlText w:val="%1.%2.%3.%4"/>
      <w:lvlJc w:val="left"/>
      <w:pPr>
        <w:tabs>
          <w:tab w:val="num" w:pos="0"/>
        </w:tabs>
        <w:ind w:left="720" w:hanging="720"/>
      </w:pPr>
      <w:rPr>
        <w:rFonts w:ascii="Arial" w:hAnsi="Arial" w:cs="Arial"/>
      </w:rPr>
    </w:lvl>
    <w:lvl w:ilvl="4">
      <w:start w:val="1"/>
      <w:numFmt w:val="decimal"/>
      <w:lvlText w:val="%1.%2.%3.%4.%5"/>
      <w:lvlJc w:val="left"/>
      <w:pPr>
        <w:tabs>
          <w:tab w:val="num" w:pos="0"/>
        </w:tabs>
        <w:ind w:left="1080" w:hanging="1080"/>
      </w:pPr>
      <w:rPr>
        <w:rFonts w:ascii="Arial" w:hAnsi="Arial" w:cs="Arial"/>
      </w:rPr>
    </w:lvl>
    <w:lvl w:ilvl="5">
      <w:start w:val="1"/>
      <w:numFmt w:val="decimal"/>
      <w:lvlText w:val="%1.%2.%3.%4.%5.%6"/>
      <w:lvlJc w:val="left"/>
      <w:pPr>
        <w:tabs>
          <w:tab w:val="num" w:pos="0"/>
        </w:tabs>
        <w:ind w:left="1080" w:hanging="1080"/>
      </w:pPr>
      <w:rPr>
        <w:rFonts w:ascii="Arial" w:hAnsi="Arial" w:cs="Arial"/>
      </w:rPr>
    </w:lvl>
    <w:lvl w:ilvl="6">
      <w:start w:val="1"/>
      <w:numFmt w:val="decimal"/>
      <w:lvlText w:val="%1.%2.%3.%4.%5.%6.%7"/>
      <w:lvlJc w:val="left"/>
      <w:pPr>
        <w:tabs>
          <w:tab w:val="num" w:pos="0"/>
        </w:tabs>
        <w:ind w:left="1440" w:hanging="1440"/>
      </w:pPr>
      <w:rPr>
        <w:rFonts w:ascii="Arial" w:hAnsi="Arial" w:cs="Arial"/>
      </w:rPr>
    </w:lvl>
    <w:lvl w:ilvl="7">
      <w:start w:val="1"/>
      <w:numFmt w:val="decimal"/>
      <w:lvlText w:val="%1.%2.%3.%4.%5.%6.%7.%8"/>
      <w:lvlJc w:val="left"/>
      <w:pPr>
        <w:tabs>
          <w:tab w:val="num" w:pos="0"/>
        </w:tabs>
        <w:ind w:left="1440" w:hanging="1440"/>
      </w:pPr>
      <w:rPr>
        <w:rFonts w:ascii="Arial" w:hAnsi="Arial" w:cs="Arial"/>
      </w:rPr>
    </w:lvl>
    <w:lvl w:ilvl="8">
      <w:start w:val="1"/>
      <w:numFmt w:val="decimal"/>
      <w:lvlText w:val="%1.%2.%3.%4.%5.%6.%7.%8.%9"/>
      <w:lvlJc w:val="left"/>
      <w:pPr>
        <w:tabs>
          <w:tab w:val="num" w:pos="0"/>
        </w:tabs>
        <w:ind w:left="1440" w:hanging="1440"/>
      </w:pPr>
      <w:rPr>
        <w:rFonts w:ascii="Arial" w:hAnsi="Arial" w:cs="Arial"/>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rPr>
        <w:rFonts w:ascii="Arial" w:hAnsi="Arial" w:cs="Arial"/>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themeFontLang w:val="sk-SK" w:eastAsia="" w:bidi=""/>
  <w:docVars>
    <w:docVar w:name="__Grammarly_42____i" w:val="H4sIAAAAAAAEAKtWckksSQxILCpxzi/NK1GyMqwFAAEhoTITAAAA"/>
    <w:docVar w:name="__Grammarly_42___1" w:val="H4sIAAAAAAAEAKtWcslP9kxRslIyNDY2MjYwMTYxMbA0tzAwMbdQ0lEKTi0uzszPAykwNKwFANboJps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lang w:val="sk-SK" w:eastAsia="sk-SK"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03d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0"/>
      <w:lang w:val="sk-SK" w:eastAsia="sk-SK" w:bidi="ar-SA"/>
    </w:rPr>
  </w:style>
  <w:style w:type="paragraph" w:styleId="Heading1">
    <w:name w:val="Heading 1"/>
    <w:basedOn w:val="Normal"/>
    <w:next w:val="Normal"/>
    <w:link w:val="Nadpis1Char"/>
    <w:uiPriority w:val="9"/>
    <w:qFormat/>
    <w:rsid w:val="0087441d"/>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rPr>
  </w:style>
  <w:style w:type="paragraph" w:styleId="Heading2">
    <w:name w:val="Heading 2"/>
    <w:basedOn w:val="Normal"/>
    <w:next w:val="Normal"/>
    <w:link w:val="Nadpis2Char"/>
    <w:uiPriority w:val="9"/>
    <w:unhideWhenUsed/>
    <w:qFormat/>
    <w:rsid w:val="0087441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rPr>
  </w:style>
  <w:style w:type="paragraph" w:styleId="Heading3">
    <w:name w:val="Heading 3"/>
    <w:basedOn w:val="Normal"/>
    <w:next w:val="Normal"/>
    <w:link w:val="Nadpis3Char"/>
    <w:uiPriority w:val="9"/>
    <w:unhideWhenUsed/>
    <w:qFormat/>
    <w:rsid w:val="00130221"/>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rPr>
  </w:style>
  <w:style w:type="paragraph" w:styleId="Heading4">
    <w:name w:val="Heading 4"/>
    <w:basedOn w:val="Normal"/>
    <w:next w:val="Normal"/>
    <w:link w:val="Nadpis4Char"/>
    <w:uiPriority w:val="9"/>
    <w:unhideWhenUsed/>
    <w:qFormat/>
    <w:rsid w:val="00130221"/>
    <w:pPr>
      <w:keepNext w:val="true"/>
      <w:keepLines/>
      <w:spacing w:before="40" w:after="0"/>
      <w:outlineLvl w:val="3"/>
    </w:pPr>
    <w:rPr>
      <w:rFonts w:ascii="Calibri Light" w:hAnsi="Calibri Light" w:eastAsia="" w:cs="" w:asciiTheme="majorHAnsi" w:cstheme="majorBidi" w:eastAsiaTheme="majorEastAsia" w:hAnsiTheme="majorHAnsi"/>
      <w:i/>
      <w:color w:themeColor="accent1" w:themeShade="bf" w:val="2E74B5"/>
    </w:rPr>
  </w:style>
  <w:style w:type="character" w:styleId="DefaultParagraphFont" w:default="1">
    <w:name w:val="Default Paragraph Font"/>
    <w:uiPriority w:val="1"/>
    <w:semiHidden/>
    <w:unhideWhenUsed/>
    <w:qFormat/>
    <w:rPr/>
  </w:style>
  <w:style w:type="character" w:styleId="Spellingerror" w:customStyle="1">
    <w:name w:val="spellingerror"/>
    <w:basedOn w:val="DefaultParagraphFont"/>
    <w:qFormat/>
    <w:rsid w:val="006f03d9"/>
    <w:rPr/>
  </w:style>
  <w:style w:type="character" w:styleId="Normaltextrun" w:customStyle="1">
    <w:name w:val="normaltextrun"/>
    <w:basedOn w:val="DefaultParagraphFont"/>
    <w:qFormat/>
    <w:rsid w:val="006f03d9"/>
    <w:rPr/>
  </w:style>
  <w:style w:type="character" w:styleId="Eop" w:customStyle="1">
    <w:name w:val="eop"/>
    <w:basedOn w:val="DefaultParagraphFont"/>
    <w:qFormat/>
    <w:rsid w:val="006f03d9"/>
    <w:rPr/>
  </w:style>
  <w:style w:type="character" w:styleId="Annotationreference">
    <w:name w:val="annotation reference"/>
    <w:basedOn w:val="DefaultParagraphFont"/>
    <w:uiPriority w:val="99"/>
    <w:semiHidden/>
    <w:unhideWhenUsed/>
    <w:qFormat/>
    <w:rsid w:val="00914645"/>
    <w:rPr>
      <w:sz w:val="16"/>
    </w:rPr>
  </w:style>
  <w:style w:type="character" w:styleId="TextkomentraChar" w:customStyle="1">
    <w:name w:val="Text komentára Char"/>
    <w:basedOn w:val="DefaultParagraphFont"/>
    <w:link w:val="Annotationtext"/>
    <w:uiPriority w:val="99"/>
    <w:qFormat/>
    <w:rsid w:val="00914645"/>
    <w:rPr>
      <w:sz w:val="20"/>
    </w:rPr>
  </w:style>
  <w:style w:type="character" w:styleId="PredmetkomentraChar" w:customStyle="1">
    <w:name w:val="Predmet komentára Char"/>
    <w:basedOn w:val="TextkomentraChar"/>
    <w:link w:val="Annotationsubject"/>
    <w:uiPriority w:val="99"/>
    <w:semiHidden/>
    <w:qFormat/>
    <w:rsid w:val="00914645"/>
    <w:rPr>
      <w:b/>
      <w:sz w:val="20"/>
    </w:rPr>
  </w:style>
  <w:style w:type="character" w:styleId="TextbublinyChar" w:customStyle="1">
    <w:name w:val="Text bubliny Char"/>
    <w:basedOn w:val="DefaultParagraphFont"/>
    <w:link w:val="BalloonText"/>
    <w:uiPriority w:val="99"/>
    <w:semiHidden/>
    <w:qFormat/>
    <w:rsid w:val="00914645"/>
    <w:rPr>
      <w:rFonts w:ascii="Segoe UI" w:hAnsi="Segoe UI" w:cs="Segoe UI"/>
      <w:sz w:val="18"/>
    </w:rPr>
  </w:style>
  <w:style w:type="character" w:styleId="TextpoznmkypodiarouChar" w:customStyle="1">
    <w:name w:val="Text poznámky pod čiarou Char"/>
    <w:basedOn w:val="DefaultParagraphFont"/>
    <w:link w:val="FootnoteText"/>
    <w:uiPriority w:val="99"/>
    <w:qFormat/>
    <w:rsid w:val="00946faa"/>
    <w:rPr>
      <w:rFonts w:ascii="Times New Roman" w:hAnsi="Times New Roman"/>
      <w:sz w:val="20"/>
    </w:rPr>
  </w:style>
  <w:style w:type="character" w:styleId="FootnoteCharacters">
    <w:name w:val="Footnote Characters"/>
    <w:basedOn w:val="DefaultParagraphFont"/>
    <w:uiPriority w:val="99"/>
    <w:unhideWhenUsed/>
    <w:qFormat/>
    <w:rsid w:val="00946faa"/>
    <w:rPr>
      <w:vertAlign w:val="superscript"/>
    </w:rPr>
  </w:style>
  <w:style w:type="character" w:styleId="FootnoteReference">
    <w:name w:val="Footnote Reference"/>
    <w:rPr>
      <w:vertAlign w:val="superscript"/>
    </w:rPr>
  </w:style>
  <w:style w:type="character" w:styleId="Nadpis1Char" w:customStyle="1">
    <w:name w:val="Nadpis 1 Char"/>
    <w:basedOn w:val="DefaultParagraphFont"/>
    <w:link w:val="Heading1"/>
    <w:uiPriority w:val="9"/>
    <w:qFormat/>
    <w:rsid w:val="0087441d"/>
    <w:rPr>
      <w:rFonts w:ascii="Calibri Light" w:hAnsi="Calibri Light" w:eastAsia="" w:cs="" w:asciiTheme="majorHAnsi" w:cstheme="majorBidi" w:eastAsiaTheme="majorEastAsia" w:hAnsiTheme="majorHAnsi"/>
      <w:color w:themeColor="accent1" w:themeShade="bf" w:val="2E74B5"/>
      <w:sz w:val="32"/>
    </w:rPr>
  </w:style>
  <w:style w:type="character" w:styleId="Nadpis2Char" w:customStyle="1">
    <w:name w:val="Nadpis 2 Char"/>
    <w:basedOn w:val="DefaultParagraphFont"/>
    <w:link w:val="Heading2"/>
    <w:uiPriority w:val="9"/>
    <w:qFormat/>
    <w:rsid w:val="0087441d"/>
    <w:rPr>
      <w:rFonts w:ascii="Calibri Light" w:hAnsi="Calibri Light" w:eastAsia="" w:cs="" w:asciiTheme="majorHAnsi" w:cstheme="majorBidi" w:eastAsiaTheme="majorEastAsia" w:hAnsiTheme="majorHAnsi"/>
      <w:color w:themeColor="accent1" w:themeShade="bf" w:val="2E74B5"/>
      <w:sz w:val="26"/>
    </w:rPr>
  </w:style>
  <w:style w:type="character" w:styleId="Hyperlink">
    <w:name w:val="Hyperlink"/>
    <w:basedOn w:val="DefaultParagraphFont"/>
    <w:uiPriority w:val="99"/>
    <w:unhideWhenUsed/>
    <w:rsid w:val="00130221"/>
    <w:rPr>
      <w:color w:themeColor="hyperlink" w:val="0563C1"/>
      <w:u w:val="single"/>
    </w:rPr>
  </w:style>
  <w:style w:type="character" w:styleId="Nadpis3Char" w:customStyle="1">
    <w:name w:val="Nadpis 3 Char"/>
    <w:basedOn w:val="DefaultParagraphFont"/>
    <w:link w:val="Heading3"/>
    <w:uiPriority w:val="9"/>
    <w:qFormat/>
    <w:rsid w:val="00130221"/>
    <w:rPr>
      <w:rFonts w:ascii="Calibri Light" w:hAnsi="Calibri Light" w:eastAsia="" w:cs="" w:asciiTheme="majorHAnsi" w:cstheme="majorBidi" w:eastAsiaTheme="majorEastAsia" w:hAnsiTheme="majorHAnsi"/>
      <w:color w:themeColor="accent1" w:themeShade="7f" w:val="1F4D78"/>
      <w:sz w:val="24"/>
    </w:rPr>
  </w:style>
  <w:style w:type="character" w:styleId="Nadpis4Char" w:customStyle="1">
    <w:name w:val="Nadpis 4 Char"/>
    <w:basedOn w:val="DefaultParagraphFont"/>
    <w:link w:val="Heading4"/>
    <w:uiPriority w:val="9"/>
    <w:qFormat/>
    <w:rsid w:val="00130221"/>
    <w:rPr>
      <w:rFonts w:ascii="Calibri Light" w:hAnsi="Calibri Light" w:eastAsia="" w:cs="" w:asciiTheme="majorHAnsi" w:cstheme="majorBidi" w:eastAsiaTheme="majorEastAsia" w:hAnsiTheme="majorHAnsi"/>
      <w:i/>
      <w:color w:themeColor="accent1" w:themeShade="bf" w:val="2E74B5"/>
    </w:rPr>
  </w:style>
  <w:style w:type="character" w:styleId="HlavikaChar" w:customStyle="1">
    <w:name w:val="Hlavička Char"/>
    <w:basedOn w:val="DefaultParagraphFont"/>
    <w:link w:val="Header"/>
    <w:uiPriority w:val="99"/>
    <w:qFormat/>
    <w:rsid w:val="004a5f78"/>
    <w:rPr/>
  </w:style>
  <w:style w:type="character" w:styleId="PtaChar" w:customStyle="1">
    <w:name w:val="Päta Char"/>
    <w:basedOn w:val="DefaultParagraphFont"/>
    <w:link w:val="Footer"/>
    <w:uiPriority w:val="99"/>
    <w:qFormat/>
    <w:rsid w:val="004a5f78"/>
    <w:rPr/>
  </w:style>
  <w:style w:type="character" w:styleId="FollowedHyperlink">
    <w:name w:val="FollowedHyperlink"/>
    <w:basedOn w:val="DefaultParagraphFont"/>
    <w:uiPriority w:val="99"/>
    <w:semiHidden/>
    <w:unhideWhenUsed/>
    <w:rsid w:val="00e57f06"/>
    <w:rPr>
      <w:color w:themeColor="followedHyperlink" w:val="954F72"/>
      <w:u w:val="single"/>
    </w:rPr>
  </w:style>
  <w:style w:type="character" w:styleId="Tabchar" w:customStyle="1">
    <w:name w:val="tabchar"/>
    <w:basedOn w:val="DefaultParagraphFont"/>
    <w:qFormat/>
    <w:rsid w:val="006623ba"/>
    <w:rPr/>
  </w:style>
  <w:style w:type="character" w:styleId="PlaceholderText">
    <w:name w:val="Placeholder Text"/>
    <w:basedOn w:val="DefaultParagraphFont"/>
    <w:uiPriority w:val="99"/>
    <w:semiHidden/>
    <w:qFormat/>
    <w:rsid w:val="008c0ac3"/>
    <w:rPr>
      <w:color w:val="808080"/>
    </w:rPr>
  </w:style>
  <w:style w:type="character" w:styleId="Tlid-translation" w:customStyle="1">
    <w:name w:val="tlid-translation"/>
    <w:basedOn w:val="DefaultParagraphFont"/>
    <w:qFormat/>
    <w:rsid w:val="00412ec1"/>
    <w:rPr/>
  </w:style>
  <w:style w:type="character" w:styleId="Apple-converted-space" w:customStyle="1">
    <w:name w:val="apple-converted-space"/>
    <w:basedOn w:val="DefaultParagraphFont"/>
    <w:qFormat/>
    <w:rsid w:val="00412ec1"/>
    <w:rPr/>
  </w:style>
  <w:style w:type="character" w:styleId="S1" w:customStyle="1">
    <w:name w:val="s1"/>
    <w:basedOn w:val="DefaultParagraphFont"/>
    <w:qFormat/>
    <w:rsid w:val="00412ec1"/>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aragraph" w:customStyle="1">
    <w:name w:val="paragraph"/>
    <w:basedOn w:val="Normal"/>
    <w:qFormat/>
    <w:rsid w:val="006f03d9"/>
    <w:pPr>
      <w:spacing w:lineRule="auto" w:line="240" w:beforeAutospacing="1" w:afterAutospacing="1"/>
    </w:pPr>
    <w:rPr>
      <w:rFonts w:ascii="Times New Roman" w:hAnsi="Times New Roman" w:eastAsia="Times New Roman" w:cs="Times New Roman"/>
      <w:sz w:val="24"/>
    </w:rPr>
  </w:style>
  <w:style w:type="paragraph" w:styleId="ListParagraph">
    <w:name w:val="List Paragraph"/>
    <w:basedOn w:val="Normal"/>
    <w:uiPriority w:val="34"/>
    <w:qFormat/>
    <w:rsid w:val="00640cf9"/>
    <w:pPr>
      <w:spacing w:before="0" w:after="160"/>
      <w:ind w:left="720"/>
      <w:contextualSpacing/>
    </w:pPr>
    <w:rPr/>
  </w:style>
  <w:style w:type="paragraph" w:styleId="Annotationtext">
    <w:name w:val="annotation text"/>
    <w:basedOn w:val="Normal"/>
    <w:link w:val="TextkomentraChar"/>
    <w:uiPriority w:val="99"/>
    <w:unhideWhenUsed/>
    <w:qFormat/>
    <w:rsid w:val="00914645"/>
    <w:pPr>
      <w:spacing w:lineRule="auto" w:line="240"/>
    </w:pPr>
    <w:rPr>
      <w:sz w:val="20"/>
    </w:rPr>
  </w:style>
  <w:style w:type="paragraph" w:styleId="Annotationsubject">
    <w:name w:val="annotation subject"/>
    <w:basedOn w:val="Annotationtext"/>
    <w:next w:val="Annotationtext"/>
    <w:link w:val="PredmetkomentraChar"/>
    <w:uiPriority w:val="99"/>
    <w:semiHidden/>
    <w:unhideWhenUsed/>
    <w:qFormat/>
    <w:rsid w:val="00914645"/>
    <w:pPr/>
    <w:rPr>
      <w:b/>
    </w:rPr>
  </w:style>
  <w:style w:type="paragraph" w:styleId="BalloonText">
    <w:name w:val="Balloon Text"/>
    <w:basedOn w:val="Normal"/>
    <w:link w:val="TextbublinyChar"/>
    <w:uiPriority w:val="99"/>
    <w:semiHidden/>
    <w:unhideWhenUsed/>
    <w:qFormat/>
    <w:rsid w:val="00914645"/>
    <w:pPr>
      <w:spacing w:lineRule="auto" w:line="240" w:before="0" w:after="0"/>
    </w:pPr>
    <w:rPr>
      <w:rFonts w:ascii="Segoe UI" w:hAnsi="Segoe UI" w:cs="Segoe UI"/>
      <w:sz w:val="18"/>
    </w:rPr>
  </w:style>
  <w:style w:type="paragraph" w:styleId="FootnoteText">
    <w:name w:val="Footnote Text"/>
    <w:basedOn w:val="Normal"/>
    <w:link w:val="TextpoznmkypodiarouChar"/>
    <w:uiPriority w:val="99"/>
    <w:unhideWhenUsed/>
    <w:rsid w:val="00946faa"/>
    <w:pPr>
      <w:spacing w:lineRule="auto" w:line="240" w:before="0" w:after="0"/>
      <w:jc w:val="both"/>
    </w:pPr>
    <w:rPr>
      <w:rFonts w:ascii="Times New Roman" w:hAnsi="Times New Roman"/>
      <w:sz w:val="20"/>
    </w:rPr>
  </w:style>
  <w:style w:type="paragraph" w:styleId="Default" w:customStyle="1">
    <w:name w:val="Default"/>
    <w:qFormat/>
    <w:rsid w:val="006435cb"/>
    <w:pPr>
      <w:widowControl/>
      <w:bidi w:val="0"/>
      <w:spacing w:lineRule="auto" w:line="240" w:before="0" w:after="0"/>
      <w:jc w:val="left"/>
    </w:pPr>
    <w:rPr>
      <w:rFonts w:ascii="Arial" w:hAnsi="Arial" w:cs="Arial" w:eastAsia="Calibri"/>
      <w:color w:val="000000"/>
      <w:kern w:val="0"/>
      <w:sz w:val="24"/>
      <w:szCs w:val="20"/>
      <w:lang w:val="sk-SK" w:eastAsia="sk-SK" w:bidi="ar-SA"/>
    </w:rPr>
  </w:style>
  <w:style w:type="paragraph" w:styleId="IndexHeading">
    <w:name w:val="Index Heading"/>
    <w:basedOn w:val="Heading"/>
    <w:pPr/>
    <w:rPr/>
  </w:style>
  <w:style w:type="paragraph" w:styleId="TOCHeading">
    <w:name w:val="TOC Heading"/>
    <w:basedOn w:val="Heading1"/>
    <w:next w:val="Normal"/>
    <w:uiPriority w:val="39"/>
    <w:unhideWhenUsed/>
    <w:qFormat/>
    <w:rsid w:val="00130221"/>
    <w:pPr>
      <w:outlineLvl w:val="9"/>
    </w:pPr>
    <w:rPr/>
  </w:style>
  <w:style w:type="paragraph" w:styleId="TOC2">
    <w:name w:val="TOC 2"/>
    <w:basedOn w:val="Normal"/>
    <w:next w:val="Normal"/>
    <w:autoRedefine/>
    <w:uiPriority w:val="39"/>
    <w:unhideWhenUsed/>
    <w:rsid w:val="008261f6"/>
    <w:pPr>
      <w:tabs>
        <w:tab w:val="clear" w:pos="708"/>
        <w:tab w:val="right" w:pos="10204" w:leader="dot"/>
      </w:tabs>
      <w:spacing w:before="0" w:after="100"/>
      <w:ind w:left="220"/>
    </w:pPr>
    <w:rPr/>
  </w:style>
  <w:style w:type="paragraph" w:styleId="TOC3">
    <w:name w:val="TOC 3"/>
    <w:basedOn w:val="Normal"/>
    <w:next w:val="Normal"/>
    <w:autoRedefine/>
    <w:uiPriority w:val="39"/>
    <w:unhideWhenUsed/>
    <w:rsid w:val="008261f6"/>
    <w:pPr>
      <w:tabs>
        <w:tab w:val="clear" w:pos="708"/>
        <w:tab w:val="right" w:pos="10194" w:leader="dot"/>
      </w:tabs>
      <w:spacing w:before="0" w:after="100"/>
      <w:ind w:left="567"/>
    </w:pPr>
    <w:rPr/>
  </w:style>
  <w:style w:type="paragraph" w:styleId="HeaderandFooter">
    <w:name w:val="Header and Footer"/>
    <w:basedOn w:val="Normal"/>
    <w:qFormat/>
    <w:pPr/>
    <w:rPr/>
  </w:style>
  <w:style w:type="paragraph" w:styleId="Header">
    <w:name w:val="Header"/>
    <w:basedOn w:val="Normal"/>
    <w:link w:val="HlavikaChar"/>
    <w:uiPriority w:val="99"/>
    <w:unhideWhenUsed/>
    <w:rsid w:val="004a5f78"/>
    <w:pPr>
      <w:tabs>
        <w:tab w:val="clear" w:pos="708"/>
        <w:tab w:val="center" w:pos="4536" w:leader="none"/>
        <w:tab w:val="right" w:pos="9072" w:leader="none"/>
      </w:tabs>
      <w:spacing w:lineRule="auto" w:line="240" w:before="0" w:after="0"/>
    </w:pPr>
    <w:rPr/>
  </w:style>
  <w:style w:type="paragraph" w:styleId="Footer">
    <w:name w:val="Footer"/>
    <w:basedOn w:val="Normal"/>
    <w:link w:val="PtaChar"/>
    <w:uiPriority w:val="99"/>
    <w:unhideWhenUsed/>
    <w:rsid w:val="004a5f78"/>
    <w:pPr>
      <w:tabs>
        <w:tab w:val="clear" w:pos="708"/>
        <w:tab w:val="center" w:pos="4536" w:leader="none"/>
        <w:tab w:val="right" w:pos="9072" w:leader="none"/>
      </w:tabs>
      <w:spacing w:lineRule="auto" w:line="240" w:before="0" w:after="0"/>
    </w:pPr>
    <w:rPr/>
  </w:style>
  <w:style w:type="paragraph" w:styleId="Revision">
    <w:name w:val="Revision"/>
    <w:uiPriority w:val="99"/>
    <w:semiHidden/>
    <w:qFormat/>
    <w:rsid w:val="00b97ff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0"/>
      <w:lang w:val="sk-SK" w:eastAsia="sk-SK" w:bidi="ar-SA"/>
    </w:rPr>
  </w:style>
  <w:style w:type="paragraph" w:styleId="TOC1">
    <w:name w:val="TOC 1"/>
    <w:basedOn w:val="Normal"/>
    <w:next w:val="Normal"/>
    <w:autoRedefine/>
    <w:uiPriority w:val="39"/>
    <w:unhideWhenUsed/>
    <w:rsid w:val="00c625d6"/>
    <w:pPr>
      <w:tabs>
        <w:tab w:val="clear" w:pos="708"/>
        <w:tab w:val="right" w:pos="9062" w:leader="dot"/>
      </w:tabs>
      <w:spacing w:before="0" w:after="100"/>
    </w:pPr>
    <w:rPr/>
  </w:style>
  <w:style w:type="paragraph" w:styleId="P68B1DB1-Odsekzoznamu8" w:customStyle="1">
    <w:name w:val="P68B1DB1-Odsekzoznamu8"/>
    <w:basedOn w:val="ListParagraph"/>
    <w:qFormat/>
    <w:rsid w:val="008f1871"/>
    <w:pPr/>
    <w:rPr>
      <w:rFonts w:ascii="Arial Narrow" w:hAnsi="Arial Narrow" w:eastAsia="Times New Roman" w:cs="Calibri"/>
      <w:color w:val="006100"/>
      <w:sz w:val="16"/>
    </w:rPr>
  </w:style>
  <w:style w:type="paragraph" w:styleId="P68B1DB1-Nadpis21" w:customStyle="1">
    <w:name w:val="P68B1DB1-Nadpis21"/>
    <w:basedOn w:val="Heading2"/>
    <w:qFormat/>
    <w:rsid w:val="00664602"/>
    <w:pPr/>
    <w:rPr>
      <w:rFonts w:ascii="Arial" w:hAnsi="Arial" w:cs="Arial"/>
    </w:rPr>
  </w:style>
  <w:style w:type="paragraph" w:styleId="P68B1DB1-Normlny2" w:customStyle="1">
    <w:name w:val="P68B1DB1-Normlny2"/>
    <w:basedOn w:val="Normal"/>
    <w:qFormat/>
    <w:rsid w:val="00664602"/>
    <w:pPr/>
    <w:rPr>
      <w:rFonts w:ascii="Arial" w:hAnsi="Arial" w:cs="Arial"/>
    </w:rPr>
  </w:style>
  <w:style w:type="paragraph" w:styleId="P68B1DB1-Normlny3" w:customStyle="1">
    <w:name w:val="P68B1DB1-Normlny3"/>
    <w:basedOn w:val="Normal"/>
    <w:qFormat/>
    <w:rsid w:val="00664602"/>
    <w:pPr/>
    <w:rPr>
      <w:rFonts w:ascii="Arial" w:hAnsi="Arial" w:cs="Arial"/>
      <w:highlight w:val="lightGray"/>
    </w:rPr>
  </w:style>
  <w:style w:type="paragraph" w:styleId="P68B1DB1-Normlny4" w:customStyle="1">
    <w:name w:val="P68B1DB1-Normlny4"/>
    <w:basedOn w:val="Normal"/>
    <w:qFormat/>
    <w:rsid w:val="00664602"/>
    <w:pPr/>
    <w:rPr>
      <w:rFonts w:ascii="Arial" w:hAnsi="Arial" w:cs="Arial"/>
      <w:b/>
      <w:highlight w:val="lightGray"/>
    </w:rPr>
  </w:style>
  <w:style w:type="paragraph" w:styleId="P68B1DB1-Normlny5" w:customStyle="1">
    <w:name w:val="P68B1DB1-Normlny5"/>
    <w:basedOn w:val="Normal"/>
    <w:qFormat/>
    <w:rsid w:val="00664602"/>
    <w:pPr/>
    <w:rPr>
      <w:rFonts w:ascii="Arial" w:hAnsi="Arial" w:cs="Arial"/>
      <w:color w:themeColor="accent1" w:themeShade="bf" w:val="2E74B5"/>
      <w:sz w:val="26"/>
    </w:rPr>
  </w:style>
  <w:style w:type="paragraph" w:styleId="P68B1DB1-Obsah26" w:customStyle="1">
    <w:name w:val="P68B1DB1-Obsah26"/>
    <w:basedOn w:val="TOC2"/>
    <w:qFormat/>
    <w:rsid w:val="00664602"/>
    <w:pPr/>
    <w:rPr>
      <w:rFonts w:ascii="Arial" w:hAnsi="Arial" w:cs="Arial"/>
    </w:rPr>
  </w:style>
  <w:style w:type="paragraph" w:styleId="P68B1DB1-Normlny7" w:customStyle="1">
    <w:name w:val="P68B1DB1-Normlny7"/>
    <w:basedOn w:val="Normal"/>
    <w:qFormat/>
    <w:rsid w:val="00664602"/>
    <w:pPr/>
    <w:rPr>
      <w:rFonts w:ascii="Calibri Light" w:hAnsi="Calibri Light" w:eastAsia="" w:cs="" w:asciiTheme="majorHAnsi" w:cstheme="majorBidi" w:eastAsiaTheme="majorEastAsia" w:hAnsiTheme="majorHAnsi"/>
      <w:color w:themeColor="accent1" w:themeShade="bf" w:val="2E74B5"/>
      <w:sz w:val="24"/>
    </w:rPr>
  </w:style>
  <w:style w:type="paragraph" w:styleId="P68B1DB1-Normlny8" w:customStyle="1">
    <w:name w:val="P68B1DB1-Normlny8"/>
    <w:basedOn w:val="Normal"/>
    <w:qFormat/>
    <w:rsid w:val="00664602"/>
    <w:pPr/>
    <w:rPr>
      <w:rFonts w:ascii="Calibri Light" w:hAnsi="Calibri Light" w:eastAsia="" w:cs="" w:asciiTheme="majorHAnsi" w:cstheme="majorBidi" w:eastAsiaTheme="majorEastAsia" w:hAnsiTheme="majorHAnsi"/>
      <w:sz w:val="24"/>
    </w:rPr>
  </w:style>
  <w:style w:type="paragraph" w:styleId="P68B1DB1-Normlny9" w:customStyle="1">
    <w:name w:val="P68B1DB1-Normlny9"/>
    <w:basedOn w:val="Normal"/>
    <w:qFormat/>
    <w:rsid w:val="00664602"/>
    <w:pPr/>
    <w:rPr>
      <w:rFonts w:ascii="Arial" w:hAnsi="Arial" w:eastAsia="" w:cs="Arial" w:eastAsiaTheme="majorEastAsia"/>
      <w:color w:themeColor="accent1" w:themeShade="bf" w:val="2E74B5"/>
      <w:sz w:val="24"/>
    </w:rPr>
  </w:style>
  <w:style w:type="paragraph" w:styleId="P68B1DB1-Normlny10" w:customStyle="1">
    <w:name w:val="P68B1DB1-Normlny10"/>
    <w:basedOn w:val="Normal"/>
    <w:qFormat/>
    <w:rsid w:val="00664602"/>
    <w:pPr/>
    <w:rPr>
      <w:rFonts w:ascii="Arial" w:hAnsi="Arial" w:eastAsia="Times New Roman" w:cs="Arial"/>
      <w:b/>
      <w:color w:themeColor="text1" w:val="000000"/>
    </w:rPr>
  </w:style>
  <w:style w:type="paragraph" w:styleId="P68B1DB1-Normlny11" w:customStyle="1">
    <w:name w:val="P68B1DB1-Normlny11"/>
    <w:basedOn w:val="Normal"/>
    <w:qFormat/>
    <w:rsid w:val="00664602"/>
    <w:pPr/>
    <w:rPr>
      <w:rFonts w:ascii="Arial" w:hAnsi="Arial" w:eastAsia="Times New Roman" w:cs="Arial"/>
      <w:i/>
      <w:highlight w:val="lightGray"/>
    </w:rPr>
  </w:style>
  <w:style w:type="paragraph" w:styleId="P68B1DB1-Normlny12" w:customStyle="1">
    <w:name w:val="P68B1DB1-Normlny12"/>
    <w:basedOn w:val="Normal"/>
    <w:qFormat/>
    <w:rsid w:val="00664602"/>
    <w:pPr/>
    <w:rPr>
      <w:rFonts w:ascii="Arial" w:hAnsi="Arial" w:eastAsia="Times New Roman" w:cs="Arial"/>
      <w:color w:val="000000"/>
    </w:rPr>
  </w:style>
  <w:style w:type="paragraph" w:styleId="P68B1DB1-paragraph13" w:customStyle="1">
    <w:name w:val="P68B1DB1-paragraph13"/>
    <w:basedOn w:val="Paragraph"/>
    <w:qFormat/>
    <w:rsid w:val="00664602"/>
    <w:pPr/>
    <w:rPr>
      <w:rFonts w:ascii="Arial" w:hAnsi="Arial" w:cs="Arial"/>
      <w:i/>
      <w:sz w:val="22"/>
    </w:rPr>
  </w:style>
  <w:style w:type="paragraph" w:styleId="P68B1DB1-Nadpis314" w:customStyle="1">
    <w:name w:val="P68B1DB1-Nadpis314"/>
    <w:basedOn w:val="Heading3"/>
    <w:qFormat/>
    <w:rsid w:val="00664602"/>
    <w:pPr/>
    <w:rPr>
      <w:rFonts w:ascii="Arial" w:hAnsi="Arial" w:cs="Arial"/>
    </w:rPr>
  </w:style>
  <w:style w:type="paragraph" w:styleId="P68B1DB1-Nadpis315" w:customStyle="1">
    <w:name w:val="P68B1DB1-Nadpis315"/>
    <w:basedOn w:val="Heading3"/>
    <w:qFormat/>
    <w:rsid w:val="00664602"/>
    <w:pPr/>
    <w:rPr>
      <w:rFonts w:ascii="Arial" w:hAnsi="Arial" w:cs="Arial"/>
      <w:caps/>
    </w:rPr>
  </w:style>
  <w:style w:type="paragraph" w:styleId="P68B1DB1-Normlny16" w:customStyle="1">
    <w:name w:val="P68B1DB1-Normlny16"/>
    <w:basedOn w:val="Normal"/>
    <w:qFormat/>
    <w:rsid w:val="00664602"/>
    <w:pPr/>
    <w:rPr>
      <w:rFonts w:ascii="Arial" w:hAnsi="Arial" w:eastAsia="Times New Roman" w:cs="Arial"/>
      <w:b/>
    </w:rPr>
  </w:style>
  <w:style w:type="paragraph" w:styleId="P68B1DB1-Normlny17" w:customStyle="1">
    <w:name w:val="P68B1DB1-Normlny17"/>
    <w:basedOn w:val="Normal"/>
    <w:qFormat/>
    <w:rsid w:val="00664602"/>
    <w:pPr/>
    <w:rPr>
      <w:rFonts w:ascii="Arial" w:hAnsi="Arial" w:eastAsia="Times New Roman" w:cs="Arial"/>
    </w:rPr>
  </w:style>
  <w:style w:type="paragraph" w:styleId="P68B1DB1-Normlny18" w:customStyle="1">
    <w:name w:val="P68B1DB1-Normlny18"/>
    <w:basedOn w:val="Normal"/>
    <w:qFormat/>
    <w:rsid w:val="00664602"/>
    <w:pPr/>
    <w:rPr>
      <w:rFonts w:ascii="Arial" w:hAnsi="Arial" w:eastAsia="Times New Roman" w:cs="Arial"/>
      <w:sz w:val="20"/>
    </w:rPr>
  </w:style>
  <w:style w:type="paragraph" w:styleId="P68B1DB1-Normlny19" w:customStyle="1">
    <w:name w:val="P68B1DB1-Normlny19"/>
    <w:basedOn w:val="Normal"/>
    <w:qFormat/>
    <w:rsid w:val="00664602"/>
    <w:pPr/>
    <w:rPr>
      <w:rFonts w:ascii="Arial" w:hAnsi="Arial" w:eastAsia="Times New Roman" w:cs="Arial"/>
      <w:color w:val="000000"/>
      <w:sz w:val="20"/>
    </w:rPr>
  </w:style>
  <w:style w:type="paragraph" w:styleId="P68B1DB1-Normlny20" w:customStyle="1">
    <w:name w:val="P68B1DB1-Normlny20"/>
    <w:basedOn w:val="Normal"/>
    <w:qFormat/>
    <w:rsid w:val="00664602"/>
    <w:pPr/>
    <w:rPr>
      <w:rFonts w:ascii="Arial" w:hAnsi="Arial" w:eastAsia="Times New Roman" w:cs="Arial"/>
      <w:i/>
    </w:rPr>
  </w:style>
  <w:style w:type="paragraph" w:styleId="P68B1DB1-paragraph21" w:customStyle="1">
    <w:name w:val="P68B1DB1-paragraph21"/>
    <w:basedOn w:val="Paragraph"/>
    <w:qFormat/>
    <w:rsid w:val="00664602"/>
    <w:pPr/>
    <w:rPr>
      <w:rFonts w:ascii="Arial" w:hAnsi="Arial" w:cs="Arial"/>
      <w:i/>
      <w:sz w:val="22"/>
      <w:highlight w:val="lightGray"/>
    </w:rPr>
  </w:style>
  <w:style w:type="paragraph" w:styleId="P68B1DB1-paragraph22" w:customStyle="1">
    <w:name w:val="P68B1DB1-paragraph22"/>
    <w:basedOn w:val="Paragraph"/>
    <w:qFormat/>
    <w:rsid w:val="00664602"/>
    <w:pPr/>
    <w:rPr>
      <w:rFonts w:ascii="Arial" w:hAnsi="Arial" w:cs="Arial"/>
      <w:b/>
      <w:sz w:val="22"/>
    </w:rPr>
  </w:style>
  <w:style w:type="paragraph" w:styleId="P68B1DB1-Nadpis423" w:customStyle="1">
    <w:name w:val="P68B1DB1-Nadpis423"/>
    <w:basedOn w:val="Heading4"/>
    <w:qFormat/>
    <w:rsid w:val="00664602"/>
    <w:pPr/>
    <w:rPr>
      <w:rFonts w:ascii="Arial" w:hAnsi="Arial" w:cs="Arial"/>
    </w:rPr>
  </w:style>
  <w:style w:type="paragraph" w:styleId="P68B1DB1-Normlny24" w:customStyle="1">
    <w:name w:val="P68B1DB1-Normlny24"/>
    <w:basedOn w:val="Normal"/>
    <w:qFormat/>
    <w:rsid w:val="00664602"/>
    <w:pPr/>
    <w:rPr>
      <w:rFonts w:ascii="Arial" w:hAnsi="Arial" w:eastAsia="Times New Roman" w:cs="Arial"/>
      <w:b/>
      <w:color w:themeColor="text1" w:val="000000"/>
      <w:sz w:val="20"/>
    </w:rPr>
  </w:style>
  <w:style w:type="paragraph" w:styleId="P68B1DB1-paragraph25" w:customStyle="1">
    <w:name w:val="P68B1DB1-paragraph25"/>
    <w:basedOn w:val="Paragraph"/>
    <w:qFormat/>
    <w:rsid w:val="00664602"/>
    <w:pPr/>
    <w:rPr>
      <w:rFonts w:ascii="Arial" w:hAnsi="Arial" w:cs="Arial"/>
      <w:i/>
      <w:sz w:val="20"/>
      <w:highlight w:val="lightGray"/>
    </w:rPr>
  </w:style>
  <w:style w:type="paragraph" w:styleId="P68B1DB1-Normlny26" w:customStyle="1">
    <w:name w:val="P68B1DB1-Normlny26"/>
    <w:basedOn w:val="Normal"/>
    <w:qFormat/>
    <w:rsid w:val="00664602"/>
    <w:pPr/>
    <w:rPr>
      <w:rFonts w:ascii="Arial" w:hAnsi="Arial" w:eastAsia="Times New Roman" w:cs="Arial"/>
      <w:i/>
      <w:color w:themeColor="text1" w:val="000000"/>
      <w:sz w:val="20"/>
    </w:rPr>
  </w:style>
  <w:style w:type="paragraph" w:styleId="P68B1DB1-Nadpis427" w:customStyle="1">
    <w:name w:val="P68B1DB1-Nadpis427"/>
    <w:basedOn w:val="Heading4"/>
    <w:qFormat/>
    <w:rsid w:val="00664602"/>
    <w:pPr/>
    <w:rPr>
      <w:rFonts w:ascii="Arial" w:hAnsi="Arial" w:eastAsia="Times New Roman" w:cs="Arial"/>
      <w:color w:themeColor="accent1" w:themeShade="bf" w:val="auto"/>
      <w:highlight w:val="lightGray"/>
    </w:rPr>
  </w:style>
  <w:style w:type="paragraph" w:styleId="P68B1DB1-Odsekzoznamu28" w:customStyle="1">
    <w:name w:val="P68B1DB1-Odsekzoznamu28"/>
    <w:basedOn w:val="ListParagraph"/>
    <w:qFormat/>
    <w:rsid w:val="00664602"/>
    <w:pPr/>
    <w:rPr>
      <w:rFonts w:ascii="Arial" w:hAnsi="Arial" w:eastAsia="Times New Roman" w:cs="Arial"/>
      <w:i/>
      <w:highlight w:val="lightGray"/>
    </w:rPr>
  </w:style>
  <w:style w:type="paragraph" w:styleId="P68B1DB1-Normlny29" w:customStyle="1">
    <w:name w:val="P68B1DB1-Normlny29"/>
    <w:basedOn w:val="Normal"/>
    <w:qFormat/>
    <w:rsid w:val="00664602"/>
    <w:pPr/>
    <w:rPr>
      <w:rFonts w:ascii="Arial" w:hAnsi="Arial" w:eastAsia="Times New Roman" w:cs="Arial"/>
      <w:i/>
      <w:sz w:val="20"/>
      <w:highlight w:val="lightGray"/>
    </w:rPr>
  </w:style>
  <w:style w:type="paragraph" w:styleId="P68B1DB1-paragraph30" w:customStyle="1">
    <w:name w:val="P68B1DB1-paragraph30"/>
    <w:basedOn w:val="Paragraph"/>
    <w:qFormat/>
    <w:rsid w:val="00664602"/>
    <w:pPr/>
    <w:rPr>
      <w:rFonts w:ascii="Arial" w:hAnsi="Arial" w:eastAsia="Arial" w:cs="Arial"/>
      <w:i/>
      <w:sz w:val="22"/>
      <w:highlight w:val="lightGray"/>
    </w:rPr>
  </w:style>
  <w:style w:type="paragraph" w:styleId="P68B1DB1-Normlny31" w:customStyle="1">
    <w:name w:val="P68B1DB1-Normlny31"/>
    <w:basedOn w:val="Normal"/>
    <w:qFormat/>
    <w:rsid w:val="00664602"/>
    <w:pPr/>
    <w:rPr>
      <w:rFonts w:ascii="Arial" w:hAnsi="Arial" w:eastAsia="" w:cs="Arial" w:eastAsiaTheme="majorEastAsia"/>
      <w:i/>
      <w:color w:themeColor="accent1" w:themeShade="bf" w:val="2E74B5"/>
    </w:rPr>
  </w:style>
  <w:style w:type="paragraph" w:styleId="P68B1DB1-Normlny32" w:customStyle="1">
    <w:name w:val="P68B1DB1-Normlny32"/>
    <w:basedOn w:val="Normal"/>
    <w:qFormat/>
    <w:rsid w:val="00664602"/>
    <w:pPr/>
    <w:rPr>
      <w:i/>
    </w:rPr>
  </w:style>
  <w:style w:type="paragraph" w:styleId="P68B1DB1-paragraph33" w:customStyle="1">
    <w:name w:val="P68B1DB1-paragraph33"/>
    <w:basedOn w:val="Paragraph"/>
    <w:qFormat/>
    <w:rsid w:val="00664602"/>
    <w:pPr/>
    <w:rPr>
      <w:i/>
      <w:sz w:val="22"/>
    </w:rPr>
  </w:style>
  <w:style w:type="paragraph" w:styleId="P68B1DB1-Pta34" w:customStyle="1">
    <w:name w:val="P68B1DB1-Pta34"/>
    <w:basedOn w:val="Footer"/>
    <w:qFormat/>
    <w:rsid w:val="00664602"/>
    <w:pPr/>
    <w:rPr>
      <w:rFonts w:ascii="Arial" w:hAnsi="Arial" w:cs="Arial"/>
      <w:sz w:val="16"/>
    </w:rPr>
  </w:style>
  <w:style w:type="paragraph" w:styleId="P1" w:customStyle="1">
    <w:name w:val="p1"/>
    <w:basedOn w:val="Normal"/>
    <w:qFormat/>
    <w:rsid w:val="00412ec1"/>
    <w:pPr>
      <w:spacing w:lineRule="auto" w:line="240" w:beforeAutospacing="1" w:afterAutospacing="1"/>
    </w:pPr>
    <w:rPr>
      <w:rFonts w:ascii="Times New Roman" w:hAnsi="Times New Roman" w:eastAsia="Times New Roman" w:cs="Times New Roman"/>
      <w:sz w:val="24"/>
      <w:szCs w:val="24"/>
    </w:rPr>
  </w:style>
  <w:style w:type="paragraph" w:styleId="Ma-0" w:customStyle="1">
    <w:name w:val="ma-0"/>
    <w:basedOn w:val="Normal"/>
    <w:qFormat/>
    <w:rsid w:val="00412ec1"/>
    <w:pPr>
      <w:spacing w:lineRule="auto" w:line="240" w:beforeAutospacing="1" w:afterAutospacing="1"/>
    </w:pPr>
    <w:rPr>
      <w:rFonts w:ascii="Times New Roman" w:hAnsi="Times New Roman" w:eastAsia="Times New Roman" w:cs="Times New Roman"/>
      <w:sz w:val="24"/>
      <w:szCs w:val="24"/>
    </w:rPr>
  </w:style>
  <w:style w:type="paragraph" w:styleId="Domylne" w:customStyle="1">
    <w:name w:val="Domyślne"/>
    <w:qFormat/>
    <w:rsid w:val="00d06dc9"/>
    <w:pPr>
      <w:widowControl/>
      <w:pBdr/>
      <w:bidi w:val="0"/>
      <w:spacing w:lineRule="auto" w:line="288" w:before="160" w:after="0"/>
      <w:jc w:val="left"/>
    </w:pPr>
    <w:rPr>
      <w:rFonts w:ascii="Helvetica Neue" w:hAnsi="Helvetica Neue" w:eastAsia="Arial Unicode MS" w:cs="Arial Unicode MS"/>
      <w:color w:val="000000"/>
      <w:kern w:val="0"/>
      <w:sz w:val="24"/>
      <w:szCs w:val="24"/>
      <w:u w:val="none" w:color="000000"/>
      <w:lang w:val="en-US" w:eastAsia="sk-SK" w:bidi="ar-SA"/>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 w:type="table" w:customStyle="1" w:styleId="TableNormal">
    <w:name w:val="Table Normal"/>
    <w:rsid w:val="009a6eae"/>
    <w:pPr>
      <w:spacing w:after="0" w:line="240" w:lineRule="auto"/>
    </w:pPr>
    <w:rPr>
      <w:sz w:val="20"/>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egaksiazki.pl/20000522_springer-verlag-new-york-inc" TargetMode="External"/><Relationship Id="rId3" Type="http://schemas.openxmlformats.org/officeDocument/2006/relationships/hyperlink" Target="https://articles.math.cas.cz/10.21136/MB.2023.0050-22" TargetMode="External"/><Relationship Id="rId4" Type="http://schemas.openxmlformats.org/officeDocument/2006/relationships/hyperlink" Target="https://articles.math.cas.cz/10.21136/MB.2023.0050-22" TargetMode="External"/><Relationship Id="rId5" Type="http://schemas.openxmlformats.org/officeDocument/2006/relationships/hyperlink" Target="https://aaa104.swu.bg/aaa104-2023/cfp" TargetMode="External"/><Relationship Id="rId6" Type="http://schemas.openxmlformats.org/officeDocument/2006/relationships/hyperlink" Target="https://arxiv.org/" TargetMode="Externa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ív balíka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21375f5-370a-4650-8fe9-f6faac8af305" xsi:nil="true"/>
    <lcf76f155ced4ddcb4097134ff3c332f xmlns="cc5c8e5f-d5cf-48c3-9b5f-7b6134728260">
      <Terms xmlns="http://schemas.microsoft.com/office/infopath/2007/PartnerControls"/>
    </lcf76f155ced4ddcb4097134ff3c332f>
    <_Flow_SignoffStatus xmlns="cc5c8e5f-d5cf-48c3-9b5f-7b6134728260" xsi:nil="true"/>
    <SharedWithUsers xmlns="421375f5-370a-4650-8fe9-f6faac8af305">
      <UserInfo>
        <DisplayName>Borovský Pavol</DisplayName>
        <AccountId>362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4E935AE76EEF24AA10FB5D99CAF32AC" ma:contentTypeVersion="17" ma:contentTypeDescription="Umožňuje vytvoriť nový dokument." ma:contentTypeScope="" ma:versionID="d0ef47ce5d905b3ecd12d4dbe207d47a">
  <xsd:schema xmlns:xsd="http://www.w3.org/2001/XMLSchema" xmlns:xs="http://www.w3.org/2001/XMLSchema" xmlns:p="http://schemas.microsoft.com/office/2006/metadata/properties" xmlns:ns2="cc5c8e5f-d5cf-48c3-9b5f-7b6134728260" xmlns:ns3="421375f5-370a-4650-8fe9-f6faac8af305" targetNamespace="http://schemas.microsoft.com/office/2006/metadata/properties" ma:root="true" ma:fieldsID="a510534de250409a2c7efa6e2801461d" ns2:_="" ns3:_="">
    <xsd:import namespace="cc5c8e5f-d5cf-48c3-9b5f-7b6134728260"/>
    <xsd:import namespace="421375f5-370a-4650-8fe9-f6faac8af3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_Flow_SignoffStatu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5c8e5f-d5cf-48c3-9b5f-7b61347282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Značky obrázka" ma:readOnly="false" ma:fieldId="{5cf76f15-5ced-4ddc-b409-7134ff3c332f}" ma:taxonomyMulti="true" ma:sspId="53470ff6-1c61-4f9e-8c6f-d6853ea72882" ma:termSetId="09814cd3-568e-fe90-9814-8d621ff8fb84" ma:anchorId="fba54fb3-c3e1-fe81-a776-ca4b69148c4d" ma:open="true" ma:isKeyword="false">
      <xsd:complexType>
        <xsd:sequence>
          <xsd:element ref="pc:Terms" minOccurs="0" maxOccurs="1"/>
        </xsd:sequence>
      </xsd:complexType>
    </xsd:element>
    <xsd:element name="_Flow_SignoffStatus" ma:index="23" nillable="true" ma:displayName="Sign-off status" ma:internalName="Sign_x002d_off_x0020_status">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1375f5-370a-4650-8fe9-f6faac8af305" elementFormDefault="qualified">
    <xsd:import namespace="http://schemas.microsoft.com/office/2006/documentManagement/types"/>
    <xsd:import namespace="http://schemas.microsoft.com/office/infopath/2007/PartnerControls"/>
    <xsd:element name="SharedWithUsers" ma:index="17"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Zdieľané s podrobnosťami" ma:internalName="SharedWithDetails" ma:readOnly="true">
      <xsd:simpleType>
        <xsd:restriction base="dms:Note">
          <xsd:maxLength value="255"/>
        </xsd:restriction>
      </xsd:simpleType>
    </xsd:element>
    <xsd:element name="TaxCatchAll" ma:index="22" nillable="true" ma:displayName="Taxonomy Catch All Column" ma:hidden="true" ma:list="{3f71b4cb-9b21-4841-b525-444442b2f5e8}" ma:internalName="TaxCatchAll" ma:showField="CatchAllData" ma:web="421375f5-370a-4650-8fe9-f6faac8af3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2643A-BCBD-404C-8080-68F1E7E36AAB}">
  <ds:schemaRefs>
    <ds:schemaRef ds:uri="http://schemas.microsoft.com/office/2006/metadata/properties"/>
    <ds:schemaRef ds:uri="http://schemas.microsoft.com/office/infopath/2007/PartnerControls"/>
    <ds:schemaRef ds:uri="421375f5-370a-4650-8fe9-f6faac8af305"/>
    <ds:schemaRef ds:uri="cc5c8e5f-d5cf-48c3-9b5f-7b6134728260"/>
  </ds:schemaRefs>
</ds:datastoreItem>
</file>

<file path=customXml/itemProps2.xml><?xml version="1.0" encoding="utf-8"?>
<ds:datastoreItem xmlns:ds="http://schemas.openxmlformats.org/officeDocument/2006/customXml" ds:itemID="{7EA3B6D5-9BED-4550-99AB-45472F059B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5c8e5f-d5cf-48c3-9b5f-7b6134728260"/>
    <ds:schemaRef ds:uri="421375f5-370a-4650-8fe9-f6faac8af3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F3E29D-25DA-427D-95B3-7B003B559474}">
  <ds:schemaRefs>
    <ds:schemaRef ds:uri="http://schemas.microsoft.com/sharepoint/v3/contenttype/forms"/>
  </ds:schemaRefs>
</ds:datastoreItem>
</file>

<file path=customXml/itemProps4.xml><?xml version="1.0" encoding="utf-8"?>
<ds:datastoreItem xmlns:ds="http://schemas.openxmlformats.org/officeDocument/2006/customXml" ds:itemID="{A8ADC3E1-45EE-4725-B917-B2991B70D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Application>LibreOffice/7.6.0.3$MacOSX_X86_64 LibreOffice_project/69edd8b8ebc41d00b4de3915dc82f8f0fc3b6265</Application>
  <AppVersion>15.0000</AppVersion>
  <Pages>19</Pages>
  <Words>7780</Words>
  <Characters>42426</Characters>
  <CharactersWithSpaces>49817</CharactersWithSpaces>
  <Paragraphs>564</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2023-09-25T09:56:00Z</dcterms:created>
  <dc:creator>ehaluska</dc:creator>
  <dc:description/>
  <dc:language>sk-SK</dc:language>
  <cp:lastModifiedBy>Emília</cp:lastModifiedBy>
  <dcterms:modified xsi:type="dcterms:W3CDTF">2023-09-25T15:39:00Z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0x01010084E935AE76EEF24AA10FB5D99CAF32AC</vt:lpwstr>
  </property>
  <property fmtid="{D5CDD505-2E9C-101B-9397-08002B2CF9AE}" pid="3" name="MediaServiceImageTags">
    <vt:lpwstr/>
  </property>
</Properties>
</file>