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7A" w:rsidRPr="007565D2" w:rsidRDefault="00911521" w:rsidP="00C84EDE">
      <w:pPr>
        <w:pStyle w:val="Title"/>
      </w:pPr>
      <w:r>
        <w:t xml:space="preserve">WDR 2014: </w:t>
      </w:r>
      <w:r w:rsidR="00336B7A" w:rsidRPr="007565D2">
        <w:t>Selected Indicators</w:t>
      </w:r>
    </w:p>
    <w:p w:rsidR="007646AB" w:rsidRDefault="007646AB" w:rsidP="007646AB">
      <w:r w:rsidRPr="007565D2">
        <w:t xml:space="preserve">Tables 1 to 10 include </w:t>
      </w:r>
      <w:r w:rsidR="00273D3F" w:rsidRPr="007565D2">
        <w:t>75</w:t>
      </w:r>
      <w:r w:rsidR="0094285D" w:rsidRPr="007565D2">
        <w:t xml:space="preserve"> </w:t>
      </w:r>
      <w:r w:rsidRPr="007565D2">
        <w:t xml:space="preserve">indicators relevant to the management of risk in the context of development. These indicators summarize the level and dimensions of risk facing each country, </w:t>
      </w:r>
      <w:r w:rsidR="004744B4" w:rsidRPr="007565D2">
        <w:t>together</w:t>
      </w:r>
      <w:r w:rsidRPr="007565D2">
        <w:t xml:space="preserve"> with the capacity to manage risk along several different social, economic, financial, and environmental dimensions. Definitions of each indicator are provided in the Technical Notes </w:t>
      </w:r>
      <w:r w:rsidR="004744B4" w:rsidRPr="007565D2">
        <w:t xml:space="preserve">that follow </w:t>
      </w:r>
      <w:r w:rsidRPr="007565D2">
        <w:t>the tables.</w:t>
      </w:r>
    </w:p>
    <w:p w:rsidR="007646AB" w:rsidRDefault="007646AB" w:rsidP="007646AB">
      <w:pPr>
        <w:pStyle w:val="Heading2"/>
      </w:pPr>
      <w:r>
        <w:t>Sources</w:t>
      </w:r>
    </w:p>
    <w:p w:rsidR="007646AB" w:rsidRDefault="007646AB" w:rsidP="007646AB">
      <w:r>
        <w:t>The indicators in the tables come from a variety of authoritative sources, including the World Bank, other international organizations such as the United Nations and International Monetary Fund, government agencies, member country statistical publications, research institutes, and peer-reviewed academic papers. The source for each indicator is identified in the Technical Notes.</w:t>
      </w:r>
    </w:p>
    <w:p w:rsidR="007646AB" w:rsidRDefault="007646AB" w:rsidP="007646AB">
      <w:r>
        <w:t xml:space="preserve">Many of the indicators in this section have been included in the World Bank’s Open Data catalog and are available for download.  The World Bank’s Open Data terms of use allow users to use these data freely, subject to a limited set of conditions. We encourage readers to access the data at </w:t>
      </w:r>
      <w:hyperlink r:id="rId9" w:history="1">
        <w:r w:rsidRPr="00807839">
          <w:rPr>
            <w:rStyle w:val="Hyperlink"/>
          </w:rPr>
          <w:t>http://datacatalog.worldbank.org</w:t>
        </w:r>
      </w:hyperlink>
      <w:r>
        <w:t xml:space="preserve"> and to review the Terms of Use at </w:t>
      </w:r>
      <w:hyperlink r:id="rId10" w:history="1">
        <w:r w:rsidRPr="00807839">
          <w:rPr>
            <w:rStyle w:val="Hyperlink"/>
          </w:rPr>
          <w:t>http://data.worldbank.org/summary-terms-of-use</w:t>
        </w:r>
      </w:hyperlink>
      <w:r>
        <w:t xml:space="preserve">. Several of the indicators available in the data catalog were obtained from research papers with the permission of the authors. These indicators in particular were developed for </w:t>
      </w:r>
      <w:r w:rsidR="004744B4">
        <w:t xml:space="preserve">specific </w:t>
      </w:r>
      <w:r>
        <w:t>research studies and may not be suitable for other purposes. Neither the authors nor any institutions with which they are affiliated make any warranties with respect to the data and shall not be liable in connection with the data’s use under any circumstances.</w:t>
      </w:r>
    </w:p>
    <w:p w:rsidR="007646AB" w:rsidRDefault="007646AB" w:rsidP="007646AB">
      <w:pPr>
        <w:pStyle w:val="Heading2"/>
      </w:pPr>
      <w:r>
        <w:t xml:space="preserve">Country </w:t>
      </w:r>
      <w:r w:rsidR="004834D3">
        <w:t>c</w:t>
      </w:r>
      <w:r>
        <w:t>overage</w:t>
      </w:r>
    </w:p>
    <w:p w:rsidR="007646AB" w:rsidRDefault="007646AB" w:rsidP="007646AB">
      <w:r w:rsidRPr="007565D2">
        <w:t xml:space="preserve">Tables 1 to 7 include data for 133 countries. </w:t>
      </w:r>
      <w:r w:rsidR="00576BE6" w:rsidRPr="007565D2">
        <w:t>Table</w:t>
      </w:r>
      <w:r w:rsidR="00BF3DCF" w:rsidRPr="007565D2">
        <w:t xml:space="preserve"> 8 includes key development indicators for 8</w:t>
      </w:r>
      <w:r w:rsidR="00562A84" w:rsidRPr="007565D2">
        <w:t>1</w:t>
      </w:r>
      <w:r w:rsidR="00BF3DCF" w:rsidRPr="007565D2">
        <w:t xml:space="preserve"> economies with sparse data or with populations of less than 3 million.  </w:t>
      </w:r>
      <w:r w:rsidRPr="007565D2">
        <w:t xml:space="preserve">The term </w:t>
      </w:r>
      <w:r w:rsidRPr="007565D2">
        <w:rPr>
          <w:i/>
        </w:rPr>
        <w:t>country</w:t>
      </w:r>
      <w:r w:rsidRPr="007565D2">
        <w:t>, used interchangeably with economy, does not imply political independence but refers to any territory for which authorities report separate social or economic statistics. Data are shown for economies as they were constituted in 2012. Unless otherwise noted, data for China do not include data for Hong Kong SAR, China; Macao SAR, China; or Taiwan, China. Data for Indonesia include Timor-Leste through 1999. Data for Serbia include Montenegro through 2005 and exclude Kosovo from 1999 onward. Data for Sudan include South Sudan unless otherwise noted.</w:t>
      </w:r>
    </w:p>
    <w:p w:rsidR="007646AB" w:rsidRDefault="007646AB" w:rsidP="007646AB">
      <w:pPr>
        <w:pStyle w:val="Heading2"/>
      </w:pPr>
      <w:r>
        <w:t>Classification of economies and summary measures</w:t>
      </w:r>
    </w:p>
    <w:p w:rsidR="007646AB" w:rsidRDefault="007646AB" w:rsidP="00BF3DCF">
      <w:r w:rsidRPr="00157F06">
        <w:rPr>
          <w:shd w:val="clear" w:color="auto" w:fill="FFFFFF"/>
        </w:rPr>
        <w:t>For operational and analytical purposes, the World Bank’s main criterion for classifying economies is gross national income (GNI) per capita. Based on its GNI per capita, every economy is classified as low income, middle income (subdivided into lower</w:t>
      </w:r>
      <w:r w:rsidR="00FC0EC5">
        <w:rPr>
          <w:shd w:val="clear" w:color="auto" w:fill="FFFFFF"/>
        </w:rPr>
        <w:t>-</w:t>
      </w:r>
      <w:r w:rsidRPr="00157F06">
        <w:rPr>
          <w:shd w:val="clear" w:color="auto" w:fill="FFFFFF"/>
        </w:rPr>
        <w:t>middle and upper</w:t>
      </w:r>
      <w:r w:rsidR="00FC0EC5">
        <w:rPr>
          <w:shd w:val="clear" w:color="auto" w:fill="FFFFFF"/>
        </w:rPr>
        <w:t>-</w:t>
      </w:r>
      <w:r w:rsidRPr="00157F06">
        <w:rPr>
          <w:shd w:val="clear" w:color="auto" w:fill="FFFFFF"/>
        </w:rPr>
        <w:t xml:space="preserve">middle), or high income. </w:t>
      </w:r>
      <w:r w:rsidRPr="00157F06">
        <w:t>Income classifications are set each year on July 1. These official analytical classifications are fixed during the World Bank's fiscal year (ending on June 30)</w:t>
      </w:r>
      <w:r w:rsidR="00FC0EC5">
        <w:t>;</w:t>
      </w:r>
      <w:r w:rsidRPr="00157F06">
        <w:t xml:space="preserve"> thus countries remain in the categories in which they are classified irrespective of any revisions to their per capita income data. Low-income economies are those </w:t>
      </w:r>
      <w:r w:rsidRPr="00157F06">
        <w:lastRenderedPageBreak/>
        <w:t>with a GNI per capita of $1,0</w:t>
      </w:r>
      <w:r>
        <w:t>3</w:t>
      </w:r>
      <w:r w:rsidRPr="00157F06">
        <w:t>5 or less in 201</w:t>
      </w:r>
      <w:r>
        <w:t>2</w:t>
      </w:r>
      <w:r w:rsidRPr="00157F06">
        <w:t>. Middle-income economies are those with a GNI per capita of more than $1,0</w:t>
      </w:r>
      <w:r>
        <w:t>3</w:t>
      </w:r>
      <w:r w:rsidRPr="00157F06">
        <w:t>5 but less than $12,</w:t>
      </w:r>
      <w:r>
        <w:t>616</w:t>
      </w:r>
      <w:r w:rsidRPr="00157F06">
        <w:t>. Lower</w:t>
      </w:r>
      <w:r w:rsidR="00FC0EC5">
        <w:t>-</w:t>
      </w:r>
      <w:r w:rsidRPr="00157F06">
        <w:t>middle-income and upper</w:t>
      </w:r>
      <w:r w:rsidR="00FC0EC5">
        <w:t>-</w:t>
      </w:r>
      <w:r w:rsidRPr="00157F06">
        <w:t>middle</w:t>
      </w:r>
      <w:r w:rsidR="00FC0EC5">
        <w:t>-</w:t>
      </w:r>
      <w:r w:rsidRPr="00157F06">
        <w:t>income economies are separated at a GNI per capita of</w:t>
      </w:r>
      <w:r>
        <w:t xml:space="preserve"> </w:t>
      </w:r>
      <w:r w:rsidRPr="00157F06">
        <w:t>$4,0</w:t>
      </w:r>
      <w:r>
        <w:t>8</w:t>
      </w:r>
      <w:r w:rsidRPr="00157F06">
        <w:t>6. High-income economies are those with a GNI per capita of $12,</w:t>
      </w:r>
      <w:r>
        <w:t>61</w:t>
      </w:r>
      <w:r w:rsidRPr="00157F06">
        <w:t>6 or more.</w:t>
      </w:r>
      <w:r w:rsidR="00F045DC">
        <w:t xml:space="preserve"> When changes in classification are made, aggregates based on the new income classifications are recalculated for all past periods to ensure that a consistent time series is maintained.</w:t>
      </w:r>
    </w:p>
    <w:p w:rsidR="007646AB" w:rsidRPr="00157F06" w:rsidRDefault="007646AB" w:rsidP="00BF3DCF">
      <w:r>
        <w:t xml:space="preserve">Summary measures are either totals (indicated by a </w:t>
      </w:r>
      <w:r w:rsidRPr="008605D1">
        <w:rPr>
          <w:b/>
        </w:rPr>
        <w:t>t</w:t>
      </w:r>
      <w:r>
        <w:t xml:space="preserve"> if the aggregates include estimates for missing data and </w:t>
      </w:r>
      <w:proofErr w:type="spellStart"/>
      <w:r>
        <w:t>nonreporting</w:t>
      </w:r>
      <w:proofErr w:type="spellEnd"/>
      <w:r>
        <w:t xml:space="preserve"> countries, or by an </w:t>
      </w:r>
      <w:r w:rsidRPr="008605D1">
        <w:rPr>
          <w:b/>
        </w:rPr>
        <w:t>s</w:t>
      </w:r>
      <w:r>
        <w:t xml:space="preserve"> for simple sums of the data available), weighted averages (</w:t>
      </w:r>
      <w:r w:rsidRPr="008605D1">
        <w:rPr>
          <w:b/>
        </w:rPr>
        <w:t>w</w:t>
      </w:r>
      <w:r>
        <w:t>), or median values (</w:t>
      </w:r>
      <w:r w:rsidRPr="008605D1">
        <w:rPr>
          <w:b/>
        </w:rPr>
        <w:t>m</w:t>
      </w:r>
      <w:r>
        <w:t>) calculated for groups of economies. Data for economies not appearing in the tables have been included in the summary measures, where data are available; otherwise it is assumed they follow the trend of reporting economies. Where missing data accounts for a third or more of the overall estimate, however, the group measure is reported as not available.</w:t>
      </w:r>
    </w:p>
    <w:p w:rsidR="007646AB" w:rsidRDefault="007646AB" w:rsidP="007646AB">
      <w:pPr>
        <w:pStyle w:val="Heading2"/>
      </w:pPr>
      <w:r>
        <w:t>Symbols</w:t>
      </w:r>
    </w:p>
    <w:p w:rsidR="007646AB" w:rsidRDefault="007646AB" w:rsidP="007646AB">
      <w:pPr>
        <w:ind w:left="720" w:hanging="720"/>
      </w:pPr>
      <w:r>
        <w:t>..</w:t>
      </w:r>
      <w:r>
        <w:tab/>
      </w:r>
      <w:proofErr w:type="gramStart"/>
      <w:r>
        <w:t>means</w:t>
      </w:r>
      <w:proofErr w:type="gramEnd"/>
      <w:r>
        <w:t xml:space="preserve"> that data are not available or that aggregates cannot be calculated because of missing data in the years shown.</w:t>
      </w:r>
    </w:p>
    <w:p w:rsidR="007646AB" w:rsidRDefault="007646AB" w:rsidP="007646AB">
      <w:pPr>
        <w:ind w:left="720" w:hanging="720"/>
      </w:pPr>
      <w:r>
        <w:t>0</w:t>
      </w:r>
      <w:r>
        <w:tab/>
        <w:t xml:space="preserve">or 0.0 means zero </w:t>
      </w:r>
      <w:r w:rsidR="004834D3">
        <w:t xml:space="preserve">or </w:t>
      </w:r>
      <w:r>
        <w:t>small enough that the number would round to zero at the displayed number of decimal places.</w:t>
      </w:r>
    </w:p>
    <w:p w:rsidR="007646AB" w:rsidRDefault="000E5974" w:rsidP="007646AB">
      <w:pPr>
        <w:ind w:left="720" w:hanging="720"/>
      </w:pPr>
      <w:r>
        <w:t>–</w:t>
      </w:r>
      <w:r w:rsidR="007646AB">
        <w:tab/>
      </w:r>
      <w:proofErr w:type="gramStart"/>
      <w:r w:rsidR="007646AB">
        <w:t>in</w:t>
      </w:r>
      <w:proofErr w:type="gramEnd"/>
      <w:r w:rsidR="007646AB">
        <w:t xml:space="preserve"> dates in column headings, as in 2003</w:t>
      </w:r>
      <w:r>
        <w:t>–</w:t>
      </w:r>
      <w:r w:rsidR="007646AB">
        <w:t>2012, refers to a time period that spans years. Unless otherwise noted in the column heading, these indicators are sums of annual values for the time period shown.</w:t>
      </w:r>
    </w:p>
    <w:p w:rsidR="007646AB" w:rsidRDefault="007646AB" w:rsidP="007646AB">
      <w:pPr>
        <w:ind w:left="720" w:hanging="720"/>
      </w:pPr>
      <w:proofErr w:type="gramStart"/>
      <w:r>
        <w:t>$</w:t>
      </w:r>
      <w:r>
        <w:tab/>
        <w:t>means current U.S. dollars unless otherwise noted.</w:t>
      </w:r>
      <w:proofErr w:type="gramEnd"/>
    </w:p>
    <w:p w:rsidR="007646AB" w:rsidRDefault="007646AB" w:rsidP="007646AB">
      <w:pPr>
        <w:ind w:left="720" w:hanging="720"/>
      </w:pPr>
      <w:proofErr w:type="gramStart"/>
      <w:r>
        <w:t>&gt;</w:t>
      </w:r>
      <w:r>
        <w:tab/>
        <w:t>means more than.</w:t>
      </w:r>
      <w:proofErr w:type="gramEnd"/>
    </w:p>
    <w:p w:rsidR="007646AB" w:rsidRDefault="007646AB" w:rsidP="007646AB">
      <w:pPr>
        <w:ind w:left="720" w:hanging="720"/>
      </w:pPr>
      <w:proofErr w:type="gramStart"/>
      <w:r>
        <w:t>&lt;</w:t>
      </w:r>
      <w:r>
        <w:tab/>
        <w:t>means less than.</w:t>
      </w:r>
      <w:proofErr w:type="gramEnd"/>
    </w:p>
    <w:p w:rsidR="00F045DC" w:rsidRPr="00461A95" w:rsidRDefault="00F045DC" w:rsidP="007646AB">
      <w:pPr>
        <w:ind w:left="720" w:hanging="720"/>
      </w:pPr>
      <w:r>
        <w:t>Data in italics are for a year or period other than that specified in the column heading.</w:t>
      </w:r>
    </w:p>
    <w:p w:rsidR="00A255D4" w:rsidRDefault="00A255D4" w:rsidP="00A255D4">
      <w:pPr>
        <w:pStyle w:val="Title"/>
      </w:pPr>
      <w:r>
        <w:t>Classification of Economies by Income</w:t>
      </w:r>
    </w:p>
    <w:p w:rsidR="00A255D4" w:rsidRPr="00A255D4" w:rsidRDefault="00A255D4" w:rsidP="00A255D4">
      <w:pPr>
        <w:jc w:val="center"/>
      </w:pPr>
      <w:r>
        <w:t>Placeholder for classification table</w:t>
      </w:r>
    </w:p>
    <w:p w:rsidR="0035686B" w:rsidRDefault="0035686B" w:rsidP="0035686B">
      <w:pPr>
        <w:pStyle w:val="Title"/>
      </w:pPr>
      <w:r>
        <w:t>Tables</w:t>
      </w:r>
    </w:p>
    <w:p w:rsidR="0035686B" w:rsidRPr="0035686B" w:rsidRDefault="00A82B7B" w:rsidP="0035686B">
      <w:pPr>
        <w:jc w:val="center"/>
      </w:pPr>
      <w:r>
        <w:t>Placeholder for tables</w:t>
      </w:r>
    </w:p>
    <w:p w:rsidR="00077D19" w:rsidRDefault="006414E2" w:rsidP="00C84EDE">
      <w:pPr>
        <w:pStyle w:val="Title"/>
      </w:pPr>
      <w:r>
        <w:lastRenderedPageBreak/>
        <w:t>Technical Notes</w:t>
      </w:r>
    </w:p>
    <w:p w:rsidR="00EA45A1" w:rsidRDefault="00EA45A1" w:rsidP="00C84EDE">
      <w:pPr>
        <w:pStyle w:val="Heading2"/>
        <w:spacing w:line="240" w:lineRule="auto"/>
      </w:pPr>
      <w:r>
        <w:t>Data Consistency and Reliability</w:t>
      </w:r>
    </w:p>
    <w:p w:rsidR="00F045DC" w:rsidRPr="00F045DC" w:rsidRDefault="00F045DC" w:rsidP="0094285D">
      <w:r>
        <w:t xml:space="preserve">Considerable effort has been made to standardize the data, but full comparability cannot be assured, and care must be taken in interpreting the indicators. Many factors affect data availability, comparability, and reliability: statistical systems in many developing economies are still weak; statistical methods, coverage, practices, and definitions differ widely; and cross-country and </w:t>
      </w:r>
      <w:proofErr w:type="spellStart"/>
      <w:r>
        <w:t>intertemporal</w:t>
      </w:r>
      <w:proofErr w:type="spellEnd"/>
      <w:r>
        <w:t xml:space="preserve"> comparisons involve complex technical and conceptual problems that cannot be resolved unequivocally. Data coverage may not be complete because of special circumstances affecting the collection and reporting of data, such as problems stemming from conflicts. For these reasons, although data are drawn from sources thought to be the most authoritative, they should be construed only as indicating trends and characterizing major differences among economies rather than as offering precise quantitative measures of those differences.</w:t>
      </w:r>
    </w:p>
    <w:p w:rsidR="006414E2" w:rsidRDefault="006414E2" w:rsidP="00C84EDE">
      <w:pPr>
        <w:pStyle w:val="Heading2"/>
        <w:spacing w:line="240" w:lineRule="auto"/>
      </w:pPr>
      <w:r>
        <w:t>Table 1: Key Indicators of Development</w:t>
      </w:r>
    </w:p>
    <w:p w:rsidR="000B37A3" w:rsidRPr="00FC51FF" w:rsidRDefault="000B37A3" w:rsidP="004D1153">
      <w:r w:rsidRPr="00FC51FF">
        <w:rPr>
          <w:b/>
        </w:rPr>
        <w:t>Population</w:t>
      </w:r>
      <w:r w:rsidR="00F91578" w:rsidRPr="00FC51FF">
        <w:t>:</w:t>
      </w:r>
      <w:r w:rsidR="00520D02" w:rsidRPr="00FC51FF">
        <w:rPr>
          <w:rFonts w:ascii="Minion-Regular" w:hAnsi="Minion-Regular" w:cs="Minion-Regular"/>
          <w:color w:val="000000"/>
          <w:sz w:val="20"/>
          <w:szCs w:val="20"/>
        </w:rPr>
        <w:t xml:space="preserve"> </w:t>
      </w:r>
      <w:r w:rsidR="00F1411F" w:rsidRPr="00FC51FF">
        <w:t>Total population is based on the de facto definition of population, which counts all residents regardless of legal status or citizenship</w:t>
      </w:r>
      <w:r w:rsidR="00AD50C4">
        <w:rPr>
          <w:rFonts w:ascii="Times New Roman" w:hAnsi="Times New Roman"/>
        </w:rPr>
        <w:t>—</w:t>
      </w:r>
      <w:r w:rsidR="00F1411F" w:rsidRPr="00FC51FF">
        <w:t>except for refugees not permanently settled in the country of asylum, who are generally considered part of the population of their country of origin. The values shown are midyear estimates</w:t>
      </w:r>
      <w:r w:rsidR="00520D02" w:rsidRPr="00FC51FF">
        <w:t xml:space="preserve">. </w:t>
      </w:r>
      <w:r w:rsidR="00520D02" w:rsidRPr="00FC51FF">
        <w:rPr>
          <w:b/>
          <w:bCs/>
        </w:rPr>
        <w:t>Data source</w:t>
      </w:r>
      <w:r w:rsidR="00521FB2">
        <w:rPr>
          <w:b/>
          <w:bCs/>
        </w:rPr>
        <w:t>s</w:t>
      </w:r>
      <w:r w:rsidR="00520D02" w:rsidRPr="00FC51FF">
        <w:rPr>
          <w:b/>
          <w:bCs/>
        </w:rPr>
        <w:t xml:space="preserve">: </w:t>
      </w:r>
      <w:r w:rsidR="00655728" w:rsidRPr="00C84EDE">
        <w:t>Uni</w:t>
      </w:r>
      <w:r w:rsidR="00C84EDE" w:rsidRPr="00C84EDE">
        <w:t>ted Nations Population Division,</w:t>
      </w:r>
      <w:r w:rsidR="00655728" w:rsidRPr="00C84EDE">
        <w:t xml:space="preserve"> World Population Prospects</w:t>
      </w:r>
      <w:r w:rsidR="00C84EDE">
        <w:t>;</w:t>
      </w:r>
      <w:r w:rsidR="00C84EDE" w:rsidRPr="00C84EDE">
        <w:t xml:space="preserve"> United</w:t>
      </w:r>
      <w:r w:rsidR="00C84EDE">
        <w:t xml:space="preserve"> Nations Statistical Division,</w:t>
      </w:r>
      <w:r w:rsidR="00655728" w:rsidRPr="00C84EDE">
        <w:t xml:space="preserve"> Population and Vital Statistics Rep</w:t>
      </w:r>
      <w:r w:rsidR="00504F29" w:rsidRPr="00C84EDE">
        <w:t>or</w:t>
      </w:r>
      <w:r w:rsidR="00655728" w:rsidRPr="00C84EDE">
        <w:t>t (various years)</w:t>
      </w:r>
      <w:r w:rsidR="00C84EDE">
        <w:t>;</w:t>
      </w:r>
      <w:r w:rsidR="00C84EDE" w:rsidRPr="00C84EDE">
        <w:t xml:space="preserve"> Census</w:t>
      </w:r>
      <w:r w:rsidR="00655728" w:rsidRPr="00C84EDE">
        <w:t xml:space="preserve"> reports and other statistical publications from national statistical offices</w:t>
      </w:r>
      <w:r w:rsidR="00C84EDE">
        <w:t>;</w:t>
      </w:r>
      <w:r w:rsidR="00C84EDE" w:rsidRPr="00C84EDE">
        <w:t xml:space="preserve"> Eurostat</w:t>
      </w:r>
      <w:r w:rsidR="00655728" w:rsidRPr="00C84EDE">
        <w:t>: Demographic Statistics</w:t>
      </w:r>
      <w:r w:rsidR="00C84EDE">
        <w:t>;</w:t>
      </w:r>
      <w:r w:rsidR="00655728" w:rsidRPr="00C84EDE">
        <w:t xml:space="preserve"> Secretariat of the Pacific Community: Statistics and Demography </w:t>
      </w:r>
      <w:proofErr w:type="spellStart"/>
      <w:r w:rsidR="00655728" w:rsidRPr="00C84EDE">
        <w:t>Programme</w:t>
      </w:r>
      <w:proofErr w:type="spellEnd"/>
      <w:r w:rsidR="00C84EDE">
        <w:t>;</w:t>
      </w:r>
      <w:r w:rsidR="00655728" w:rsidRPr="00C84EDE">
        <w:t xml:space="preserve"> U.S. Census Bureau: International Database</w:t>
      </w:r>
      <w:r w:rsidR="00520D02" w:rsidRPr="00C84EDE">
        <w:rPr>
          <w:bCs/>
        </w:rPr>
        <w:t>.</w:t>
      </w:r>
      <w:r w:rsidR="003D4C3D">
        <w:rPr>
          <w:b/>
          <w:bCs/>
        </w:rPr>
        <w:t xml:space="preserve"> </w:t>
      </w:r>
    </w:p>
    <w:p w:rsidR="000B37A3" w:rsidRPr="00FC51FF" w:rsidRDefault="000B37A3" w:rsidP="004D1153">
      <w:pPr>
        <w:rPr>
          <w:b/>
        </w:rPr>
      </w:pPr>
      <w:r w:rsidRPr="00FC51FF">
        <w:rPr>
          <w:b/>
        </w:rPr>
        <w:t>Average annual population growth rate</w:t>
      </w:r>
      <w:r w:rsidR="00F91578" w:rsidRPr="00FC51FF">
        <w:t>:</w:t>
      </w:r>
      <w:r w:rsidR="00F1411F" w:rsidRPr="00FC51FF">
        <w:t xml:space="preserve"> Annual population growth rate for year </w:t>
      </w:r>
      <w:r w:rsidR="00F1411F" w:rsidRPr="00F71CE0">
        <w:rPr>
          <w:i/>
        </w:rPr>
        <w:t>t</w:t>
      </w:r>
      <w:r w:rsidR="00F1411F" w:rsidRPr="00FC51FF">
        <w:t xml:space="preserve"> is the exponential rate of growth of midyear population from year t-1 </w:t>
      </w:r>
      <w:r w:rsidR="00B755EC" w:rsidRPr="00FC51FF">
        <w:t>to t, expressed as a percentage</w:t>
      </w:r>
      <w:r w:rsidR="00F1411F" w:rsidRPr="00FC51FF">
        <w:t>. Population is based on the de facto definition of population, which counts all residents regardless of legal status or citizenship</w:t>
      </w:r>
      <w:r w:rsidR="00AD50C4">
        <w:rPr>
          <w:rFonts w:ascii="Times New Roman" w:hAnsi="Times New Roman"/>
        </w:rPr>
        <w:t>—</w:t>
      </w:r>
      <w:r w:rsidR="00F1411F" w:rsidRPr="00FC51FF">
        <w:t>except for refugees not permanently settled in the country of asylum, who are generally considered part of the population of the country of origin.</w:t>
      </w:r>
      <w:r w:rsidR="00F1411F" w:rsidRPr="00FC51FF">
        <w:rPr>
          <w:b/>
          <w:bCs/>
        </w:rPr>
        <w:t xml:space="preserve"> </w:t>
      </w:r>
      <w:r w:rsidR="00C84EDE" w:rsidRPr="00FC51FF">
        <w:rPr>
          <w:b/>
          <w:bCs/>
        </w:rPr>
        <w:t>Data source</w:t>
      </w:r>
      <w:r w:rsidR="00C84EDE">
        <w:rPr>
          <w:b/>
          <w:bCs/>
        </w:rPr>
        <w:t>s</w:t>
      </w:r>
      <w:r w:rsidR="00C84EDE" w:rsidRPr="00FC51FF">
        <w:rPr>
          <w:b/>
          <w:bCs/>
        </w:rPr>
        <w:t xml:space="preserve">: </w:t>
      </w:r>
      <w:r w:rsidR="00C84EDE" w:rsidRPr="00C84EDE">
        <w:t>United Nations Population Division, World Population Prospects</w:t>
      </w:r>
      <w:r w:rsidR="00C84EDE">
        <w:t>;</w:t>
      </w:r>
      <w:r w:rsidR="00C84EDE" w:rsidRPr="00C84EDE">
        <w:t xml:space="preserve"> United</w:t>
      </w:r>
      <w:r w:rsidR="00C84EDE">
        <w:t xml:space="preserve"> Nations Statistical Division,</w:t>
      </w:r>
      <w:r w:rsidR="00C84EDE" w:rsidRPr="00C84EDE">
        <w:t xml:space="preserve"> Population and Vital Statistics Report (various years)</w:t>
      </w:r>
      <w:r w:rsidR="00C84EDE">
        <w:t>;</w:t>
      </w:r>
      <w:r w:rsidR="00C84EDE" w:rsidRPr="00C84EDE">
        <w:t xml:space="preserve"> Census reports and other statistical publications from national statistical offices</w:t>
      </w:r>
      <w:r w:rsidR="00C84EDE">
        <w:t>;</w:t>
      </w:r>
      <w:r w:rsidR="00C84EDE" w:rsidRPr="00C84EDE">
        <w:t xml:space="preserve"> Eurostat: Demographic Statistics</w:t>
      </w:r>
      <w:r w:rsidR="00C84EDE">
        <w:t>;</w:t>
      </w:r>
      <w:r w:rsidR="00C84EDE" w:rsidRPr="00C84EDE">
        <w:t xml:space="preserve"> Secretariat of the Pacific Community: Statistics and Demography </w:t>
      </w:r>
      <w:proofErr w:type="spellStart"/>
      <w:r w:rsidR="00C84EDE" w:rsidRPr="00C84EDE">
        <w:t>Programme</w:t>
      </w:r>
      <w:proofErr w:type="spellEnd"/>
      <w:r w:rsidR="00C84EDE">
        <w:t>;</w:t>
      </w:r>
      <w:r w:rsidR="00C84EDE" w:rsidRPr="00C84EDE">
        <w:t xml:space="preserve"> U.S. Census Bureau: International Database</w:t>
      </w:r>
      <w:r w:rsidR="00C84EDE" w:rsidRPr="00C84EDE">
        <w:rPr>
          <w:bCs/>
        </w:rPr>
        <w:t>.</w:t>
      </w:r>
    </w:p>
    <w:p w:rsidR="000B37A3" w:rsidRPr="00FC51FF" w:rsidRDefault="000B37A3" w:rsidP="004D1153">
      <w:r w:rsidRPr="00FC51FF">
        <w:rPr>
          <w:b/>
        </w:rPr>
        <w:t>Population density</w:t>
      </w:r>
      <w:r w:rsidR="00F91578" w:rsidRPr="00FC51FF">
        <w:t>:</w:t>
      </w:r>
      <w:r w:rsidR="00F1411F" w:rsidRPr="00FC51FF">
        <w:t xml:space="preserve"> Population density is midyear population divided by land area in square kilometers. Population is based on the de facto definition of population, which counts all residents regardless of legal status or citizenship</w:t>
      </w:r>
      <w:r w:rsidR="00AD50C4">
        <w:rPr>
          <w:rFonts w:ascii="Times New Roman" w:hAnsi="Times New Roman"/>
        </w:rPr>
        <w:t>—</w:t>
      </w:r>
      <w:r w:rsidR="00F1411F" w:rsidRPr="00FC51FF">
        <w:t xml:space="preserve">except for refugees not permanently settled in the country of asylum, who are generally considered part of the population of their country of origin. Land area is a country's total area, excluding area under inland water bodies, national claims to continental shelf, and exclusive economic zones. In most cases the definition of inland water bodies includes major rivers and lakes. </w:t>
      </w:r>
      <w:r w:rsidR="00F1411F" w:rsidRPr="00943938">
        <w:rPr>
          <w:b/>
          <w:bCs/>
        </w:rPr>
        <w:lastRenderedPageBreak/>
        <w:t>Data source:</w:t>
      </w:r>
      <w:r w:rsidR="00F1411F" w:rsidRPr="00521FB2">
        <w:rPr>
          <w:bCs/>
        </w:rPr>
        <w:t xml:space="preserve"> </w:t>
      </w:r>
      <w:r w:rsidR="00655728" w:rsidRPr="00521FB2">
        <w:t>Food and Agriculture Organization</w:t>
      </w:r>
      <w:r w:rsidR="00943938">
        <w:t xml:space="preserve">, at </w:t>
      </w:r>
      <w:hyperlink r:id="rId11" w:history="1">
        <w:r w:rsidR="00304FE2" w:rsidRPr="000E1E06">
          <w:rPr>
            <w:rStyle w:val="Hyperlink"/>
          </w:rPr>
          <w:t>http://faostat.fao.org</w:t>
        </w:r>
      </w:hyperlink>
      <w:r w:rsidR="00304FE2">
        <w:t xml:space="preserve">; </w:t>
      </w:r>
      <w:r w:rsidR="00304FE2">
        <w:rPr>
          <w:color w:val="0000FF"/>
          <w:u w:val="single"/>
        </w:rPr>
        <w:t>population data from World Development Indicators, http://data.worldbank.org/indicator/SP.POP.TOTL</w:t>
      </w:r>
      <w:r w:rsidR="00F1411F" w:rsidRPr="00521FB2">
        <w:rPr>
          <w:bCs/>
        </w:rPr>
        <w:t>.</w:t>
      </w:r>
    </w:p>
    <w:p w:rsidR="000B37A3" w:rsidRPr="00C84EDE" w:rsidRDefault="000B37A3" w:rsidP="004D1153">
      <w:r w:rsidRPr="00FC51FF">
        <w:rPr>
          <w:b/>
        </w:rPr>
        <w:t>Population age composition, ages 0-14</w:t>
      </w:r>
      <w:r w:rsidR="00F91578" w:rsidRPr="00FC51FF">
        <w:t>:</w:t>
      </w:r>
      <w:r w:rsidR="00F1411F" w:rsidRPr="00FC51FF">
        <w:t xml:space="preserve"> Population between the ages 0 to 14 as a percentage of the total population. Population is based on the de facto definition of population. </w:t>
      </w:r>
      <w:r w:rsidR="00F1411F" w:rsidRPr="00FC51FF">
        <w:rPr>
          <w:b/>
          <w:bCs/>
        </w:rPr>
        <w:t xml:space="preserve">Data source: </w:t>
      </w:r>
      <w:r w:rsidR="00655728" w:rsidRPr="00C84EDE">
        <w:t>United Nations Population Division</w:t>
      </w:r>
      <w:r w:rsidR="00C84EDE">
        <w:t>,</w:t>
      </w:r>
      <w:r w:rsidR="00655728" w:rsidRPr="00C84EDE">
        <w:t xml:space="preserve"> World Population Prospects</w:t>
      </w:r>
      <w:r w:rsidR="004D1153">
        <w:t>,</w:t>
      </w:r>
      <w:r w:rsidR="00F1411F" w:rsidRPr="00C84EDE">
        <w:rPr>
          <w:bCs/>
        </w:rPr>
        <w:t xml:space="preserve"> at </w:t>
      </w:r>
      <w:r w:rsidR="00C84EDE" w:rsidRPr="00C84EDE">
        <w:t>http://es</w:t>
      </w:r>
      <w:r w:rsidR="00C84EDE">
        <w:t>a.un.org/wpp</w:t>
      </w:r>
      <w:r w:rsidR="00F1411F" w:rsidRPr="00C84EDE">
        <w:rPr>
          <w:bCs/>
        </w:rPr>
        <w:t>.</w:t>
      </w:r>
    </w:p>
    <w:p w:rsidR="000B37A3" w:rsidRPr="00FC51FF" w:rsidRDefault="000B37A3" w:rsidP="004D1153">
      <w:r w:rsidRPr="00FC51FF">
        <w:rPr>
          <w:b/>
        </w:rPr>
        <w:t>Gross National Income (GNI)</w:t>
      </w:r>
      <w:r w:rsidR="00F91578" w:rsidRPr="00FC51FF">
        <w:t xml:space="preserve"> :</w:t>
      </w:r>
      <w:r w:rsidR="00F1411F" w:rsidRPr="00FC51FF">
        <w:t xml:space="preserve"> GNI (formerly GNP) is the sum of value added by all resident producers plus any product taxes (less subsidies) not included in the valuation of output plus net receipts of primary income (compensation of employees and property income) from abroad. </w:t>
      </w:r>
      <w:r w:rsidR="00F1411F" w:rsidRPr="00FC51FF">
        <w:rPr>
          <w:b/>
          <w:bCs/>
        </w:rPr>
        <w:t>Data source</w:t>
      </w:r>
      <w:r w:rsidR="004D1153">
        <w:rPr>
          <w:b/>
          <w:bCs/>
        </w:rPr>
        <w:t>s</w:t>
      </w:r>
      <w:r w:rsidR="00F1411F" w:rsidRPr="00FC51FF">
        <w:rPr>
          <w:b/>
          <w:bCs/>
        </w:rPr>
        <w:t>:</w:t>
      </w:r>
      <w:r w:rsidR="00655728" w:rsidRPr="00FC51FF">
        <w:t xml:space="preserve"> </w:t>
      </w:r>
      <w:r w:rsidR="00655728" w:rsidRPr="00C84EDE">
        <w:t>Wor</w:t>
      </w:r>
      <w:r w:rsidR="004D1153">
        <w:t xml:space="preserve">ld Bank national accounts data, at </w:t>
      </w:r>
      <w:r w:rsidR="000D7956" w:rsidRPr="004D1153">
        <w:rPr>
          <w:bCs/>
        </w:rPr>
        <w:t>http://data.worldbank.org</w:t>
      </w:r>
      <w:r w:rsidR="004D1153">
        <w:t xml:space="preserve">; </w:t>
      </w:r>
      <w:r w:rsidR="00655728" w:rsidRPr="00C84EDE">
        <w:t>OECD National Accounts data files</w:t>
      </w:r>
      <w:r w:rsidR="004D1153">
        <w:t>,</w:t>
      </w:r>
      <w:r w:rsidR="00F1411F" w:rsidRPr="00C84EDE">
        <w:rPr>
          <w:bCs/>
        </w:rPr>
        <w:t xml:space="preserve"> at </w:t>
      </w:r>
      <w:r w:rsidR="000D7956" w:rsidRPr="000D7956">
        <w:rPr>
          <w:bCs/>
        </w:rPr>
        <w:t>http://stats.oecd.org/</w:t>
      </w:r>
      <w:r w:rsidR="00F1411F" w:rsidRPr="00FC51FF">
        <w:rPr>
          <w:b/>
          <w:bCs/>
        </w:rPr>
        <w:t>.</w:t>
      </w:r>
    </w:p>
    <w:p w:rsidR="000B37A3" w:rsidRPr="00FC51FF" w:rsidRDefault="000B37A3" w:rsidP="004D1153">
      <w:r w:rsidRPr="00FC51FF">
        <w:rPr>
          <w:b/>
        </w:rPr>
        <w:t>GNI per capita</w:t>
      </w:r>
      <w:r w:rsidR="00F91578" w:rsidRPr="00FC51FF">
        <w:t>:</w:t>
      </w:r>
      <w:r w:rsidR="00F1411F" w:rsidRPr="00FC51FF">
        <w:t xml:space="preserve"> 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 </w:t>
      </w:r>
      <w:r w:rsidR="00F1411F" w:rsidRPr="00FC51FF">
        <w:rPr>
          <w:b/>
          <w:bCs/>
        </w:rPr>
        <w:t xml:space="preserve">Data source: </w:t>
      </w:r>
      <w:r w:rsidR="00386647">
        <w:rPr>
          <w:bCs/>
        </w:rPr>
        <w:t xml:space="preserve">World Bank, </w:t>
      </w:r>
      <w:r w:rsidR="00F1411F" w:rsidRPr="004D1153">
        <w:rPr>
          <w:bCs/>
        </w:rPr>
        <w:t>World</w:t>
      </w:r>
      <w:r w:rsidR="00F1411F" w:rsidRPr="004D1153">
        <w:t xml:space="preserve"> </w:t>
      </w:r>
      <w:r w:rsidR="00F1411F" w:rsidRPr="004D1153">
        <w:rPr>
          <w:bCs/>
        </w:rPr>
        <w:t>Development Indicators</w:t>
      </w:r>
      <w:r w:rsidR="004D1153" w:rsidRPr="004D1153">
        <w:rPr>
          <w:bCs/>
        </w:rPr>
        <w:t>, at http://data.worldbank.org</w:t>
      </w:r>
      <w:r w:rsidR="00F1411F" w:rsidRPr="004D1153">
        <w:rPr>
          <w:bCs/>
        </w:rPr>
        <w:t>.</w:t>
      </w:r>
    </w:p>
    <w:p w:rsidR="000B37A3" w:rsidRPr="00FC51FF" w:rsidRDefault="000B37A3" w:rsidP="004D1153">
      <w:r w:rsidRPr="00FC51FF">
        <w:rPr>
          <w:b/>
        </w:rPr>
        <w:t xml:space="preserve">PPP </w:t>
      </w:r>
      <w:r w:rsidR="00386647">
        <w:rPr>
          <w:b/>
        </w:rPr>
        <w:t>national income (</w:t>
      </w:r>
      <w:r w:rsidRPr="00FC51FF">
        <w:rPr>
          <w:b/>
        </w:rPr>
        <w:t>GNI</w:t>
      </w:r>
      <w:r w:rsidR="00386647">
        <w:rPr>
          <w:b/>
        </w:rPr>
        <w:t>)</w:t>
      </w:r>
      <w:r w:rsidR="00F91578" w:rsidRPr="00FC51FF">
        <w:t>:</w:t>
      </w:r>
      <w:r w:rsidR="00F1411F" w:rsidRPr="00FC51FF">
        <w:t xml:space="preserve"> PPP GNI (formerly PPP GNP) is gross national income (GNI) converted to international dollars using purchasing power parity rates. An international dollar has the same purchasing power over GNI as a U.S. dollar has in the United States. Gross national income is the sum of value added by all resident producers plus any product taxes (less subsidies) not included in the valuation of output plus net receipts of primary income (compensation of employees and property income) from abroad. Data are in current international dollars. </w:t>
      </w:r>
      <w:r w:rsidR="004D1153" w:rsidRPr="00FC51FF">
        <w:rPr>
          <w:b/>
          <w:bCs/>
        </w:rPr>
        <w:t>Data source</w:t>
      </w:r>
      <w:r w:rsidR="004D1153">
        <w:rPr>
          <w:b/>
          <w:bCs/>
        </w:rPr>
        <w:t>s</w:t>
      </w:r>
      <w:r w:rsidR="004D1153" w:rsidRPr="00FC51FF">
        <w:rPr>
          <w:b/>
          <w:bCs/>
        </w:rPr>
        <w:t>:</w:t>
      </w:r>
      <w:r w:rsidR="004D1153" w:rsidRPr="00FC51FF">
        <w:t xml:space="preserve"> </w:t>
      </w:r>
      <w:r w:rsidR="004D1153" w:rsidRPr="00C84EDE">
        <w:t>Wor</w:t>
      </w:r>
      <w:r w:rsidR="004D1153">
        <w:t xml:space="preserve">ld Bank national accounts data, at </w:t>
      </w:r>
      <w:r w:rsidR="000D7956" w:rsidRPr="004D1153">
        <w:rPr>
          <w:bCs/>
        </w:rPr>
        <w:t>http://data.worldbank.org</w:t>
      </w:r>
      <w:r w:rsidR="004D1153">
        <w:t xml:space="preserve">; </w:t>
      </w:r>
      <w:r w:rsidR="004D1153" w:rsidRPr="00C84EDE">
        <w:t>OECD National Accounts data files</w:t>
      </w:r>
      <w:r w:rsidR="004D1153">
        <w:t>,</w:t>
      </w:r>
      <w:r w:rsidR="004D1153" w:rsidRPr="00C84EDE">
        <w:rPr>
          <w:bCs/>
        </w:rPr>
        <w:t xml:space="preserve"> at </w:t>
      </w:r>
      <w:r w:rsidR="000D7956" w:rsidRPr="000D7956">
        <w:rPr>
          <w:bCs/>
        </w:rPr>
        <w:t>http://stats.oecd.org</w:t>
      </w:r>
      <w:r w:rsidR="004D1153" w:rsidRPr="00FC51FF">
        <w:rPr>
          <w:b/>
          <w:bCs/>
        </w:rPr>
        <w:t>.</w:t>
      </w:r>
    </w:p>
    <w:p w:rsidR="000B37A3" w:rsidRPr="00FC51FF" w:rsidRDefault="000B37A3" w:rsidP="004D1153">
      <w:r w:rsidRPr="00FC51FF">
        <w:rPr>
          <w:b/>
        </w:rPr>
        <w:t>PPP GNI per capita</w:t>
      </w:r>
      <w:r w:rsidR="00F91578" w:rsidRPr="00FC51FF">
        <w:t>:</w:t>
      </w:r>
      <w:r w:rsidR="00F1411F" w:rsidRPr="00FC51FF">
        <w:t xml:space="preserve"> GNI per capita based on purchasing power parity (PPP). PPP GNI is gross national income (GNI) converted to international dollars using purchasing power parity rates. An international dollar has the same purchasing power over GNI as a U.S. dollar has in the United States. GNI is the sum of value added by all resident producers plus any product taxes (less subsidies) not included in the valuation of output plus net receipts of primary income (compensation of employees and property income) from abroad. Data are in current international dollars. </w:t>
      </w:r>
      <w:r w:rsidR="00F1411F" w:rsidRPr="00FC51FF">
        <w:rPr>
          <w:b/>
          <w:bCs/>
        </w:rPr>
        <w:t xml:space="preserve">Data source: </w:t>
      </w:r>
      <w:r w:rsidR="009039E0" w:rsidRPr="004D1153">
        <w:t>World Bank, International Comparison Program database</w:t>
      </w:r>
      <w:r w:rsidR="00F1411F" w:rsidRPr="004D1153">
        <w:rPr>
          <w:bCs/>
        </w:rPr>
        <w:t xml:space="preserve">, at </w:t>
      </w:r>
      <w:r w:rsidR="004D1153" w:rsidRPr="004D1153">
        <w:rPr>
          <w:rFonts w:cstheme="minorHAnsi"/>
          <w:bCs/>
        </w:rPr>
        <w:t>http:</w:t>
      </w:r>
      <w:r w:rsidR="004D1153">
        <w:rPr>
          <w:rFonts w:cstheme="minorHAnsi"/>
          <w:bCs/>
        </w:rPr>
        <w:t>//www.worldbank.org/data/icp</w:t>
      </w:r>
      <w:r w:rsidR="00F1411F" w:rsidRPr="004D1153">
        <w:rPr>
          <w:rFonts w:cstheme="minorHAnsi"/>
          <w:bCs/>
        </w:rPr>
        <w:t>.</w:t>
      </w:r>
    </w:p>
    <w:p w:rsidR="000B37A3" w:rsidRPr="00FC51FF" w:rsidRDefault="000B37A3" w:rsidP="00EB2DB3">
      <w:proofErr w:type="gramStart"/>
      <w:r w:rsidRPr="00FC51FF">
        <w:rPr>
          <w:b/>
        </w:rPr>
        <w:t>Gross domestic product (GDP) per capita growth</w:t>
      </w:r>
      <w:r w:rsidR="00F91578" w:rsidRPr="00FC51FF">
        <w:t>:</w:t>
      </w:r>
      <w:r w:rsidR="00655728" w:rsidRPr="00FC51FF">
        <w:t xml:space="preserve"> Annual percentage growth rate of GDP per capita based on constant local currency.</w:t>
      </w:r>
      <w:proofErr w:type="gramEnd"/>
      <w:r w:rsidR="00655728" w:rsidRPr="00FC51FF">
        <w:t xml:space="preserve"> Aggregates are based on constant 2005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r w:rsidR="00EB2DB3" w:rsidRPr="00FC51FF">
        <w:rPr>
          <w:b/>
          <w:bCs/>
        </w:rPr>
        <w:t>Data source</w:t>
      </w:r>
      <w:r w:rsidR="00EB2DB3">
        <w:rPr>
          <w:b/>
          <w:bCs/>
        </w:rPr>
        <w:t>s</w:t>
      </w:r>
      <w:r w:rsidR="00EB2DB3" w:rsidRPr="00FC51FF">
        <w:rPr>
          <w:b/>
          <w:bCs/>
        </w:rPr>
        <w:t>:</w:t>
      </w:r>
      <w:r w:rsidR="00EB2DB3" w:rsidRPr="00FC51FF">
        <w:t xml:space="preserve"> </w:t>
      </w:r>
      <w:r w:rsidR="00EB2DB3" w:rsidRPr="00C84EDE">
        <w:t>Wor</w:t>
      </w:r>
      <w:r w:rsidR="00EB2DB3">
        <w:t xml:space="preserve">ld Bank </w:t>
      </w:r>
      <w:r w:rsidR="00EB2DB3">
        <w:lastRenderedPageBreak/>
        <w:t xml:space="preserve">national accounts data, at </w:t>
      </w:r>
      <w:r w:rsidR="000D7956">
        <w:t>http://data.worldbank.org</w:t>
      </w:r>
      <w:r w:rsidR="00EB2DB3">
        <w:t xml:space="preserve">; </w:t>
      </w:r>
      <w:r w:rsidR="00EB2DB3" w:rsidRPr="00C84EDE">
        <w:t>OECD National Accounts data files</w:t>
      </w:r>
      <w:r w:rsidR="00EB2DB3">
        <w:t>,</w:t>
      </w:r>
      <w:r w:rsidR="00EB2DB3" w:rsidRPr="00C84EDE">
        <w:rPr>
          <w:bCs/>
        </w:rPr>
        <w:t xml:space="preserve"> at </w:t>
      </w:r>
      <w:r w:rsidR="000D7956" w:rsidRPr="000D7956">
        <w:rPr>
          <w:bCs/>
        </w:rPr>
        <w:t>http://stats.oecd.org/</w:t>
      </w:r>
      <w:r w:rsidR="00EB2DB3" w:rsidRPr="00FC51FF">
        <w:rPr>
          <w:b/>
          <w:bCs/>
        </w:rPr>
        <w:t>.</w:t>
      </w:r>
    </w:p>
    <w:p w:rsidR="000B37A3" w:rsidRPr="00EB2DB3" w:rsidRDefault="000B37A3" w:rsidP="00EB2DB3">
      <w:r w:rsidRPr="00FC51FF">
        <w:rPr>
          <w:b/>
        </w:rPr>
        <w:t>Life expectancy at birth</w:t>
      </w:r>
      <w:r w:rsidR="00F91578" w:rsidRPr="00FC51FF">
        <w:t>:</w:t>
      </w:r>
      <w:r w:rsidR="009039E0" w:rsidRPr="00FC51FF">
        <w:t xml:space="preserve"> Life expectancy at birth indicates the number of years a newborn infant would live if prevailing patterns of mortality at the time of its birth were to stay the same throughout its life. </w:t>
      </w:r>
      <w:r w:rsidR="009039E0" w:rsidRPr="00FC51FF">
        <w:rPr>
          <w:b/>
          <w:bCs/>
        </w:rPr>
        <w:t>Data source</w:t>
      </w:r>
      <w:r w:rsidR="00EB2DB3">
        <w:rPr>
          <w:b/>
          <w:bCs/>
        </w:rPr>
        <w:t>s</w:t>
      </w:r>
      <w:r w:rsidR="00EB2DB3">
        <w:rPr>
          <w:bCs/>
        </w:rPr>
        <w:t>:</w:t>
      </w:r>
      <w:r w:rsidR="009039E0" w:rsidRPr="00EB2DB3">
        <w:rPr>
          <w:bCs/>
        </w:rPr>
        <w:t xml:space="preserve"> </w:t>
      </w:r>
      <w:r w:rsidR="009039E0" w:rsidRPr="00EB2DB3">
        <w:t>United Nations Population Division. World Population Prospects</w:t>
      </w:r>
      <w:r w:rsidR="00EB2DB3">
        <w:t xml:space="preserve">; </w:t>
      </w:r>
      <w:r w:rsidR="009039E0" w:rsidRPr="00EB2DB3">
        <w:t>Unit</w:t>
      </w:r>
      <w:r w:rsidR="00EB2DB3">
        <w:t>ed Nations Statistical Division,</w:t>
      </w:r>
      <w:r w:rsidR="009039E0" w:rsidRPr="00EB2DB3">
        <w:t xml:space="preserve"> Population and Vital Statistics </w:t>
      </w:r>
      <w:r w:rsidR="00EB2DB3">
        <w:t xml:space="preserve">Report </w:t>
      </w:r>
      <w:r w:rsidR="009039E0" w:rsidRPr="00EB2DB3">
        <w:t>(various years)</w:t>
      </w:r>
      <w:r w:rsidR="00EB2DB3">
        <w:t>;</w:t>
      </w:r>
      <w:r w:rsidR="009039E0" w:rsidRPr="00EB2DB3">
        <w:t xml:space="preserve"> Census reports and other statistical publications from national statistical offices</w:t>
      </w:r>
      <w:r w:rsidR="00EB2DB3">
        <w:t>;</w:t>
      </w:r>
      <w:r w:rsidR="009039E0" w:rsidRPr="00EB2DB3">
        <w:t xml:space="preserve"> Eurostat: Demographic Statistics</w:t>
      </w:r>
      <w:r w:rsidR="00EB2DB3">
        <w:t>;</w:t>
      </w:r>
      <w:r w:rsidR="009039E0" w:rsidRPr="00EB2DB3">
        <w:t xml:space="preserve"> Secretariat of the Pacific Community: Statistics and Demography </w:t>
      </w:r>
      <w:proofErr w:type="spellStart"/>
      <w:r w:rsidR="009039E0" w:rsidRPr="00EB2DB3">
        <w:t>Programme</w:t>
      </w:r>
      <w:proofErr w:type="spellEnd"/>
      <w:r w:rsidR="00EB2DB3">
        <w:t>;</w:t>
      </w:r>
      <w:r w:rsidR="009039E0" w:rsidRPr="00EB2DB3">
        <w:t xml:space="preserve"> U.S. Census Bureau: International Database</w:t>
      </w:r>
      <w:r w:rsidR="009039E0" w:rsidRPr="00EB2DB3">
        <w:rPr>
          <w:bCs/>
        </w:rPr>
        <w:t>.</w:t>
      </w:r>
    </w:p>
    <w:p w:rsidR="000B37A3" w:rsidRPr="00EB2DB3" w:rsidRDefault="000B37A3" w:rsidP="00EB2DB3">
      <w:pPr>
        <w:rPr>
          <w:b/>
        </w:rPr>
      </w:pPr>
      <w:r w:rsidRPr="00FC51FF">
        <w:rPr>
          <w:b/>
        </w:rPr>
        <w:t>Adult literacy rate</w:t>
      </w:r>
      <w:r w:rsidR="00F91578" w:rsidRPr="00FC51FF">
        <w:t>:</w:t>
      </w:r>
      <w:r w:rsidR="009039E0" w:rsidRPr="00FC51FF">
        <w:t xml:space="preserve"> Adult literacy rate is the percentage of people ages 15 and above who can, with understanding, read and write a short, simple statement on their everyday life. </w:t>
      </w:r>
      <w:r w:rsidR="009039E0" w:rsidRPr="00FC51FF">
        <w:rPr>
          <w:b/>
          <w:bCs/>
        </w:rPr>
        <w:t xml:space="preserve">Data source: </w:t>
      </w:r>
      <w:r w:rsidR="009039E0" w:rsidRPr="00EB2DB3">
        <w:t xml:space="preserve">United Nations Educational, Scientific, and Cultural Organization (UNESCO) Institute for Statistics, </w:t>
      </w:r>
      <w:r w:rsidR="009039E0" w:rsidRPr="00EB2DB3">
        <w:rPr>
          <w:bCs/>
        </w:rPr>
        <w:t xml:space="preserve">at </w:t>
      </w:r>
      <w:hyperlink r:id="rId12" w:history="1">
        <w:r w:rsidR="00EB2DB3" w:rsidRPr="00EB2DB3">
          <w:rPr>
            <w:rStyle w:val="Hyperlink"/>
            <w:color w:val="auto"/>
            <w:u w:val="none"/>
          </w:rPr>
          <w:t>http://www.uis.unesco.org</w:t>
        </w:r>
      </w:hyperlink>
      <w:r w:rsidR="009039E0" w:rsidRPr="00EB2DB3">
        <w:rPr>
          <w:bCs/>
        </w:rPr>
        <w:t>.</w:t>
      </w:r>
    </w:p>
    <w:p w:rsidR="006414E2" w:rsidRDefault="006414E2" w:rsidP="00C84EDE">
      <w:pPr>
        <w:pStyle w:val="Heading2"/>
        <w:spacing w:line="240" w:lineRule="auto"/>
      </w:pPr>
      <w:r>
        <w:t>Table 2: Selected Risk Indicators</w:t>
      </w:r>
    </w:p>
    <w:p w:rsidR="00722956" w:rsidRPr="00A00A43" w:rsidRDefault="000B37A3" w:rsidP="00EB2DB3">
      <w:r w:rsidRPr="002636FE">
        <w:rPr>
          <w:b/>
        </w:rPr>
        <w:t>Large recessions, years in recession</w:t>
      </w:r>
      <w:r w:rsidR="00F91578" w:rsidRPr="00F91578">
        <w:t>:</w:t>
      </w:r>
      <w:r w:rsidR="00A00A43">
        <w:t xml:space="preserve"> </w:t>
      </w:r>
      <w:r w:rsidR="00722956" w:rsidRPr="00A00A43">
        <w:t xml:space="preserve">Using real GDP per capita from </w:t>
      </w:r>
      <w:r w:rsidR="007B76A1">
        <w:t>the World Development Indicators (</w:t>
      </w:r>
      <w:r w:rsidR="00722956" w:rsidRPr="00284947">
        <w:t>WDI</w:t>
      </w:r>
      <w:r w:rsidR="007B76A1" w:rsidRPr="00F71CE0">
        <w:t>)</w:t>
      </w:r>
      <w:r w:rsidR="00722956" w:rsidRPr="00284947">
        <w:t>,</w:t>
      </w:r>
      <w:r w:rsidR="00722956" w:rsidRPr="00A00A43">
        <w:t xml:space="preserve"> large recessions are identified by following </w:t>
      </w:r>
      <w:proofErr w:type="spellStart"/>
      <w:r w:rsidR="00722956" w:rsidRPr="00A00A43">
        <w:t>Barro</w:t>
      </w:r>
      <w:proofErr w:type="spellEnd"/>
      <w:r w:rsidR="00722956" w:rsidRPr="00A00A43">
        <w:t xml:space="preserve"> and </w:t>
      </w:r>
      <w:proofErr w:type="spellStart"/>
      <w:r w:rsidR="00722956" w:rsidRPr="00A00A43">
        <w:t>Urs</w:t>
      </w:r>
      <w:r w:rsidR="00F6515A">
        <w:rPr>
          <w:rFonts w:ascii="Calibri" w:hAnsi="Calibri"/>
        </w:rPr>
        <w:t>ú</w:t>
      </w:r>
      <w:r w:rsidR="00722956" w:rsidRPr="00A00A43">
        <w:t>a</w:t>
      </w:r>
      <w:proofErr w:type="spellEnd"/>
      <w:r w:rsidR="00722956" w:rsidRPr="00A00A43">
        <w:t xml:space="preserve"> </w:t>
      </w:r>
      <w:r w:rsidR="00FD736A">
        <w:t>(</w:t>
      </w:r>
      <w:r w:rsidR="00722956" w:rsidRPr="00A00A43">
        <w:t>2012</w:t>
      </w:r>
      <w:r w:rsidR="00FD736A">
        <w:t>)</w:t>
      </w:r>
      <w:r w:rsidR="00722956" w:rsidRPr="00A00A43">
        <w:t xml:space="preserve"> and using as a threshold a 5% decline in GDP per capita growth from peak to trough. The constructed variable is </w:t>
      </w:r>
      <w:proofErr w:type="gramStart"/>
      <w:r w:rsidR="00722956" w:rsidRPr="00A00A43">
        <w:t>dummy</w:t>
      </w:r>
      <w:proofErr w:type="gramEnd"/>
      <w:r w:rsidR="00722956" w:rsidRPr="00A00A43">
        <w:t xml:space="preserve"> (1 if a country was in large recession, 0 otherwise). </w:t>
      </w:r>
      <w:r w:rsidR="00410C42" w:rsidRPr="00A00A43">
        <w:rPr>
          <w:b/>
        </w:rPr>
        <w:t xml:space="preserve">Data source: </w:t>
      </w:r>
      <w:proofErr w:type="spellStart"/>
      <w:r w:rsidR="00410C42" w:rsidRPr="00EB2DB3">
        <w:t>Barro</w:t>
      </w:r>
      <w:proofErr w:type="spellEnd"/>
      <w:r w:rsidR="00410C42" w:rsidRPr="00EB2DB3">
        <w:t xml:space="preserve">, Robert J., and José F. </w:t>
      </w:r>
      <w:proofErr w:type="spellStart"/>
      <w:r w:rsidR="00410C42" w:rsidRPr="00EB2DB3">
        <w:t>Ursúa</w:t>
      </w:r>
      <w:proofErr w:type="spellEnd"/>
      <w:r w:rsidR="00071830">
        <w:t>,</w:t>
      </w:r>
      <w:r w:rsidR="00410C42" w:rsidRPr="00EB2DB3">
        <w:t xml:space="preserve"> 2012</w:t>
      </w:r>
      <w:r w:rsidR="00071830">
        <w:t>,</w:t>
      </w:r>
      <w:r w:rsidR="00410C42" w:rsidRPr="00EB2DB3">
        <w:t xml:space="preserve"> “Rare Macroeconomic Disasters</w:t>
      </w:r>
      <w:r w:rsidR="00071830">
        <w:t>,</w:t>
      </w:r>
      <w:r w:rsidR="00410C42" w:rsidRPr="00EB2DB3">
        <w:t xml:space="preserve">” </w:t>
      </w:r>
      <w:r w:rsidR="00410C42" w:rsidRPr="00F71CE0">
        <w:rPr>
          <w:i/>
        </w:rPr>
        <w:t>Annual Review of Economics</w:t>
      </w:r>
      <w:r w:rsidR="00410C42" w:rsidRPr="00EB2DB3">
        <w:t xml:space="preserve"> 4 (1): 83–109),</w:t>
      </w:r>
      <w:r w:rsidR="00A00A43" w:rsidRPr="00EB2DB3">
        <w:t xml:space="preserve"> at</w:t>
      </w:r>
      <w:r w:rsidR="00410C42" w:rsidRPr="00EB2DB3">
        <w:t xml:space="preserve"> </w:t>
      </w:r>
      <w:hyperlink r:id="rId13" w:history="1">
        <w:r w:rsidR="00A76A16" w:rsidRPr="00841C60">
          <w:rPr>
            <w:rStyle w:val="Hyperlink"/>
          </w:rPr>
          <w:t>http://scholar.harvard.edu/barro/publications/barro-ursua-macroeconomic-data</w:t>
        </w:r>
      </w:hyperlink>
      <w:r w:rsidR="00A76A16">
        <w:t xml:space="preserve">; </w:t>
      </w:r>
      <w:r w:rsidR="00A76A16" w:rsidRPr="00C84EDE">
        <w:t>Wor</w:t>
      </w:r>
      <w:r w:rsidR="00A76A16">
        <w:t xml:space="preserve">ld Bank national accounts data, at </w:t>
      </w:r>
      <w:r w:rsidR="000D7956">
        <w:t>http://data.worldbank.org</w:t>
      </w:r>
      <w:r w:rsidR="00A76A16">
        <w:t xml:space="preserve">; </w:t>
      </w:r>
      <w:r w:rsidR="00A76A16" w:rsidRPr="00C84EDE">
        <w:t>OECD National Accounts data files</w:t>
      </w:r>
      <w:r w:rsidR="00A76A16">
        <w:t>,</w:t>
      </w:r>
      <w:r w:rsidR="00A76A16" w:rsidRPr="00C84EDE">
        <w:rPr>
          <w:bCs/>
        </w:rPr>
        <w:t xml:space="preserve"> at </w:t>
      </w:r>
      <w:r w:rsidR="000D7956" w:rsidRPr="000D7956">
        <w:rPr>
          <w:bCs/>
        </w:rPr>
        <w:t>http://stats.oecd.org/</w:t>
      </w:r>
      <w:r w:rsidR="00A76A16" w:rsidRPr="00FC51FF">
        <w:rPr>
          <w:b/>
          <w:bCs/>
        </w:rPr>
        <w:t>.</w:t>
      </w:r>
    </w:p>
    <w:p w:rsidR="000B37A3" w:rsidRPr="00597CAF" w:rsidRDefault="000B37A3" w:rsidP="00C84EDE">
      <w:pPr>
        <w:spacing w:line="240" w:lineRule="auto"/>
      </w:pPr>
      <w:r w:rsidRPr="002636FE">
        <w:rPr>
          <w:rFonts w:cstheme="minorHAnsi"/>
          <w:b/>
        </w:rPr>
        <w:t>Incidences of natural hazards (drought, earthquakes, flood, storm)</w:t>
      </w:r>
      <w:r w:rsidR="005657CA" w:rsidRPr="00F91578">
        <w:t>:</w:t>
      </w:r>
      <w:r w:rsidR="00F6515A">
        <w:t xml:space="preserve"> T</w:t>
      </w:r>
      <w:r w:rsidR="00597CAF">
        <w:t>he number of droughts, earthquakes, floods</w:t>
      </w:r>
      <w:r w:rsidR="00F6515A">
        <w:t>,</w:t>
      </w:r>
      <w:r w:rsidR="00597CAF">
        <w:t xml:space="preserve"> and storms (as defined by the EM-DAT database) that </w:t>
      </w:r>
      <w:r w:rsidR="00290C39">
        <w:t>occurred</w:t>
      </w:r>
      <w:r w:rsidR="00597CAF">
        <w:t xml:space="preserve"> in the specified time period.</w:t>
      </w:r>
      <w:r w:rsidR="00B5325A">
        <w:t xml:space="preserve">  D</w:t>
      </w:r>
      <w:r w:rsidR="00E11CED">
        <w:t>isasters that affect multiple countries are considered to be separate events</w:t>
      </w:r>
      <w:r w:rsidR="00B5325A">
        <w:t xml:space="preserve"> for the purpose of calculating summary groups</w:t>
      </w:r>
      <w:r w:rsidR="00E11CED">
        <w:t>.</w:t>
      </w:r>
      <w:r w:rsidR="00597CAF">
        <w:t xml:space="preserve"> </w:t>
      </w:r>
      <w:r w:rsidR="00597CAF">
        <w:rPr>
          <w:b/>
        </w:rPr>
        <w:t>Data source</w:t>
      </w:r>
      <w:r w:rsidR="00BF460D">
        <w:rPr>
          <w:b/>
        </w:rPr>
        <w:t>s</w:t>
      </w:r>
      <w:r w:rsidR="00597CAF">
        <w:rPr>
          <w:b/>
        </w:rPr>
        <w:t>:</w:t>
      </w:r>
      <w:r w:rsidR="00597CAF" w:rsidRPr="00BF460D">
        <w:t xml:space="preserve"> </w:t>
      </w:r>
      <w:proofErr w:type="spellStart"/>
      <w:r w:rsidR="00BF460D">
        <w:t>Guha</w:t>
      </w:r>
      <w:proofErr w:type="spellEnd"/>
      <w:r w:rsidR="00BF460D">
        <w:t xml:space="preserve">-Sapir, D., </w:t>
      </w:r>
      <w:r w:rsidR="00F6515A">
        <w:t xml:space="preserve">and P. </w:t>
      </w:r>
      <w:proofErr w:type="spellStart"/>
      <w:r w:rsidR="00BF460D">
        <w:t>Heudtlass</w:t>
      </w:r>
      <w:proofErr w:type="spellEnd"/>
      <w:proofErr w:type="gramStart"/>
      <w:r w:rsidR="00BF460D">
        <w:t xml:space="preserve">,  </w:t>
      </w:r>
      <w:r w:rsidR="00071830">
        <w:t>2013</w:t>
      </w:r>
      <w:proofErr w:type="gramEnd"/>
      <w:r w:rsidR="00071830">
        <w:t xml:space="preserve">, </w:t>
      </w:r>
      <w:r w:rsidR="00BF460D">
        <w:t>“</w:t>
      </w:r>
      <w:r w:rsidR="00BF460D" w:rsidRPr="00BF460D">
        <w:t xml:space="preserve">Standardized </w:t>
      </w:r>
      <w:r w:rsidR="00506208">
        <w:t>I</w:t>
      </w:r>
      <w:r w:rsidR="00BF460D" w:rsidRPr="00BF460D">
        <w:t xml:space="preserve">ndicators of </w:t>
      </w:r>
      <w:r w:rsidR="00506208">
        <w:t>H</w:t>
      </w:r>
      <w:r w:rsidR="00BF460D" w:rsidRPr="00BF460D">
        <w:t xml:space="preserve">uman and </w:t>
      </w:r>
      <w:r w:rsidR="00506208">
        <w:t>E</w:t>
      </w:r>
      <w:r w:rsidR="00BF460D" w:rsidRPr="00BF460D">
        <w:t xml:space="preserve">conomic </w:t>
      </w:r>
      <w:r w:rsidR="00506208">
        <w:t>L</w:t>
      </w:r>
      <w:r w:rsidR="00BF460D" w:rsidRPr="00BF460D">
        <w:t xml:space="preserve">oss from </w:t>
      </w:r>
      <w:r w:rsidR="00506208">
        <w:t>N</w:t>
      </w:r>
      <w:r w:rsidR="00BF460D" w:rsidRPr="00BF460D">
        <w:t xml:space="preserve">atural </w:t>
      </w:r>
      <w:r w:rsidR="00506208">
        <w:t>D</w:t>
      </w:r>
      <w:r w:rsidR="00BF460D" w:rsidRPr="00BF460D">
        <w:t>isasters,</w:t>
      </w:r>
      <w:r w:rsidR="00BF460D">
        <w:t>”</w:t>
      </w:r>
      <w:r w:rsidR="00BF460D" w:rsidRPr="00BF460D">
        <w:t xml:space="preserve"> CRED working paper, IRSS, University of Louvain, Brussels</w:t>
      </w:r>
      <w:r w:rsidR="00BF460D">
        <w:t xml:space="preserve">; </w:t>
      </w:r>
      <w:r w:rsidR="00BF460D" w:rsidRPr="00BF460D">
        <w:t>EM</w:t>
      </w:r>
      <w:r w:rsidR="00BF460D" w:rsidRPr="00597CAF">
        <w:t xml:space="preserve">-DAT: The OFDA/CRED </w:t>
      </w:r>
      <w:r w:rsidR="00BF460D">
        <w:t>International Disaster Database, at http://www.emdat.</w:t>
      </w:r>
      <w:r w:rsidR="00B5325A">
        <w:t>be</w:t>
      </w:r>
      <w:r w:rsidR="00506208">
        <w:t>.</w:t>
      </w:r>
    </w:p>
    <w:p w:rsidR="000B37A3" w:rsidRPr="002636FE" w:rsidRDefault="000B37A3" w:rsidP="00C84EDE">
      <w:pPr>
        <w:spacing w:line="240" w:lineRule="auto"/>
        <w:rPr>
          <w:rFonts w:cstheme="minorHAnsi"/>
        </w:rPr>
      </w:pPr>
      <w:r w:rsidRPr="002636FE">
        <w:rPr>
          <w:rFonts w:cstheme="minorHAnsi"/>
          <w:b/>
        </w:rPr>
        <w:t>Incidences of epidemics</w:t>
      </w:r>
      <w:r w:rsidR="005657CA">
        <w:rPr>
          <w:rFonts w:cstheme="minorHAnsi"/>
        </w:rPr>
        <w:t>:</w:t>
      </w:r>
      <w:r w:rsidR="002D1A71">
        <w:rPr>
          <w:rFonts w:cstheme="minorHAnsi"/>
        </w:rPr>
        <w:t xml:space="preserve"> </w:t>
      </w:r>
      <w:r w:rsidR="00506208">
        <w:t>T</w:t>
      </w:r>
      <w:r w:rsidR="00597CAF">
        <w:t>he number of epidemics that were recorded in the specified time period. An epidemic is e</w:t>
      </w:r>
      <w:r w:rsidR="00597CAF" w:rsidRPr="00597CAF">
        <w:t>ither an unusual increase in the number of cases of an infectious disease</w:t>
      </w:r>
      <w:r w:rsidR="00506208">
        <w:t xml:space="preserve"> that</w:t>
      </w:r>
      <w:r w:rsidR="00597CAF" w:rsidRPr="00597CAF">
        <w:t xml:space="preserve"> already exists in the</w:t>
      </w:r>
      <w:r w:rsidR="00597CAF">
        <w:t xml:space="preserve"> region or population concerned</w:t>
      </w:r>
      <w:r w:rsidR="00597CAF" w:rsidRPr="00597CAF">
        <w:t xml:space="preserve"> or the appearance of an infection previously absent from a region.</w:t>
      </w:r>
      <w:r w:rsidR="00597CAF">
        <w:t xml:space="preserve"> </w:t>
      </w:r>
      <w:r w:rsidR="00B5325A">
        <w:t xml:space="preserve">Disasters that affect multiple countries are considered to be separate events for the purpose of calculating summary groups. </w:t>
      </w:r>
      <w:r w:rsidR="00290C39">
        <w:rPr>
          <w:b/>
        </w:rPr>
        <w:t>Data source</w:t>
      </w:r>
      <w:r w:rsidR="00BF460D">
        <w:rPr>
          <w:b/>
        </w:rPr>
        <w:t>s</w:t>
      </w:r>
      <w:r w:rsidR="00290C39">
        <w:rPr>
          <w:b/>
        </w:rPr>
        <w:t xml:space="preserve">: </w:t>
      </w:r>
      <w:proofErr w:type="spellStart"/>
      <w:r w:rsidR="00BF460D">
        <w:t>Guha</w:t>
      </w:r>
      <w:proofErr w:type="spellEnd"/>
      <w:r w:rsidR="00BF460D">
        <w:t xml:space="preserve">-Sapir, </w:t>
      </w:r>
      <w:proofErr w:type="spellStart"/>
      <w:r w:rsidR="00BF460D">
        <w:t>D.</w:t>
      </w:r>
      <w:proofErr w:type="gramStart"/>
      <w:r w:rsidR="00BF460D">
        <w:t>,</w:t>
      </w:r>
      <w:r w:rsidR="00506208">
        <w:t>and</w:t>
      </w:r>
      <w:proofErr w:type="spellEnd"/>
      <w:proofErr w:type="gramEnd"/>
      <w:r w:rsidR="00506208">
        <w:t xml:space="preserve"> P.</w:t>
      </w:r>
      <w:r w:rsidR="00BF460D">
        <w:t xml:space="preserve"> </w:t>
      </w:r>
      <w:proofErr w:type="spellStart"/>
      <w:r w:rsidR="00BF460D">
        <w:t>Heudtlass</w:t>
      </w:r>
      <w:proofErr w:type="spellEnd"/>
      <w:r w:rsidR="00BF460D">
        <w:t xml:space="preserve">,  </w:t>
      </w:r>
      <w:r w:rsidR="00071830">
        <w:t xml:space="preserve"> 2013,</w:t>
      </w:r>
      <w:r w:rsidR="00BF460D">
        <w:t>“</w:t>
      </w:r>
      <w:r w:rsidR="00BF460D" w:rsidRPr="00BF460D">
        <w:t xml:space="preserve">Standardized </w:t>
      </w:r>
      <w:r w:rsidR="00506208">
        <w:t>I</w:t>
      </w:r>
      <w:r w:rsidR="00BF460D" w:rsidRPr="00BF460D">
        <w:t xml:space="preserve">ndicators of </w:t>
      </w:r>
      <w:r w:rsidR="00506208">
        <w:t>H</w:t>
      </w:r>
      <w:r w:rsidR="00BF460D" w:rsidRPr="00BF460D">
        <w:t xml:space="preserve">uman and </w:t>
      </w:r>
      <w:r w:rsidR="00506208">
        <w:t>E</w:t>
      </w:r>
      <w:r w:rsidR="00BF460D" w:rsidRPr="00BF460D">
        <w:t xml:space="preserve">conomic </w:t>
      </w:r>
      <w:r w:rsidR="00506208">
        <w:t>L</w:t>
      </w:r>
      <w:r w:rsidR="00BF460D" w:rsidRPr="00BF460D">
        <w:t xml:space="preserve">oss from </w:t>
      </w:r>
      <w:r w:rsidR="00506208">
        <w:t>N</w:t>
      </w:r>
      <w:r w:rsidR="00BF460D" w:rsidRPr="00BF460D">
        <w:t xml:space="preserve">atural </w:t>
      </w:r>
      <w:r w:rsidR="00506208">
        <w:t>D</w:t>
      </w:r>
      <w:r w:rsidR="00BF460D" w:rsidRPr="00BF460D">
        <w:t>isasters,</w:t>
      </w:r>
      <w:r w:rsidR="00BF460D">
        <w:t>”</w:t>
      </w:r>
      <w:r w:rsidR="00BF460D" w:rsidRPr="00BF460D">
        <w:t xml:space="preserve"> CRED working paper, IRSS, University of Louvain, Brussels</w:t>
      </w:r>
      <w:r w:rsidR="00BF460D">
        <w:t xml:space="preserve">; </w:t>
      </w:r>
      <w:r w:rsidR="00BF460D" w:rsidRPr="00BF460D">
        <w:t>EM</w:t>
      </w:r>
      <w:r w:rsidR="00BF460D" w:rsidRPr="00597CAF">
        <w:t xml:space="preserve">-DAT: The OFDA/CRED </w:t>
      </w:r>
      <w:r w:rsidR="00BF460D">
        <w:t>International Disaster Database, at http://www.emdat.</w:t>
      </w:r>
      <w:r w:rsidR="00B5325A">
        <w:t>be</w:t>
      </w:r>
      <w:r w:rsidR="00BF460D">
        <w:t>.</w:t>
      </w:r>
    </w:p>
    <w:p w:rsidR="000B37A3" w:rsidRPr="002636FE" w:rsidRDefault="000B37A3" w:rsidP="00C84EDE">
      <w:pPr>
        <w:spacing w:line="240" w:lineRule="auto"/>
        <w:rPr>
          <w:rFonts w:cstheme="minorHAnsi"/>
        </w:rPr>
      </w:pPr>
      <w:r w:rsidRPr="002636FE">
        <w:rPr>
          <w:rFonts w:cstheme="minorHAnsi"/>
          <w:b/>
        </w:rPr>
        <w:t>Adult mortality rate</w:t>
      </w:r>
      <w:r w:rsidR="005657CA" w:rsidRPr="005657CA">
        <w:rPr>
          <w:rFonts w:cstheme="minorHAnsi"/>
          <w:b/>
        </w:rPr>
        <w:t>:</w:t>
      </w:r>
      <w:r w:rsidR="00A00A43">
        <w:rPr>
          <w:rFonts w:cstheme="minorHAnsi"/>
        </w:rPr>
        <w:t xml:space="preserve"> T</w:t>
      </w:r>
      <w:r w:rsidRPr="002636FE">
        <w:rPr>
          <w:rFonts w:cstheme="minorHAnsi"/>
        </w:rPr>
        <w:t xml:space="preserve">he probability </w:t>
      </w:r>
      <w:r w:rsidR="009D45AB">
        <w:rPr>
          <w:rFonts w:cstheme="minorHAnsi"/>
        </w:rPr>
        <w:t>per 1</w:t>
      </w:r>
      <w:r w:rsidR="003F43B7">
        <w:rPr>
          <w:rFonts w:cstheme="minorHAnsi"/>
        </w:rPr>
        <w:t>,</w:t>
      </w:r>
      <w:r w:rsidR="009D45AB">
        <w:rPr>
          <w:rFonts w:cstheme="minorHAnsi"/>
        </w:rPr>
        <w:t xml:space="preserve">000 </w:t>
      </w:r>
      <w:r w:rsidRPr="002636FE">
        <w:rPr>
          <w:rFonts w:cstheme="minorHAnsi"/>
        </w:rPr>
        <w:t>of dying between 15 and 60 years of age</w:t>
      </w:r>
      <w:r w:rsidR="009D45AB" w:rsidRPr="009D45AB">
        <w:rPr>
          <w:rFonts w:cstheme="minorHAnsi"/>
          <w:color w:val="000000" w:themeColor="text1"/>
        </w:rPr>
        <w:t xml:space="preserve"> </w:t>
      </w:r>
      <w:r w:rsidR="009D45AB" w:rsidRPr="00A00A43">
        <w:rPr>
          <w:rFonts w:cstheme="minorHAnsi"/>
          <w:color w:val="000000" w:themeColor="text1"/>
        </w:rPr>
        <w:t xml:space="preserve">if subject to </w:t>
      </w:r>
      <w:r w:rsidR="009D45AB">
        <w:rPr>
          <w:rFonts w:cstheme="minorHAnsi"/>
          <w:color w:val="000000" w:themeColor="text1"/>
        </w:rPr>
        <w:t xml:space="preserve">the </w:t>
      </w:r>
      <w:r w:rsidR="009D45AB" w:rsidRPr="00A00A43">
        <w:rPr>
          <w:rFonts w:cstheme="minorHAnsi"/>
          <w:color w:val="000000" w:themeColor="text1"/>
        </w:rPr>
        <w:t>age-specific mortality rates</w:t>
      </w:r>
      <w:r w:rsidR="009D45AB">
        <w:rPr>
          <w:rFonts w:cstheme="minorHAnsi"/>
          <w:color w:val="000000" w:themeColor="text1"/>
        </w:rPr>
        <w:t xml:space="preserve"> of that year</w:t>
      </w:r>
      <w:r w:rsidR="009D45AB" w:rsidRPr="009D45AB">
        <w:rPr>
          <w:rFonts w:cstheme="minorHAnsi"/>
          <w:color w:val="000000" w:themeColor="text1"/>
        </w:rPr>
        <w:t xml:space="preserve"> </w:t>
      </w:r>
      <w:r w:rsidR="009D45AB">
        <w:rPr>
          <w:rFonts w:cstheme="minorHAnsi"/>
          <w:color w:val="000000" w:themeColor="text1"/>
        </w:rPr>
        <w:t>between those ages</w:t>
      </w:r>
      <w:r w:rsidRPr="002636FE">
        <w:rPr>
          <w:rFonts w:cstheme="minorHAnsi"/>
        </w:rPr>
        <w:t xml:space="preserve">.  </w:t>
      </w:r>
      <w:r w:rsidR="002D1A71" w:rsidRPr="002D1A71">
        <w:rPr>
          <w:rFonts w:cstheme="minorHAnsi"/>
          <w:b/>
        </w:rPr>
        <w:t xml:space="preserve">Data source: </w:t>
      </w:r>
      <w:r w:rsidR="000E79C2" w:rsidRPr="00EB2DB3">
        <w:rPr>
          <w:rFonts w:cstheme="minorHAnsi"/>
          <w:color w:val="000000" w:themeColor="text1"/>
        </w:rPr>
        <w:t xml:space="preserve">United Nations Population </w:t>
      </w:r>
      <w:r w:rsidR="000E79C2" w:rsidRPr="00EB2DB3">
        <w:rPr>
          <w:rFonts w:cstheme="minorHAnsi"/>
          <w:color w:val="000000" w:themeColor="text1"/>
        </w:rPr>
        <w:lastRenderedPageBreak/>
        <w:t>Division, World Population Prospects</w:t>
      </w:r>
      <w:r w:rsidR="00EB2DB3">
        <w:rPr>
          <w:rFonts w:cstheme="minorHAnsi"/>
          <w:color w:val="000000" w:themeColor="text1"/>
        </w:rPr>
        <w:t xml:space="preserve">, at </w:t>
      </w:r>
      <w:r w:rsidR="00EB2DB3" w:rsidRPr="00C84EDE">
        <w:t>http://es</w:t>
      </w:r>
      <w:r w:rsidR="00EB2DB3">
        <w:t>a.un.org/wpp</w:t>
      </w:r>
      <w:r w:rsidR="000E79C2" w:rsidRPr="00EB2DB3">
        <w:rPr>
          <w:rFonts w:cstheme="minorHAnsi"/>
          <w:color w:val="000000" w:themeColor="text1"/>
        </w:rPr>
        <w:t>; Univ</w:t>
      </w:r>
      <w:r w:rsidR="00EB2DB3">
        <w:rPr>
          <w:rFonts w:cstheme="minorHAnsi"/>
          <w:color w:val="000000" w:themeColor="text1"/>
        </w:rPr>
        <w:t xml:space="preserve">ersity of California, Berkeley; </w:t>
      </w:r>
      <w:r w:rsidR="000E79C2" w:rsidRPr="00EB2DB3">
        <w:rPr>
          <w:rFonts w:cstheme="minorHAnsi"/>
          <w:color w:val="000000" w:themeColor="text1"/>
        </w:rPr>
        <w:t>Max Planck ins</w:t>
      </w:r>
      <w:r w:rsidR="00EB2DB3">
        <w:rPr>
          <w:rFonts w:cstheme="minorHAnsi"/>
          <w:color w:val="000000" w:themeColor="text1"/>
        </w:rPr>
        <w:t>titute for Demographic Research,</w:t>
      </w:r>
      <w:r w:rsidR="000E79C2" w:rsidRPr="00EB2DB3">
        <w:rPr>
          <w:rFonts w:cstheme="minorHAnsi"/>
          <w:color w:val="000000" w:themeColor="text1"/>
        </w:rPr>
        <w:t xml:space="preserve"> Human Mortality Database</w:t>
      </w:r>
      <w:r w:rsidR="009D45AB">
        <w:rPr>
          <w:rFonts w:cstheme="minorHAnsi"/>
          <w:color w:val="000000" w:themeColor="text1"/>
        </w:rPr>
        <w:t>,</w:t>
      </w:r>
      <w:r w:rsidR="009D45AB" w:rsidRPr="00EB2DB3">
        <w:rPr>
          <w:rFonts w:cstheme="minorHAnsi"/>
          <w:color w:val="000000" w:themeColor="text1"/>
        </w:rPr>
        <w:t xml:space="preserve"> </w:t>
      </w:r>
      <w:r w:rsidR="00A00A43" w:rsidRPr="00EB2DB3">
        <w:rPr>
          <w:rFonts w:cstheme="minorHAnsi"/>
          <w:color w:val="000000" w:themeColor="text1"/>
        </w:rPr>
        <w:t xml:space="preserve">at </w:t>
      </w:r>
      <w:r w:rsidR="00817604" w:rsidRPr="00817604">
        <w:t>http://www.mortality.org</w:t>
      </w:r>
      <w:r w:rsidR="004D3172" w:rsidRPr="00EB2DB3">
        <w:rPr>
          <w:rFonts w:cstheme="minorHAnsi"/>
          <w:color w:val="000000" w:themeColor="text1"/>
        </w:rPr>
        <w:t>.</w:t>
      </w:r>
      <w:r w:rsidR="004D3172" w:rsidRPr="00A00A43">
        <w:rPr>
          <w:rFonts w:cstheme="minorHAnsi"/>
          <w:b/>
          <w:color w:val="000000" w:themeColor="text1"/>
        </w:rPr>
        <w:t xml:space="preserve"> </w:t>
      </w:r>
    </w:p>
    <w:p w:rsidR="00722956" w:rsidRPr="00EB2DB3" w:rsidRDefault="00722956" w:rsidP="00EB2DB3">
      <w:pPr>
        <w:rPr>
          <w:rFonts w:cstheme="minorHAnsi"/>
          <w:b/>
        </w:rPr>
      </w:pPr>
      <w:r w:rsidRPr="00EB2DB3">
        <w:rPr>
          <w:rFonts w:cstheme="minorHAnsi"/>
          <w:b/>
        </w:rPr>
        <w:t>Homicide rate (per 100,000 people)</w:t>
      </w:r>
      <w:r w:rsidR="005657CA" w:rsidRPr="00EB2DB3">
        <w:rPr>
          <w:rFonts w:cstheme="minorHAnsi"/>
        </w:rPr>
        <w:t>:</w:t>
      </w:r>
      <w:r w:rsidRPr="00EB2DB3">
        <w:rPr>
          <w:rFonts w:cstheme="minorHAnsi"/>
        </w:rPr>
        <w:t xml:space="preserve"> </w:t>
      </w:r>
      <w:r w:rsidR="005657CA" w:rsidRPr="00EB2DB3">
        <w:rPr>
          <w:rFonts w:cstheme="minorHAnsi"/>
        </w:rPr>
        <w:t xml:space="preserve">Intentional homicides are estimates </w:t>
      </w:r>
      <w:r w:rsidRPr="00EB2DB3">
        <w:rPr>
          <w:rFonts w:cstheme="minorHAnsi"/>
        </w:rPr>
        <w:t xml:space="preserve">of unlawful homicides purposely inflicted as a result of domestic disputes, interpersonal violence, violent conflicts over land resources, </w:t>
      </w:r>
      <w:proofErr w:type="spellStart"/>
      <w:r w:rsidRPr="00EB2DB3">
        <w:rPr>
          <w:rFonts w:cstheme="minorHAnsi"/>
        </w:rPr>
        <w:t>intergang</w:t>
      </w:r>
      <w:proofErr w:type="spellEnd"/>
      <w:r w:rsidRPr="00EB2DB3">
        <w:rPr>
          <w:rFonts w:cstheme="minorHAnsi"/>
        </w:rPr>
        <w:t xml:space="preserve"> violence over turf or control, and predatory violence and killing by armed groups. Intentional homicide does not include all intentional killing; the difference is usually in the organization of the killing. Individuals or small groups usually commit homicide, whereas killing in armed conflict is usually committed by fairly cohesive groups of up to several hundred members and is thus usually excluded. </w:t>
      </w:r>
      <w:r w:rsidR="009538E6" w:rsidRPr="00EB2DB3">
        <w:rPr>
          <w:rFonts w:cstheme="minorHAnsi"/>
          <w:b/>
          <w:color w:val="000000" w:themeColor="text1"/>
        </w:rPr>
        <w:t>Data source:</w:t>
      </w:r>
      <w:r w:rsidR="009538E6" w:rsidRPr="00EB2DB3">
        <w:rPr>
          <w:rFonts w:cstheme="minorHAnsi"/>
          <w:color w:val="000000" w:themeColor="text1"/>
        </w:rPr>
        <w:t xml:space="preserve"> United Nations Office on Drugs and Crime's International Homicide Statistics, </w:t>
      </w:r>
      <w:r w:rsidR="00A00A43" w:rsidRPr="00EB2DB3">
        <w:rPr>
          <w:rFonts w:cstheme="minorHAnsi"/>
          <w:color w:val="000000" w:themeColor="text1"/>
        </w:rPr>
        <w:t xml:space="preserve">at </w:t>
      </w:r>
      <w:r w:rsidR="009A4240" w:rsidRPr="00EB2DB3">
        <w:rPr>
          <w:rFonts w:cstheme="minorHAnsi"/>
          <w:sz w:val="24"/>
          <w:szCs w:val="24"/>
        </w:rPr>
        <w:t>http://www.unodc.org/unodc/en/data-and-analysis/homicide.html</w:t>
      </w:r>
      <w:r w:rsidR="00EB2DB3">
        <w:rPr>
          <w:rFonts w:cstheme="minorHAnsi"/>
          <w:b/>
          <w:color w:val="000000" w:themeColor="text1"/>
        </w:rPr>
        <w:t>.</w:t>
      </w:r>
    </w:p>
    <w:p w:rsidR="008850ED" w:rsidRPr="00A00A43" w:rsidRDefault="008850ED" w:rsidP="008850ED">
      <w:pPr>
        <w:rPr>
          <w:rFonts w:cstheme="minorHAnsi"/>
        </w:rPr>
      </w:pPr>
      <w:r w:rsidRPr="007B76A1">
        <w:rPr>
          <w:rFonts w:cstheme="minorHAnsi"/>
          <w:b/>
        </w:rPr>
        <w:t>Poverty headcount ratio, $2.5 a day &amp; $10 a day (% population):</w:t>
      </w:r>
      <w:r w:rsidRPr="007B76A1">
        <w:rPr>
          <w:rFonts w:cstheme="minorHAnsi"/>
        </w:rPr>
        <w:t xml:space="preserve"> </w:t>
      </w:r>
      <w:r w:rsidRPr="007B76A1">
        <w:rPr>
          <w:rFonts w:cstheme="minorHAnsi"/>
          <w:color w:val="000000" w:themeColor="text1"/>
        </w:rPr>
        <w:t xml:space="preserve"> Percentage of population living on less than $2.5</w:t>
      </w:r>
      <w:r w:rsidR="00393A83" w:rsidRPr="007B76A1">
        <w:rPr>
          <w:rFonts w:cstheme="minorHAnsi"/>
          <w:color w:val="000000" w:themeColor="text1"/>
        </w:rPr>
        <w:t>0</w:t>
      </w:r>
      <w:r w:rsidRPr="007B76A1">
        <w:rPr>
          <w:rFonts w:cstheme="minorHAnsi"/>
          <w:color w:val="000000" w:themeColor="text1"/>
        </w:rPr>
        <w:t xml:space="preserve"> a day and $10 a day, respectively, at 2005 international prices. </w:t>
      </w:r>
      <w:r w:rsidRPr="007B76A1">
        <w:rPr>
          <w:rFonts w:cstheme="minorHAnsi"/>
          <w:b/>
          <w:color w:val="000000" w:themeColor="text1"/>
        </w:rPr>
        <w:t xml:space="preserve">Data source: </w:t>
      </w:r>
      <w:proofErr w:type="spellStart"/>
      <w:r w:rsidR="00A43C2E" w:rsidRPr="007B76A1">
        <w:t>PovcalNet</w:t>
      </w:r>
      <w:proofErr w:type="spellEnd"/>
      <w:r w:rsidR="00A43C2E" w:rsidRPr="007B76A1">
        <w:t xml:space="preserve">: </w:t>
      </w:r>
      <w:r w:rsidR="00393A83" w:rsidRPr="00F71CE0">
        <w:t>an</w:t>
      </w:r>
      <w:r w:rsidR="00393A83" w:rsidRPr="007B76A1">
        <w:t xml:space="preserve"> </w:t>
      </w:r>
      <w:r w:rsidR="00A43C2E" w:rsidRPr="007B76A1">
        <w:t xml:space="preserve">on-line tool for poverty measurement developed by the Development Research Group of the World Bank, at </w:t>
      </w:r>
      <w:hyperlink r:id="rId14" w:history="1">
        <w:r w:rsidR="00A43C2E" w:rsidRPr="007B76A1">
          <w:rPr>
            <w:rStyle w:val="Hyperlink"/>
            <w:rFonts w:cstheme="minorHAnsi"/>
            <w:color w:val="auto"/>
            <w:u w:val="none"/>
          </w:rPr>
          <w:t>http://iresearch.worldbank.org/PovcalNet/index.htm</w:t>
        </w:r>
      </w:hyperlink>
      <w:r w:rsidR="00A43C2E" w:rsidRPr="007B76A1">
        <w:rPr>
          <w:rFonts w:cstheme="minorHAnsi"/>
        </w:rPr>
        <w:t>.</w:t>
      </w:r>
      <w:r w:rsidR="00A43C2E" w:rsidRPr="00255AB1">
        <w:rPr>
          <w:rFonts w:cstheme="minorHAnsi"/>
        </w:rPr>
        <w:t xml:space="preserve">  </w:t>
      </w:r>
    </w:p>
    <w:p w:rsidR="002636FE" w:rsidRDefault="00A45BDC" w:rsidP="00C84EDE">
      <w:pPr>
        <w:spacing w:line="240" w:lineRule="auto"/>
        <w:rPr>
          <w:b/>
        </w:rPr>
      </w:pPr>
      <w:r w:rsidRPr="002636FE">
        <w:rPr>
          <w:b/>
        </w:rPr>
        <w:t>Volatility</w:t>
      </w:r>
      <w:r w:rsidR="002636FE" w:rsidRPr="002636FE">
        <w:rPr>
          <w:b/>
        </w:rPr>
        <w:t xml:space="preserve"> of household consumption growth per capita</w:t>
      </w:r>
      <w:r w:rsidR="005657CA" w:rsidRPr="005657CA">
        <w:rPr>
          <w:rFonts w:cstheme="minorHAnsi"/>
          <w:b/>
        </w:rPr>
        <w:t>:</w:t>
      </w:r>
      <w:r w:rsidR="00A00A43">
        <w:t xml:space="preserve"> </w:t>
      </w:r>
      <w:r w:rsidR="004560C6" w:rsidRPr="004560C6">
        <w:t xml:space="preserve">Historical volatility is calculated by looking at past changes in </w:t>
      </w:r>
      <w:r w:rsidR="004560C6">
        <w:t>household consumption</w:t>
      </w:r>
      <w:r w:rsidR="004560C6" w:rsidRPr="004560C6">
        <w:t xml:space="preserve"> per capita. </w:t>
      </w:r>
      <w:r w:rsidR="00FA7C84">
        <w:t>H</w:t>
      </w:r>
      <w:r w:rsidR="004560C6">
        <w:t>ousehold consumption</w:t>
      </w:r>
      <w:r w:rsidR="000D7956">
        <w:t xml:space="preserve"> </w:t>
      </w:r>
      <w:r w:rsidR="007B76A1">
        <w:t xml:space="preserve">growth </w:t>
      </w:r>
      <w:r w:rsidR="000D7956">
        <w:t>per capita</w:t>
      </w:r>
      <w:r w:rsidR="004560C6" w:rsidRPr="004560C6">
        <w:t xml:space="preserve"> </w:t>
      </w:r>
      <w:r w:rsidR="00FA7C84">
        <w:t xml:space="preserve">is </w:t>
      </w:r>
      <w:r w:rsidR="004560C6" w:rsidRPr="004560C6">
        <w:t xml:space="preserve">approximated </w:t>
      </w:r>
      <w:r w:rsidR="004560C6">
        <w:t>using</w:t>
      </w:r>
      <w:r w:rsidR="004560C6" w:rsidRPr="004560C6">
        <w:t xml:space="preserve"> natural logarithm differences</w:t>
      </w:r>
      <w:r w:rsidR="000D7956">
        <w:t>.</w:t>
      </w:r>
      <w:r w:rsidR="001B0B95" w:rsidRPr="001B0B95">
        <w:t xml:space="preserve"> </w:t>
      </w:r>
      <w:r w:rsidR="001B0B95" w:rsidRPr="004560C6">
        <w:t xml:space="preserve">The standard deviation of percentage changes in </w:t>
      </w:r>
      <w:r w:rsidR="001B0B95">
        <w:t>household consumption per capita (observed volatility)</w:t>
      </w:r>
      <w:r w:rsidR="000D7956">
        <w:t xml:space="preserve"> is </w:t>
      </w:r>
      <w:r w:rsidR="001B0B95">
        <w:t>calculated</w:t>
      </w:r>
      <w:r w:rsidR="000D7956">
        <w:t xml:space="preserve"> </w:t>
      </w:r>
      <w:r w:rsidR="004560C6" w:rsidRPr="004560C6">
        <w:t xml:space="preserve">within </w:t>
      </w:r>
      <w:r w:rsidR="004560C6">
        <w:t>decades with at least nine observations</w:t>
      </w:r>
      <w:r w:rsidR="004560C6" w:rsidRPr="00A00A43">
        <w:t>.</w:t>
      </w:r>
      <w:r w:rsidR="002636FE" w:rsidRPr="00A00A43">
        <w:t xml:space="preserve"> </w:t>
      </w:r>
      <w:r w:rsidR="004E4ABB" w:rsidRPr="00A00A43">
        <w:rPr>
          <w:b/>
        </w:rPr>
        <w:t xml:space="preserve">Data source: </w:t>
      </w:r>
      <w:r w:rsidR="00A76A16" w:rsidRPr="00C84EDE">
        <w:t>Wor</w:t>
      </w:r>
      <w:r w:rsidR="00A76A16">
        <w:t xml:space="preserve">ld Bank national accounts data, </w:t>
      </w:r>
      <w:r w:rsidR="000D7956">
        <w:t xml:space="preserve">at </w:t>
      </w:r>
      <w:r w:rsidR="000D7956" w:rsidRPr="004D1153">
        <w:rPr>
          <w:bCs/>
        </w:rPr>
        <w:t>http://data.worldbank.org</w:t>
      </w:r>
      <w:r w:rsidR="00A76A16">
        <w:t xml:space="preserve">; </w:t>
      </w:r>
      <w:r w:rsidR="00A76A16" w:rsidRPr="00C84EDE">
        <w:t>OECD National Accounts data files</w:t>
      </w:r>
      <w:r w:rsidR="00A76A16">
        <w:t>,</w:t>
      </w:r>
      <w:r w:rsidR="00A76A16" w:rsidRPr="00C84EDE">
        <w:rPr>
          <w:bCs/>
        </w:rPr>
        <w:t xml:space="preserve"> at </w:t>
      </w:r>
      <w:r w:rsidR="000D7956" w:rsidRPr="000D7956">
        <w:rPr>
          <w:bCs/>
        </w:rPr>
        <w:t>http://stats.oecd.org</w:t>
      </w:r>
      <w:r w:rsidR="00A76A16" w:rsidRPr="00834C78">
        <w:rPr>
          <w:bCs/>
        </w:rPr>
        <w:t>.</w:t>
      </w:r>
    </w:p>
    <w:p w:rsidR="002636FE" w:rsidRPr="00A00A43" w:rsidRDefault="00A45BDC" w:rsidP="00C84EDE">
      <w:pPr>
        <w:spacing w:line="240" w:lineRule="auto"/>
      </w:pPr>
      <w:r w:rsidRPr="002636FE">
        <w:rPr>
          <w:b/>
        </w:rPr>
        <w:t>Volatility</w:t>
      </w:r>
      <w:r w:rsidR="002636FE" w:rsidRPr="002636FE">
        <w:rPr>
          <w:b/>
        </w:rPr>
        <w:t xml:space="preserve"> of GDP growth per capita</w:t>
      </w:r>
      <w:r w:rsidR="005657CA" w:rsidRPr="005657CA">
        <w:rPr>
          <w:rFonts w:cstheme="minorHAnsi"/>
          <w:b/>
        </w:rPr>
        <w:t>:</w:t>
      </w:r>
      <w:r w:rsidR="00A00A43">
        <w:t xml:space="preserve"> </w:t>
      </w:r>
      <w:r w:rsidR="001B0B95" w:rsidRPr="004560C6">
        <w:t xml:space="preserve">Historical volatility is calculated by looking at past changes in </w:t>
      </w:r>
      <w:r w:rsidR="001B0B95">
        <w:t>GDP</w:t>
      </w:r>
      <w:r w:rsidR="001B0B95" w:rsidRPr="004560C6">
        <w:t xml:space="preserve"> per capita. </w:t>
      </w:r>
      <w:r w:rsidR="001B0B95">
        <w:t>GDP per capita</w:t>
      </w:r>
      <w:r w:rsidR="001B0B95" w:rsidRPr="004560C6">
        <w:t xml:space="preserve"> growth</w:t>
      </w:r>
      <w:r w:rsidR="001B0B95">
        <w:t xml:space="preserve"> </w:t>
      </w:r>
      <w:r w:rsidR="00FA7C84">
        <w:t xml:space="preserve">is </w:t>
      </w:r>
      <w:r w:rsidR="001B0B95" w:rsidRPr="004560C6">
        <w:t xml:space="preserve">approximated </w:t>
      </w:r>
      <w:r w:rsidR="001B0B95">
        <w:t>using</w:t>
      </w:r>
      <w:r w:rsidR="001B0B95" w:rsidRPr="004560C6">
        <w:t xml:space="preserve"> natural logarithm differences</w:t>
      </w:r>
      <w:r w:rsidR="001B0B95">
        <w:t>.</w:t>
      </w:r>
      <w:r w:rsidR="001B0B95" w:rsidRPr="001B0B95">
        <w:t xml:space="preserve"> </w:t>
      </w:r>
      <w:r w:rsidR="001B0B95" w:rsidRPr="004560C6">
        <w:t xml:space="preserve">The standard deviation of percentage changes in </w:t>
      </w:r>
      <w:r w:rsidR="001B0B95">
        <w:t xml:space="preserve">GDP per capita (observed volatility) is calculated </w:t>
      </w:r>
      <w:r w:rsidR="001B0B95" w:rsidRPr="004560C6">
        <w:t xml:space="preserve">within </w:t>
      </w:r>
      <w:r w:rsidR="001B0B95">
        <w:t>decades with at least nine observations</w:t>
      </w:r>
      <w:r w:rsidR="001B0B95" w:rsidRPr="00A00A43">
        <w:t>.</w:t>
      </w:r>
      <w:r w:rsidR="002636FE" w:rsidRPr="00A00A43">
        <w:t xml:space="preserve"> </w:t>
      </w:r>
      <w:r w:rsidR="00EB5151" w:rsidRPr="00A00A43">
        <w:rPr>
          <w:b/>
        </w:rPr>
        <w:t xml:space="preserve">Data source: </w:t>
      </w:r>
      <w:r w:rsidR="00A76A16" w:rsidRPr="00C84EDE">
        <w:t>Wor</w:t>
      </w:r>
      <w:r w:rsidR="00A76A16">
        <w:t xml:space="preserve">ld Bank national accounts data, </w:t>
      </w:r>
      <w:r w:rsidR="000D7956">
        <w:t xml:space="preserve">at </w:t>
      </w:r>
      <w:r w:rsidR="000D7956" w:rsidRPr="004D1153">
        <w:rPr>
          <w:bCs/>
        </w:rPr>
        <w:t>http://data.worldbank.org</w:t>
      </w:r>
      <w:r w:rsidR="00A76A16">
        <w:t xml:space="preserve">; </w:t>
      </w:r>
      <w:r w:rsidR="00A76A16" w:rsidRPr="00C84EDE">
        <w:t>OECD National Accounts data files</w:t>
      </w:r>
      <w:r w:rsidR="00A76A16">
        <w:t>,</w:t>
      </w:r>
      <w:r w:rsidR="00A76A16" w:rsidRPr="00C84EDE">
        <w:rPr>
          <w:bCs/>
        </w:rPr>
        <w:t xml:space="preserve"> at </w:t>
      </w:r>
      <w:r w:rsidR="000D7956" w:rsidRPr="000D7956">
        <w:rPr>
          <w:bCs/>
        </w:rPr>
        <w:t>http://stats.oecd.org</w:t>
      </w:r>
      <w:r w:rsidR="00071830">
        <w:rPr>
          <w:bCs/>
        </w:rPr>
        <w:t>.</w:t>
      </w:r>
      <w:r w:rsidR="00EB5151" w:rsidRPr="00A00A43">
        <w:rPr>
          <w:b/>
          <w:i/>
        </w:rPr>
        <w:t xml:space="preserve"> </w:t>
      </w:r>
    </w:p>
    <w:p w:rsidR="002636FE" w:rsidRPr="00A00A43" w:rsidRDefault="002636FE" w:rsidP="00C84EDE">
      <w:pPr>
        <w:spacing w:line="240" w:lineRule="auto"/>
      </w:pPr>
      <w:r w:rsidRPr="002636FE">
        <w:rPr>
          <w:b/>
        </w:rPr>
        <w:t>Risk preparation index</w:t>
      </w:r>
      <w:r w:rsidR="005657CA" w:rsidRPr="005657CA">
        <w:rPr>
          <w:rFonts w:cstheme="minorHAnsi"/>
          <w:b/>
        </w:rPr>
        <w:t>:</w:t>
      </w:r>
      <w:r w:rsidR="00A00A43">
        <w:t xml:space="preserve"> </w:t>
      </w:r>
      <w:r w:rsidR="00944F02">
        <w:t xml:space="preserve">A composite index that estimates the cross-country preparedness of households to face generic risk events.  </w:t>
      </w:r>
      <w:r w:rsidRPr="00A00A43">
        <w:t xml:space="preserve">The components of the index are average years of schooling; immunization rate (measles); proportion of households with less than $1,000 in net assets; access to finance index; contributors to a pension scheme (% of labor force); proportion of respondents stating that "in general, people can be trusted"; access to improved sanitation facilities (% of population); and gross public debt (% of revenues). </w:t>
      </w:r>
      <w:r w:rsidR="00944F02">
        <w:t xml:space="preserve">The Risk Preparation Index follows the methodology suggested in </w:t>
      </w:r>
      <w:proofErr w:type="spellStart"/>
      <w:r w:rsidR="00944F02">
        <w:t>Foa</w:t>
      </w:r>
      <w:proofErr w:type="spellEnd"/>
      <w:r w:rsidR="00944F02">
        <w:t>, R, 2013</w:t>
      </w:r>
      <w:r w:rsidR="00071830">
        <w:t>,</w:t>
      </w:r>
      <w:r w:rsidR="00944F02">
        <w:t xml:space="preserve"> “</w:t>
      </w:r>
      <w:r w:rsidR="00F01D98">
        <w:t>Household Risk Preparation Indices: Construction and Diagnostics</w:t>
      </w:r>
      <w:r w:rsidR="00071830">
        <w:t>,</w:t>
      </w:r>
      <w:r w:rsidR="00944F02">
        <w:t>”</w:t>
      </w:r>
      <w:r w:rsidR="00F01D98">
        <w:t xml:space="preserve"> </w:t>
      </w:r>
      <w:r w:rsidR="00F71CE0">
        <w:rPr>
          <w:rFonts w:ascii="Calibri" w:hAnsi="Calibri" w:cs="Calibri"/>
          <w:color w:val="000000"/>
        </w:rPr>
        <w:t>Background Paper for the World Development Report 2014</w:t>
      </w:r>
      <w:r w:rsidR="00F01D98">
        <w:t>.</w:t>
      </w:r>
      <w:r w:rsidR="00944F02">
        <w:t xml:space="preserve"> </w:t>
      </w:r>
      <w:r w:rsidR="000F12DC" w:rsidRPr="00A00A43">
        <w:rPr>
          <w:b/>
        </w:rPr>
        <w:t xml:space="preserve">Data source: </w:t>
      </w:r>
      <w:r w:rsidR="00883B99">
        <w:t>calculations by WDR staff.</w:t>
      </w:r>
    </w:p>
    <w:p w:rsidR="006414E2" w:rsidRDefault="006414E2" w:rsidP="00C84EDE">
      <w:pPr>
        <w:pStyle w:val="Heading2"/>
        <w:spacing w:line="240" w:lineRule="auto"/>
      </w:pPr>
      <w:r>
        <w:t xml:space="preserve">Table 3: </w:t>
      </w:r>
      <w:r w:rsidR="003B260F" w:rsidRPr="003B260F">
        <w:t>Selected Indicators Related to Risk Management at the Household Level</w:t>
      </w:r>
    </w:p>
    <w:p w:rsidR="00EB255E" w:rsidRPr="00521FB2" w:rsidRDefault="002636FE" w:rsidP="00883B99">
      <w:pPr>
        <w:rPr>
          <w:b/>
        </w:rPr>
      </w:pPr>
      <w:r>
        <w:rPr>
          <w:b/>
        </w:rPr>
        <w:t>Education attainment</w:t>
      </w:r>
      <w:r w:rsidR="001750D7">
        <w:rPr>
          <w:b/>
        </w:rPr>
        <w:t xml:space="preserve"> (primary, secondary, and tertiary)</w:t>
      </w:r>
      <w:r w:rsidR="005657CA" w:rsidRPr="005657CA">
        <w:rPr>
          <w:rFonts w:cstheme="minorHAnsi"/>
          <w:b/>
        </w:rPr>
        <w:t>:</w:t>
      </w:r>
      <w:r>
        <w:t xml:space="preserve"> </w:t>
      </w:r>
      <w:r w:rsidR="00EB255E">
        <w:t xml:space="preserve">Percentage of population </w:t>
      </w:r>
      <w:r w:rsidR="00EB255E" w:rsidRPr="007B76A1">
        <w:t>ages over 25</w:t>
      </w:r>
      <w:r w:rsidR="00EB255E">
        <w:t xml:space="preserve"> who completed each education </w:t>
      </w:r>
      <w:r w:rsidR="00EB255E" w:rsidRPr="007B76A1">
        <w:t>level;</w:t>
      </w:r>
      <w:r w:rsidR="00EB255E">
        <w:t xml:space="preserve"> primary, secondary, and tertiary education. Observations are estimate</w:t>
      </w:r>
      <w:r w:rsidR="005D526E">
        <w:t>s</w:t>
      </w:r>
      <w:r w:rsidR="00EB255E">
        <w:t xml:space="preserve"> based on population censuses.</w:t>
      </w:r>
      <w:r w:rsidR="005D526E">
        <w:t xml:space="preserve"> </w:t>
      </w:r>
      <w:r w:rsidR="00935DE2" w:rsidRPr="00521FB2">
        <w:rPr>
          <w:b/>
        </w:rPr>
        <w:t>Data Source:</w:t>
      </w:r>
      <w:r w:rsidR="001750D7">
        <w:t xml:space="preserve"> </w:t>
      </w:r>
      <w:r w:rsidR="001750D7" w:rsidRPr="00883B99">
        <w:t>Robert J.</w:t>
      </w:r>
      <w:r w:rsidR="00071830">
        <w:t xml:space="preserve"> </w:t>
      </w:r>
      <w:proofErr w:type="spellStart"/>
      <w:r w:rsidR="00071830">
        <w:t>Barro</w:t>
      </w:r>
      <w:proofErr w:type="spellEnd"/>
      <w:r w:rsidR="001750D7" w:rsidRPr="00883B99">
        <w:t xml:space="preserve"> </w:t>
      </w:r>
      <w:proofErr w:type="gramStart"/>
      <w:r w:rsidR="001750D7" w:rsidRPr="00883B99">
        <w:t xml:space="preserve">and </w:t>
      </w:r>
      <w:r w:rsidR="00883B99" w:rsidRPr="00883B99">
        <w:t xml:space="preserve"> </w:t>
      </w:r>
      <w:r w:rsidR="001750D7" w:rsidRPr="00883B99">
        <w:t>Jong</w:t>
      </w:r>
      <w:proofErr w:type="gramEnd"/>
      <w:r w:rsidR="001750D7" w:rsidRPr="00883B99">
        <w:t>-</w:t>
      </w:r>
      <w:proofErr w:type="spellStart"/>
      <w:r w:rsidR="001750D7" w:rsidRPr="00883B99">
        <w:t>Wha</w:t>
      </w:r>
      <w:proofErr w:type="spellEnd"/>
      <w:r w:rsidR="00071830">
        <w:t xml:space="preserve"> Lee</w:t>
      </w:r>
      <w:r w:rsidR="005D526E" w:rsidRPr="00883B99">
        <w:t xml:space="preserve">, at </w:t>
      </w:r>
      <w:r w:rsidR="00883B99">
        <w:rPr>
          <w:rFonts w:cstheme="minorHAnsi"/>
        </w:rPr>
        <w:t>http://www.barrolee.com.</w:t>
      </w:r>
    </w:p>
    <w:p w:rsidR="00EB255E" w:rsidRPr="00DE035E" w:rsidRDefault="00A45BDC" w:rsidP="00C84EDE">
      <w:pPr>
        <w:spacing w:after="0" w:line="240" w:lineRule="auto"/>
      </w:pPr>
      <w:r w:rsidRPr="00883B99">
        <w:rPr>
          <w:b/>
        </w:rPr>
        <w:lastRenderedPageBreak/>
        <w:t xml:space="preserve">Education </w:t>
      </w:r>
      <w:proofErr w:type="gramStart"/>
      <w:r w:rsidRPr="00883B99">
        <w:rPr>
          <w:b/>
        </w:rPr>
        <w:t xml:space="preserve">quality, PISA </w:t>
      </w:r>
      <w:r w:rsidR="006503AD" w:rsidRPr="00883B99">
        <w:rPr>
          <w:b/>
        </w:rPr>
        <w:t>mean</w:t>
      </w:r>
      <w:proofErr w:type="gramEnd"/>
      <w:r w:rsidR="006503AD" w:rsidRPr="00883B99">
        <w:rPr>
          <w:b/>
        </w:rPr>
        <w:t xml:space="preserve"> </w:t>
      </w:r>
      <w:r w:rsidRPr="00883B99">
        <w:rPr>
          <w:b/>
        </w:rPr>
        <w:t>score (math and reading)</w:t>
      </w:r>
      <w:r w:rsidR="005657CA" w:rsidRPr="00883B99">
        <w:rPr>
          <w:rFonts w:cstheme="minorHAnsi"/>
          <w:b/>
        </w:rPr>
        <w:t>:</w:t>
      </w:r>
      <w:r w:rsidR="006503AD" w:rsidRPr="00883B99">
        <w:rPr>
          <w:rFonts w:cstheme="minorHAnsi"/>
          <w:b/>
        </w:rPr>
        <w:t xml:space="preserve"> </w:t>
      </w:r>
      <w:proofErr w:type="spellStart"/>
      <w:r w:rsidR="00935DE2" w:rsidRPr="00883B99">
        <w:rPr>
          <w:rFonts w:cstheme="minorHAnsi"/>
        </w:rPr>
        <w:t>Programme</w:t>
      </w:r>
      <w:proofErr w:type="spellEnd"/>
      <w:r w:rsidR="00935DE2" w:rsidRPr="00883B99">
        <w:rPr>
          <w:rFonts w:cstheme="minorHAnsi"/>
        </w:rPr>
        <w:t xml:space="preserve"> for International Student</w:t>
      </w:r>
      <w:r w:rsidR="00935DE2" w:rsidRPr="00521FB2">
        <w:rPr>
          <w:rFonts w:cstheme="minorHAnsi"/>
        </w:rPr>
        <w:t xml:space="preserve"> Assessment (PISA) is an internationally comparable assessment, coordinated by the </w:t>
      </w:r>
      <w:proofErr w:type="spellStart"/>
      <w:r w:rsidR="00935DE2" w:rsidRPr="00521FB2">
        <w:rPr>
          <w:rFonts w:cstheme="minorHAnsi"/>
        </w:rPr>
        <w:t>Organisation</w:t>
      </w:r>
      <w:proofErr w:type="spellEnd"/>
      <w:r w:rsidR="00935DE2" w:rsidRPr="00521FB2">
        <w:rPr>
          <w:rFonts w:cstheme="minorHAnsi"/>
        </w:rPr>
        <w:t xml:space="preserve"> for Economic Co-operation and Development (OECD). The assessment has evaluated the knowledge and skills of 15-year-olds by testing reading, mathematical, and scientific literacy every three years since 1997. Mean performance by subject refers to the average score of all students’ scores in that country. </w:t>
      </w:r>
      <w:r w:rsidR="006503AD">
        <w:rPr>
          <w:rFonts w:cstheme="minorHAnsi"/>
          <w:b/>
        </w:rPr>
        <w:t>Data Source:</w:t>
      </w:r>
      <w:r w:rsidR="00EB255E">
        <w:rPr>
          <w:rFonts w:cstheme="minorHAnsi"/>
          <w:b/>
        </w:rPr>
        <w:t xml:space="preserve"> </w:t>
      </w:r>
      <w:r w:rsidR="005D526E" w:rsidRPr="00883B99">
        <w:rPr>
          <w:rFonts w:cstheme="minorHAnsi"/>
        </w:rPr>
        <w:t>OECD</w:t>
      </w:r>
      <w:r w:rsidR="008C2C3A" w:rsidRPr="00883B99">
        <w:rPr>
          <w:rFonts w:cstheme="minorHAnsi"/>
        </w:rPr>
        <w:t>,</w:t>
      </w:r>
      <w:r w:rsidR="00EB255E" w:rsidRPr="00883B99">
        <w:rPr>
          <w:rFonts w:cstheme="minorHAnsi"/>
        </w:rPr>
        <w:t xml:space="preserve"> at </w:t>
      </w:r>
      <w:r w:rsidR="00834C78">
        <w:rPr>
          <w:rFonts w:cstheme="minorHAnsi"/>
        </w:rPr>
        <w:t>http://www.oecd.org/pisa</w:t>
      </w:r>
      <w:r w:rsidR="00883B99">
        <w:rPr>
          <w:rFonts w:cstheme="minorHAnsi"/>
          <w:b/>
        </w:rPr>
        <w:t>.</w:t>
      </w:r>
    </w:p>
    <w:p w:rsidR="002636FE" w:rsidRDefault="00883B99" w:rsidP="00883B99">
      <w:pPr>
        <w:tabs>
          <w:tab w:val="left" w:pos="1770"/>
        </w:tabs>
        <w:spacing w:line="240" w:lineRule="auto"/>
      </w:pPr>
      <w:r>
        <w:tab/>
      </w:r>
    </w:p>
    <w:p w:rsidR="00A45BDC" w:rsidRPr="00A00A43" w:rsidRDefault="00A45BDC" w:rsidP="00C84EDE">
      <w:pPr>
        <w:spacing w:line="240" w:lineRule="auto"/>
        <w:rPr>
          <w:rFonts w:cstheme="minorHAnsi"/>
          <w:color w:val="000000" w:themeColor="text1"/>
        </w:rPr>
      </w:pPr>
      <w:r w:rsidRPr="00A00A43">
        <w:rPr>
          <w:rFonts w:cstheme="minorHAnsi"/>
          <w:b/>
          <w:color w:val="000000" w:themeColor="text1"/>
        </w:rPr>
        <w:t>Under-five mortality rate</w:t>
      </w:r>
      <w:r w:rsidR="005657CA" w:rsidRPr="00A00A43">
        <w:rPr>
          <w:rFonts w:cstheme="minorHAnsi"/>
          <w:b/>
          <w:color w:val="000000" w:themeColor="text1"/>
        </w:rPr>
        <w:t>:</w:t>
      </w:r>
      <w:r w:rsidR="00515428" w:rsidRPr="00A00A43">
        <w:rPr>
          <w:rFonts w:cstheme="minorHAnsi"/>
          <w:color w:val="000000" w:themeColor="text1"/>
        </w:rPr>
        <w:t xml:space="preserve"> T</w:t>
      </w:r>
      <w:r w:rsidRPr="00A00A43">
        <w:rPr>
          <w:rFonts w:cstheme="minorHAnsi"/>
          <w:color w:val="000000" w:themeColor="text1"/>
        </w:rPr>
        <w:t xml:space="preserve">he probability per 1,000 that a newborn baby will die before reaching age five, if subject to </w:t>
      </w:r>
      <w:r w:rsidR="009D45AB">
        <w:rPr>
          <w:rFonts w:cstheme="minorHAnsi"/>
          <w:color w:val="000000" w:themeColor="text1"/>
        </w:rPr>
        <w:t xml:space="preserve">the </w:t>
      </w:r>
      <w:r w:rsidRPr="00A00A43">
        <w:rPr>
          <w:rFonts w:cstheme="minorHAnsi"/>
          <w:color w:val="000000" w:themeColor="text1"/>
        </w:rPr>
        <w:t>age-specific mortality rates</w:t>
      </w:r>
      <w:r w:rsidR="009D45AB">
        <w:rPr>
          <w:rFonts w:cstheme="minorHAnsi"/>
          <w:color w:val="000000" w:themeColor="text1"/>
        </w:rPr>
        <w:t xml:space="preserve"> of that year</w:t>
      </w:r>
      <w:r w:rsidRPr="00A00A43">
        <w:rPr>
          <w:rFonts w:cstheme="minorHAnsi"/>
          <w:color w:val="000000" w:themeColor="text1"/>
        </w:rPr>
        <w:t xml:space="preserve">. </w:t>
      </w:r>
      <w:r w:rsidR="00515428" w:rsidRPr="00A00A43">
        <w:rPr>
          <w:rFonts w:cstheme="minorHAnsi"/>
          <w:b/>
          <w:color w:val="000000" w:themeColor="text1"/>
        </w:rPr>
        <w:t>Data source</w:t>
      </w:r>
      <w:r w:rsidR="00515428" w:rsidRPr="00883B99">
        <w:rPr>
          <w:rFonts w:cstheme="minorHAnsi"/>
          <w:color w:val="000000" w:themeColor="text1"/>
        </w:rPr>
        <w:t xml:space="preserve">: </w:t>
      </w:r>
      <w:r w:rsidR="00E76612" w:rsidRPr="00883B99">
        <w:rPr>
          <w:rFonts w:cstheme="minorHAnsi"/>
          <w:color w:val="000000" w:themeColor="text1"/>
        </w:rPr>
        <w:t>Level &amp; Trends in Child Mortality</w:t>
      </w:r>
      <w:r w:rsidR="00071830">
        <w:rPr>
          <w:rFonts w:cstheme="minorHAnsi"/>
          <w:color w:val="000000" w:themeColor="text1"/>
        </w:rPr>
        <w:t>,</w:t>
      </w:r>
      <w:r w:rsidR="00E76612" w:rsidRPr="00883B99">
        <w:rPr>
          <w:rFonts w:cstheme="minorHAnsi"/>
          <w:color w:val="000000" w:themeColor="text1"/>
        </w:rPr>
        <w:t xml:space="preserve"> Estimates Developed by the UN Inter-agency Group for Child Mortality Estimation (UNICEF, WHO, World Bank, UN DESA, UNPD)</w:t>
      </w:r>
      <w:r w:rsidR="00A9055B">
        <w:rPr>
          <w:rFonts w:cstheme="minorHAnsi"/>
          <w:color w:val="000000" w:themeColor="text1"/>
        </w:rPr>
        <w:t>,</w:t>
      </w:r>
      <w:r w:rsidR="00E76612" w:rsidRPr="00883B99">
        <w:rPr>
          <w:rFonts w:cstheme="minorHAnsi"/>
          <w:color w:val="000000" w:themeColor="text1"/>
        </w:rPr>
        <w:t xml:space="preserve"> </w:t>
      </w:r>
      <w:r w:rsidR="00A00A43" w:rsidRPr="00883B99">
        <w:rPr>
          <w:rFonts w:cstheme="minorHAnsi"/>
          <w:color w:val="0D0D0D" w:themeColor="text1" w:themeTint="F2"/>
        </w:rPr>
        <w:t>at</w:t>
      </w:r>
      <w:r w:rsidR="00883B99">
        <w:t xml:space="preserve"> </w:t>
      </w:r>
      <w:r w:rsidR="00817604" w:rsidRPr="00817604">
        <w:t>http://www.childmortality.org</w:t>
      </w:r>
      <w:r w:rsidR="00E76612" w:rsidRPr="00A00A43">
        <w:rPr>
          <w:rFonts w:cstheme="minorHAnsi"/>
          <w:b/>
          <w:color w:val="000000" w:themeColor="text1"/>
        </w:rPr>
        <w:t>.</w:t>
      </w:r>
    </w:p>
    <w:p w:rsidR="00A45BDC" w:rsidRPr="00A00A43" w:rsidRDefault="00A45BDC" w:rsidP="00C84EDE">
      <w:pPr>
        <w:spacing w:line="240" w:lineRule="auto"/>
        <w:rPr>
          <w:rFonts w:cstheme="minorHAnsi"/>
          <w:color w:val="000000" w:themeColor="text1"/>
        </w:rPr>
      </w:pPr>
      <w:r w:rsidRPr="00A00A43">
        <w:rPr>
          <w:rFonts w:cstheme="minorHAnsi"/>
          <w:b/>
          <w:color w:val="000000" w:themeColor="text1"/>
        </w:rPr>
        <w:t xml:space="preserve">Maternal mortality </w:t>
      </w:r>
      <w:r w:rsidR="00DF2948">
        <w:rPr>
          <w:rFonts w:cstheme="minorHAnsi"/>
          <w:b/>
          <w:color w:val="000000" w:themeColor="text1"/>
        </w:rPr>
        <w:t>ratio</w:t>
      </w:r>
      <w:r w:rsidR="005657CA" w:rsidRPr="00A00A43">
        <w:rPr>
          <w:rFonts w:cstheme="minorHAnsi"/>
          <w:b/>
          <w:color w:val="000000" w:themeColor="text1"/>
        </w:rPr>
        <w:t>:</w:t>
      </w:r>
      <w:r w:rsidR="00515428" w:rsidRPr="00A00A43">
        <w:rPr>
          <w:rFonts w:cstheme="minorHAnsi"/>
          <w:color w:val="000000" w:themeColor="text1"/>
        </w:rPr>
        <w:t xml:space="preserve"> T</w:t>
      </w:r>
      <w:r w:rsidRPr="00A00A43">
        <w:rPr>
          <w:rFonts w:cstheme="minorHAnsi"/>
          <w:color w:val="000000" w:themeColor="text1"/>
        </w:rPr>
        <w:t xml:space="preserve">he number of women who die </w:t>
      </w:r>
      <w:r w:rsidR="004469F7">
        <w:rPr>
          <w:rFonts w:cstheme="minorHAnsi"/>
          <w:color w:val="000000" w:themeColor="text1"/>
        </w:rPr>
        <w:t>from pregnancy-related causes while pregnant or within 42 days of pregnancy termination</w:t>
      </w:r>
      <w:r w:rsidRPr="00A00A43">
        <w:rPr>
          <w:rFonts w:cstheme="minorHAnsi"/>
          <w:color w:val="000000" w:themeColor="text1"/>
        </w:rPr>
        <w:t xml:space="preserve"> per 100,000 live births. </w:t>
      </w:r>
      <w:r w:rsidR="00B824BF" w:rsidRPr="00A00A43">
        <w:rPr>
          <w:rFonts w:cstheme="minorHAnsi"/>
          <w:b/>
          <w:color w:val="000000" w:themeColor="text1"/>
        </w:rPr>
        <w:t xml:space="preserve">Data source: </w:t>
      </w:r>
      <w:r w:rsidR="00B824BF" w:rsidRPr="00883B99">
        <w:rPr>
          <w:rFonts w:cstheme="minorHAnsi"/>
          <w:color w:val="000000" w:themeColor="text1"/>
        </w:rPr>
        <w:t>Trends in Maternal Mortality: 1990</w:t>
      </w:r>
      <w:r w:rsidR="00A9055B">
        <w:rPr>
          <w:rFonts w:cstheme="minorHAnsi"/>
          <w:color w:val="000000" w:themeColor="text1"/>
        </w:rPr>
        <w:t>–</w:t>
      </w:r>
      <w:r w:rsidR="00B824BF" w:rsidRPr="00883B99">
        <w:rPr>
          <w:rFonts w:cstheme="minorHAnsi"/>
          <w:color w:val="000000" w:themeColor="text1"/>
        </w:rPr>
        <w:t>2010</w:t>
      </w:r>
      <w:r w:rsidR="00A9055B">
        <w:rPr>
          <w:rFonts w:cstheme="minorHAnsi"/>
          <w:color w:val="000000" w:themeColor="text1"/>
        </w:rPr>
        <w:t>,</w:t>
      </w:r>
      <w:r w:rsidR="00B824BF" w:rsidRPr="00883B99">
        <w:rPr>
          <w:rFonts w:cstheme="minorHAnsi"/>
          <w:color w:val="000000" w:themeColor="text1"/>
        </w:rPr>
        <w:t xml:space="preserve"> Estimates Developed by WHO, UNICEF, </w:t>
      </w:r>
      <w:proofErr w:type="gramStart"/>
      <w:r w:rsidR="00B824BF" w:rsidRPr="00883B99">
        <w:rPr>
          <w:rFonts w:cstheme="minorHAnsi"/>
          <w:color w:val="000000" w:themeColor="text1"/>
        </w:rPr>
        <w:t xml:space="preserve">UNFPA </w:t>
      </w:r>
      <w:r w:rsidR="00A9055B">
        <w:rPr>
          <w:rFonts w:cstheme="minorHAnsi"/>
          <w:color w:val="000000" w:themeColor="text1"/>
        </w:rPr>
        <w:t>,</w:t>
      </w:r>
      <w:r w:rsidR="00B824BF" w:rsidRPr="00883B99">
        <w:rPr>
          <w:rFonts w:cstheme="minorHAnsi"/>
          <w:color w:val="000000" w:themeColor="text1"/>
        </w:rPr>
        <w:t>and</w:t>
      </w:r>
      <w:proofErr w:type="gramEnd"/>
      <w:r w:rsidR="00B824BF" w:rsidRPr="00883B99">
        <w:rPr>
          <w:rFonts w:cstheme="minorHAnsi"/>
          <w:color w:val="000000" w:themeColor="text1"/>
        </w:rPr>
        <w:t xml:space="preserve"> the World Bank</w:t>
      </w:r>
      <w:r w:rsidR="00A9055B">
        <w:rPr>
          <w:rFonts w:cstheme="minorHAnsi"/>
          <w:color w:val="000000" w:themeColor="text1"/>
        </w:rPr>
        <w:t>,</w:t>
      </w:r>
      <w:r w:rsidR="00A00A43" w:rsidRPr="00883B99">
        <w:rPr>
          <w:rFonts w:cstheme="minorHAnsi"/>
          <w:color w:val="000000" w:themeColor="text1"/>
        </w:rPr>
        <w:t xml:space="preserve"> </w:t>
      </w:r>
      <w:r w:rsidR="00883B99" w:rsidRPr="00883B99">
        <w:rPr>
          <w:rFonts w:cstheme="minorHAnsi"/>
          <w:color w:val="0D0D0D" w:themeColor="text1" w:themeTint="F2"/>
        </w:rPr>
        <w:t>at</w:t>
      </w:r>
      <w:r w:rsidR="00883B99">
        <w:t xml:space="preserve"> </w:t>
      </w:r>
      <w:r w:rsidR="004469F7" w:rsidRPr="004469F7">
        <w:t>http://www.who.int/reproductivehealth/publications/monitoring/9789241503631/en</w:t>
      </w:r>
      <w:r w:rsidR="00B824BF" w:rsidRPr="00883B99">
        <w:rPr>
          <w:rFonts w:cstheme="minorHAnsi"/>
          <w:color w:val="000000" w:themeColor="text1"/>
        </w:rPr>
        <w:t>.</w:t>
      </w:r>
    </w:p>
    <w:p w:rsidR="00A45BDC" w:rsidRPr="004472B2" w:rsidRDefault="00A45BDC" w:rsidP="00C84EDE">
      <w:pPr>
        <w:spacing w:line="240" w:lineRule="auto"/>
        <w:rPr>
          <w:rFonts w:cstheme="minorHAnsi"/>
          <w:highlight w:val="yellow"/>
        </w:rPr>
      </w:pPr>
      <w:r w:rsidRPr="004472B2">
        <w:rPr>
          <w:rFonts w:cstheme="minorHAnsi"/>
          <w:b/>
        </w:rPr>
        <w:t>Access to social insurance</w:t>
      </w:r>
      <w:r w:rsidR="005657CA" w:rsidRPr="004472B2">
        <w:rPr>
          <w:rFonts w:cstheme="minorHAnsi"/>
          <w:b/>
        </w:rPr>
        <w:t>:</w:t>
      </w:r>
      <w:r w:rsidR="00BF573A" w:rsidRPr="004472B2">
        <w:rPr>
          <w:rFonts w:cstheme="minorHAnsi"/>
          <w:b/>
        </w:rPr>
        <w:t xml:space="preserve"> </w:t>
      </w:r>
      <w:r w:rsidR="00106A31" w:rsidRPr="004472B2">
        <w:rPr>
          <w:rFonts w:cstheme="minorHAnsi"/>
          <w:color w:val="000000"/>
        </w:rPr>
        <w:t>Percentage of population age</w:t>
      </w:r>
      <w:r w:rsidR="00A9055B">
        <w:rPr>
          <w:rFonts w:cstheme="minorHAnsi"/>
          <w:color w:val="000000"/>
        </w:rPr>
        <w:t>d</w:t>
      </w:r>
      <w:r w:rsidR="00106A31" w:rsidRPr="004472B2">
        <w:rPr>
          <w:rFonts w:cstheme="minorHAnsi"/>
          <w:color w:val="000000"/>
        </w:rPr>
        <w:t xml:space="preserve"> 60 and over who are beneficiaries of social insurance. </w:t>
      </w:r>
      <w:r w:rsidR="00106A31" w:rsidRPr="004472B2">
        <w:rPr>
          <w:rFonts w:cstheme="minorHAnsi"/>
          <w:b/>
          <w:color w:val="000000"/>
        </w:rPr>
        <w:t>Data source:</w:t>
      </w:r>
      <w:r w:rsidR="00106A31" w:rsidRPr="004472B2">
        <w:rPr>
          <w:rFonts w:cstheme="minorHAnsi"/>
          <w:color w:val="000000"/>
        </w:rPr>
        <w:t xml:space="preserve"> World Bank Pensions database, at </w:t>
      </w:r>
      <w:hyperlink r:id="rId15" w:history="1">
        <w:r w:rsidR="004472B2" w:rsidRPr="00DD52F6">
          <w:rPr>
            <w:rStyle w:val="Hyperlink"/>
            <w:rFonts w:cstheme="minorHAnsi"/>
          </w:rPr>
          <w:t>http://go.worldbank.org/8KO0DUVDS0</w:t>
        </w:r>
      </w:hyperlink>
      <w:r w:rsidR="004472B2">
        <w:rPr>
          <w:rFonts w:cstheme="minorHAnsi"/>
          <w:color w:val="000000"/>
        </w:rPr>
        <w:t xml:space="preserve">; </w:t>
      </w:r>
      <w:r w:rsidR="00106A31" w:rsidRPr="004472B2">
        <w:rPr>
          <w:rFonts w:cstheme="minorHAnsi"/>
          <w:color w:val="000000"/>
        </w:rPr>
        <w:t>Uni</w:t>
      </w:r>
      <w:r w:rsidR="004472B2">
        <w:rPr>
          <w:rFonts w:cstheme="minorHAnsi"/>
          <w:color w:val="000000"/>
        </w:rPr>
        <w:t>ted Nations Population Division,</w:t>
      </w:r>
      <w:r w:rsidR="00106A31" w:rsidRPr="004472B2">
        <w:rPr>
          <w:rFonts w:cstheme="minorHAnsi"/>
          <w:color w:val="000000"/>
        </w:rPr>
        <w:t xml:space="preserve"> World Population Prospects at </w:t>
      </w:r>
      <w:r w:rsidR="004472B2" w:rsidRPr="00C84EDE">
        <w:t>http://es</w:t>
      </w:r>
      <w:r w:rsidR="004472B2">
        <w:t>a.un.org/wpp.</w:t>
      </w:r>
    </w:p>
    <w:p w:rsidR="00A45BDC" w:rsidRPr="004472B2" w:rsidRDefault="00A45BDC" w:rsidP="00C84EDE">
      <w:pPr>
        <w:spacing w:line="240" w:lineRule="auto"/>
        <w:rPr>
          <w:rFonts w:cstheme="minorHAnsi"/>
          <w:color w:val="000000" w:themeColor="text1"/>
        </w:rPr>
      </w:pPr>
      <w:r w:rsidRPr="004472B2">
        <w:rPr>
          <w:rFonts w:cstheme="minorHAnsi"/>
          <w:b/>
        </w:rPr>
        <w:t xml:space="preserve">Savings, </w:t>
      </w:r>
      <w:r w:rsidRPr="007B76A1">
        <w:rPr>
          <w:rFonts w:cstheme="minorHAnsi"/>
          <w:b/>
        </w:rPr>
        <w:t>%</w:t>
      </w:r>
      <w:r w:rsidRPr="004472B2">
        <w:rPr>
          <w:rFonts w:cstheme="minorHAnsi"/>
          <w:b/>
        </w:rPr>
        <w:t xml:space="preserve"> of people who </w:t>
      </w:r>
      <w:r w:rsidR="00386647">
        <w:rPr>
          <w:rFonts w:cstheme="minorHAnsi"/>
          <w:b/>
        </w:rPr>
        <w:t>saved</w:t>
      </w:r>
      <w:r w:rsidRPr="004472B2">
        <w:rPr>
          <w:rFonts w:cstheme="minorHAnsi"/>
          <w:b/>
        </w:rPr>
        <w:t xml:space="preserve"> in </w:t>
      </w:r>
      <w:r w:rsidR="009A22A0">
        <w:rPr>
          <w:rFonts w:cstheme="minorHAnsi"/>
          <w:b/>
        </w:rPr>
        <w:t>the past year</w:t>
      </w:r>
      <w:r w:rsidR="005657CA" w:rsidRPr="004472B2">
        <w:rPr>
          <w:rFonts w:cstheme="minorHAnsi"/>
          <w:b/>
        </w:rPr>
        <w:t>:</w:t>
      </w:r>
      <w:r w:rsidR="00A00A43" w:rsidRPr="004472B2">
        <w:rPr>
          <w:rFonts w:cstheme="minorHAnsi"/>
        </w:rPr>
        <w:t xml:space="preserve"> </w:t>
      </w:r>
      <w:r w:rsidRPr="004472B2">
        <w:rPr>
          <w:rFonts w:cstheme="minorHAnsi"/>
          <w:color w:val="000000" w:themeColor="text1"/>
        </w:rPr>
        <w:t xml:space="preserve">Denotes the percentage of respondents </w:t>
      </w:r>
      <w:r w:rsidR="00386647">
        <w:rPr>
          <w:rFonts w:cstheme="minorHAnsi"/>
          <w:color w:val="000000" w:themeColor="text1"/>
        </w:rPr>
        <w:t xml:space="preserve">(age 15+) </w:t>
      </w:r>
      <w:r w:rsidRPr="004472B2">
        <w:rPr>
          <w:rFonts w:cstheme="minorHAnsi"/>
          <w:color w:val="000000" w:themeColor="text1"/>
        </w:rPr>
        <w:t xml:space="preserve">who report saving or setting aside any money in the past 12 months. </w:t>
      </w:r>
      <w:r w:rsidR="006839CA" w:rsidRPr="004472B2">
        <w:rPr>
          <w:rFonts w:cstheme="minorHAnsi"/>
          <w:b/>
          <w:color w:val="000000" w:themeColor="text1"/>
        </w:rPr>
        <w:t xml:space="preserve">Data source: </w:t>
      </w:r>
      <w:r w:rsidR="004472B2">
        <w:rPr>
          <w:rFonts w:cstheme="minorHAnsi"/>
          <w:color w:val="000000" w:themeColor="text1"/>
        </w:rPr>
        <w:t xml:space="preserve">World Bank, Global Financial Inclusion Database, at </w:t>
      </w:r>
      <w:r w:rsidR="004472B2" w:rsidRPr="004472B2">
        <w:rPr>
          <w:rFonts w:cstheme="minorHAnsi"/>
          <w:color w:val="000000" w:themeColor="text1"/>
        </w:rPr>
        <w:t>http://data.worldbank.org/data-catalog/financial_inclusion</w:t>
      </w:r>
      <w:r w:rsidR="00AD2EBD" w:rsidRPr="004472B2">
        <w:rPr>
          <w:rFonts w:cstheme="minorHAnsi"/>
        </w:rPr>
        <w:t>.</w:t>
      </w:r>
    </w:p>
    <w:p w:rsidR="006414E2" w:rsidRDefault="006414E2" w:rsidP="00C84EDE">
      <w:pPr>
        <w:pStyle w:val="Heading2"/>
        <w:spacing w:line="240" w:lineRule="auto"/>
      </w:pPr>
      <w:r>
        <w:t xml:space="preserve">Table 4: </w:t>
      </w:r>
      <w:r w:rsidR="003B260F" w:rsidRPr="003B260F">
        <w:t>Selected Indicators Related to Risk Management at the Enterprise Sector Level</w:t>
      </w:r>
    </w:p>
    <w:p w:rsidR="00A45BDC" w:rsidRDefault="00A45BDC" w:rsidP="00C84EDE">
      <w:pPr>
        <w:spacing w:line="240" w:lineRule="auto"/>
      </w:pPr>
      <w:r>
        <w:rPr>
          <w:b/>
        </w:rPr>
        <w:t xml:space="preserve">Wage employment, wage </w:t>
      </w:r>
      <w:r w:rsidR="007B76A1">
        <w:rPr>
          <w:b/>
        </w:rPr>
        <w:t>and</w:t>
      </w:r>
      <w:r>
        <w:rPr>
          <w:b/>
        </w:rPr>
        <w:t xml:space="preserve"> salaried workers</w:t>
      </w:r>
      <w:r w:rsidR="005657CA" w:rsidRPr="005657CA">
        <w:rPr>
          <w:rFonts w:cstheme="minorHAnsi"/>
          <w:b/>
        </w:rPr>
        <w:t>:</w:t>
      </w:r>
      <w:r>
        <w:t xml:space="preserve"> </w:t>
      </w:r>
      <w:r w:rsidR="00162AF5" w:rsidRPr="00162AF5">
        <w:rPr>
          <w:rFonts w:cstheme="minorHAnsi"/>
          <w:color w:val="000000" w:themeColor="text1"/>
        </w:rPr>
        <w:t xml:space="preserve">Wage and salaried workers (employees) are those workers who hold the type of jobs defined as "paid employment jobs," where the incumbents hold explicit (written or oral) or implicit employment contracts that give them a basic remuneration that is not directly dependent upon the revenue of the unit for which they work. </w:t>
      </w:r>
      <w:r w:rsidR="00162AF5" w:rsidRPr="00162AF5">
        <w:rPr>
          <w:rFonts w:cstheme="minorHAnsi"/>
          <w:b/>
          <w:color w:val="000000" w:themeColor="text1"/>
        </w:rPr>
        <w:t>Data source</w:t>
      </w:r>
      <w:r w:rsidR="00162AF5" w:rsidRPr="00A606EE">
        <w:rPr>
          <w:rFonts w:cstheme="minorHAnsi"/>
          <w:color w:val="000000" w:themeColor="text1"/>
        </w:rPr>
        <w:t xml:space="preserve">: International Labour Organization, Key Indicators of the Labour Market database, at </w:t>
      </w:r>
      <w:hyperlink r:id="rId16" w:history="1">
        <w:r w:rsidR="00834C78">
          <w:rPr>
            <w:rStyle w:val="Hyperlink"/>
            <w:rFonts w:cstheme="minorHAnsi"/>
            <w:color w:val="000000" w:themeColor="text1"/>
            <w:u w:val="none"/>
          </w:rPr>
          <w:t>http://www.ilo.org/kilm</w:t>
        </w:r>
      </w:hyperlink>
      <w:r w:rsidR="00162AF5" w:rsidRPr="00162AF5">
        <w:rPr>
          <w:rFonts w:cstheme="minorHAnsi"/>
          <w:b/>
          <w:color w:val="000000" w:themeColor="text1"/>
        </w:rPr>
        <w:t>.</w:t>
      </w:r>
      <w:r w:rsidR="00162AF5" w:rsidRPr="00162AF5">
        <w:rPr>
          <w:rFonts w:ascii="Arial" w:hAnsi="Arial" w:cs="Arial"/>
          <w:color w:val="000000" w:themeColor="text1"/>
          <w:sz w:val="17"/>
          <w:szCs w:val="17"/>
        </w:rPr>
        <w:t xml:space="preserve"> </w:t>
      </w:r>
    </w:p>
    <w:p w:rsidR="00A45BDC" w:rsidRDefault="00606D66" w:rsidP="00C84EDE">
      <w:pPr>
        <w:spacing w:line="240" w:lineRule="auto"/>
      </w:pPr>
      <w:r>
        <w:rPr>
          <w:b/>
        </w:rPr>
        <w:t>Goods market efficiency</w:t>
      </w:r>
      <w:r w:rsidR="005657CA" w:rsidRPr="005657CA">
        <w:rPr>
          <w:rFonts w:cstheme="minorHAnsi"/>
          <w:b/>
        </w:rPr>
        <w:t>:</w:t>
      </w:r>
      <w:r>
        <w:rPr>
          <w:rFonts w:cstheme="minorHAnsi"/>
        </w:rPr>
        <w:t xml:space="preserve"> Goods market efficiency is a composite indicator of </w:t>
      </w:r>
      <w:r w:rsidR="007B76A1">
        <w:rPr>
          <w:rFonts w:cstheme="minorHAnsi"/>
        </w:rPr>
        <w:t xml:space="preserve">economies’ </w:t>
      </w:r>
      <w:r>
        <w:rPr>
          <w:rFonts w:cstheme="minorHAnsi"/>
        </w:rPr>
        <w:t xml:space="preserve">capacities to </w:t>
      </w:r>
      <w:r>
        <w:t>produce the right mix of products and services given their particular supply-and-demand conditions, as well as to ensure that these goods can be most effectively traded.</w:t>
      </w:r>
      <w:r w:rsidR="009009F6">
        <w:t xml:space="preserve"> The indicator uses a 1–7 scale where 1 indicates the lowest efficiency and 7 indicates highest efficiency.</w:t>
      </w:r>
      <w:r>
        <w:t xml:space="preserve">  </w:t>
      </w:r>
      <w:r w:rsidR="00AF549B" w:rsidRPr="00AF549B">
        <w:rPr>
          <w:rFonts w:cstheme="minorHAnsi"/>
          <w:b/>
        </w:rPr>
        <w:t xml:space="preserve">Data source: </w:t>
      </w:r>
      <w:r w:rsidR="00AF549B" w:rsidRPr="00521FB2">
        <w:rPr>
          <w:rFonts w:cstheme="minorHAnsi"/>
        </w:rPr>
        <w:t>World Economic Forum, Global Competitiveness Report</w:t>
      </w:r>
      <w:r>
        <w:rPr>
          <w:rFonts w:cstheme="minorHAnsi"/>
        </w:rPr>
        <w:t xml:space="preserve">, 2006-2007 and </w:t>
      </w:r>
      <w:r w:rsidR="00AF549B" w:rsidRPr="00521FB2">
        <w:rPr>
          <w:rFonts w:cstheme="minorHAnsi"/>
        </w:rPr>
        <w:t>2012-2013</w:t>
      </w:r>
      <w:r>
        <w:rPr>
          <w:rFonts w:cstheme="minorHAnsi"/>
        </w:rPr>
        <w:t xml:space="preserve"> editions</w:t>
      </w:r>
      <w:r w:rsidR="00AF549B" w:rsidRPr="00521FB2">
        <w:rPr>
          <w:rFonts w:cstheme="minorHAnsi"/>
        </w:rPr>
        <w:t>, at http://www.weforum.org/issues/competitiveness-0/gci2012-data-platform</w:t>
      </w:r>
      <w:r w:rsidR="00AF549B" w:rsidRPr="00AF549B">
        <w:rPr>
          <w:rFonts w:cstheme="minorHAnsi"/>
          <w:b/>
        </w:rPr>
        <w:t>.</w:t>
      </w:r>
    </w:p>
    <w:p w:rsidR="00A45BDC" w:rsidRPr="00AF549B" w:rsidRDefault="00A45BDC" w:rsidP="00C84EDE">
      <w:pPr>
        <w:spacing w:line="240" w:lineRule="auto"/>
      </w:pPr>
      <w:r>
        <w:rPr>
          <w:b/>
        </w:rPr>
        <w:t xml:space="preserve">Labor market </w:t>
      </w:r>
      <w:r w:rsidR="00606D66">
        <w:rPr>
          <w:b/>
        </w:rPr>
        <w:t>efficiency</w:t>
      </w:r>
      <w:r w:rsidR="005657CA" w:rsidRPr="005657CA">
        <w:rPr>
          <w:rFonts w:cstheme="minorHAnsi"/>
          <w:b/>
        </w:rPr>
        <w:t>:</w:t>
      </w:r>
      <w:r w:rsidR="00AF549B">
        <w:rPr>
          <w:rFonts w:cstheme="minorHAnsi"/>
          <w:b/>
        </w:rPr>
        <w:t xml:space="preserve"> </w:t>
      </w:r>
      <w:r w:rsidR="00AF549B" w:rsidRPr="00AF549B">
        <w:rPr>
          <w:rFonts w:cstheme="minorHAnsi"/>
        </w:rPr>
        <w:t xml:space="preserve">Labor market efficiency </w:t>
      </w:r>
      <w:r w:rsidR="00606D66">
        <w:rPr>
          <w:rFonts w:cstheme="minorHAnsi"/>
        </w:rPr>
        <w:t xml:space="preserve">is a composite indicator of </w:t>
      </w:r>
      <w:r w:rsidR="007B76A1">
        <w:rPr>
          <w:rFonts w:cstheme="minorHAnsi"/>
        </w:rPr>
        <w:t xml:space="preserve">economies’ </w:t>
      </w:r>
      <w:r w:rsidR="00606D66">
        <w:rPr>
          <w:rFonts w:cstheme="minorHAnsi"/>
        </w:rPr>
        <w:t xml:space="preserve">efficiency in allocating workers to their most effective uses and providing incentives to give their best efforts in their jobs.  </w:t>
      </w:r>
      <w:r w:rsidR="009009F6">
        <w:t xml:space="preserve">The indicator uses a 1–7 scale where 1 indicates the lowest efficiency and 7 indicates highest efficiency.  </w:t>
      </w:r>
      <w:r w:rsidR="00AF549B" w:rsidRPr="00AF549B">
        <w:rPr>
          <w:rFonts w:cstheme="minorHAnsi"/>
          <w:b/>
        </w:rPr>
        <w:t xml:space="preserve">Data source: </w:t>
      </w:r>
      <w:r w:rsidR="00AF549B" w:rsidRPr="00521FB2">
        <w:rPr>
          <w:rFonts w:cstheme="minorHAnsi"/>
        </w:rPr>
        <w:t>World Economic Forum, Global Competitiveness Report</w:t>
      </w:r>
      <w:r w:rsidR="00606D66">
        <w:rPr>
          <w:rFonts w:cstheme="minorHAnsi"/>
        </w:rPr>
        <w:t>,</w:t>
      </w:r>
      <w:r w:rsidR="00AF549B" w:rsidRPr="00521FB2">
        <w:rPr>
          <w:rFonts w:cstheme="minorHAnsi"/>
        </w:rPr>
        <w:t xml:space="preserve"> </w:t>
      </w:r>
      <w:r w:rsidR="00606D66">
        <w:rPr>
          <w:rFonts w:cstheme="minorHAnsi"/>
        </w:rPr>
        <w:t>2006</w:t>
      </w:r>
      <w:r w:rsidR="00580B10">
        <w:rPr>
          <w:rFonts w:cstheme="minorHAnsi"/>
        </w:rPr>
        <w:t>–</w:t>
      </w:r>
      <w:r w:rsidR="00606D66">
        <w:rPr>
          <w:rFonts w:cstheme="minorHAnsi"/>
        </w:rPr>
        <w:t xml:space="preserve">2007 </w:t>
      </w:r>
      <w:proofErr w:type="gramStart"/>
      <w:r w:rsidR="00606D66">
        <w:rPr>
          <w:rFonts w:cstheme="minorHAnsi"/>
        </w:rPr>
        <w:t xml:space="preserve">and </w:t>
      </w:r>
      <w:r w:rsidR="00606D66" w:rsidRPr="00BB7FBE">
        <w:rPr>
          <w:rFonts w:cstheme="minorHAnsi"/>
        </w:rPr>
        <w:t xml:space="preserve"> </w:t>
      </w:r>
      <w:r w:rsidR="00AF549B" w:rsidRPr="00521FB2">
        <w:rPr>
          <w:rFonts w:cstheme="minorHAnsi"/>
        </w:rPr>
        <w:t>2012</w:t>
      </w:r>
      <w:proofErr w:type="gramEnd"/>
      <w:r w:rsidR="00580B10">
        <w:rPr>
          <w:rFonts w:cstheme="minorHAnsi"/>
        </w:rPr>
        <w:t>–</w:t>
      </w:r>
      <w:r w:rsidR="00AF549B" w:rsidRPr="00521FB2">
        <w:rPr>
          <w:rFonts w:cstheme="minorHAnsi"/>
        </w:rPr>
        <w:t>2013</w:t>
      </w:r>
      <w:r w:rsidR="00606D66">
        <w:rPr>
          <w:rFonts w:cstheme="minorHAnsi"/>
        </w:rPr>
        <w:t xml:space="preserve"> editions</w:t>
      </w:r>
      <w:r w:rsidR="00AF549B" w:rsidRPr="00521FB2">
        <w:rPr>
          <w:rFonts w:cstheme="minorHAnsi"/>
        </w:rPr>
        <w:t>, at http://www.weforum.org/issues/competitiveness-0/gci2012-data-platform.</w:t>
      </w:r>
    </w:p>
    <w:p w:rsidR="00A45BDC" w:rsidRDefault="00A45BDC" w:rsidP="00C84EDE">
      <w:pPr>
        <w:spacing w:line="240" w:lineRule="auto"/>
        <w:rPr>
          <w:rFonts w:cstheme="minorHAnsi"/>
        </w:rPr>
      </w:pPr>
      <w:r>
        <w:rPr>
          <w:b/>
        </w:rPr>
        <w:lastRenderedPageBreak/>
        <w:t>Pension contributors</w:t>
      </w:r>
      <w:r w:rsidR="005657CA" w:rsidRPr="005657CA">
        <w:rPr>
          <w:rFonts w:cstheme="minorHAnsi"/>
          <w:b/>
        </w:rPr>
        <w:t>:</w:t>
      </w:r>
      <w:r w:rsidR="000420F1">
        <w:rPr>
          <w:rFonts w:cstheme="minorHAnsi"/>
          <w:b/>
        </w:rPr>
        <w:t xml:space="preserve"> </w:t>
      </w:r>
      <w:r w:rsidR="00580B10">
        <w:rPr>
          <w:rFonts w:cstheme="minorHAnsi"/>
        </w:rPr>
        <w:t>T</w:t>
      </w:r>
      <w:r w:rsidR="005C37AB">
        <w:rPr>
          <w:rFonts w:cstheme="minorHAnsi"/>
        </w:rPr>
        <w:t xml:space="preserve">he total number of </w:t>
      </w:r>
      <w:r w:rsidR="00DC0C3D">
        <w:rPr>
          <w:rFonts w:cstheme="minorHAnsi"/>
        </w:rPr>
        <w:t>persons who actively contribut</w:t>
      </w:r>
      <w:r w:rsidR="00580B10">
        <w:rPr>
          <w:rFonts w:cstheme="minorHAnsi"/>
        </w:rPr>
        <w:t>e</w:t>
      </w:r>
      <w:r w:rsidR="00DC0C3D">
        <w:rPr>
          <w:rFonts w:cstheme="minorHAnsi"/>
        </w:rPr>
        <w:t xml:space="preserve"> to the pension system in the given year</w:t>
      </w:r>
      <w:r w:rsidR="005C37AB">
        <w:rPr>
          <w:rFonts w:cstheme="minorHAnsi"/>
        </w:rPr>
        <w:t>, as a percentage of the labor force</w:t>
      </w:r>
      <w:r w:rsidR="000420F1">
        <w:rPr>
          <w:rFonts w:cstheme="minorHAnsi"/>
        </w:rPr>
        <w:t xml:space="preserve">. </w:t>
      </w:r>
      <w:r w:rsidR="000420F1">
        <w:rPr>
          <w:rFonts w:cstheme="minorHAnsi"/>
          <w:b/>
        </w:rPr>
        <w:t>Data source</w:t>
      </w:r>
      <w:r w:rsidR="00DC0C3D">
        <w:rPr>
          <w:rFonts w:cstheme="minorHAnsi"/>
          <w:b/>
        </w:rPr>
        <w:t>s</w:t>
      </w:r>
      <w:r w:rsidR="000420F1">
        <w:rPr>
          <w:rFonts w:cstheme="minorHAnsi"/>
          <w:b/>
        </w:rPr>
        <w:t xml:space="preserve">: </w:t>
      </w:r>
      <w:r w:rsidR="005C37AB">
        <w:rPr>
          <w:rFonts w:cstheme="minorHAnsi"/>
        </w:rPr>
        <w:t xml:space="preserve">World Bank, HDNSP Pensions Database, at </w:t>
      </w:r>
      <w:hyperlink r:id="rId17" w:history="1">
        <w:r w:rsidR="0003645C" w:rsidRPr="00110591">
          <w:rPr>
            <w:rStyle w:val="Hyperlink"/>
            <w:rFonts w:cstheme="minorHAnsi"/>
          </w:rPr>
          <w:t>http://go.worldbank.org/8KO0DUVDS0</w:t>
        </w:r>
      </w:hyperlink>
      <w:r w:rsidR="00DC0C3D">
        <w:rPr>
          <w:rFonts w:cstheme="minorHAnsi"/>
        </w:rPr>
        <w:t xml:space="preserve">; </w:t>
      </w:r>
      <w:proofErr w:type="spellStart"/>
      <w:r w:rsidR="00DC0C3D" w:rsidRPr="00DC0C3D">
        <w:rPr>
          <w:rFonts w:cstheme="minorHAnsi"/>
        </w:rPr>
        <w:t>Pallares-Miralles</w:t>
      </w:r>
      <w:proofErr w:type="spellEnd"/>
      <w:r w:rsidR="00DC0C3D" w:rsidRPr="00DC0C3D">
        <w:rPr>
          <w:rFonts w:cstheme="minorHAnsi"/>
        </w:rPr>
        <w:t>, Montserrat</w:t>
      </w:r>
      <w:r w:rsidR="00580B10">
        <w:rPr>
          <w:rFonts w:cstheme="minorHAnsi"/>
        </w:rPr>
        <w:t>,</w:t>
      </w:r>
      <w:r w:rsidR="00DC0C3D" w:rsidRPr="00DC0C3D">
        <w:rPr>
          <w:rFonts w:cstheme="minorHAnsi"/>
        </w:rPr>
        <w:t xml:space="preserve"> </w:t>
      </w:r>
      <w:r w:rsidR="00580B10">
        <w:rPr>
          <w:rFonts w:cstheme="minorHAnsi"/>
        </w:rPr>
        <w:t xml:space="preserve">Carolina </w:t>
      </w:r>
      <w:r w:rsidR="00DC0C3D" w:rsidRPr="00DC0C3D">
        <w:rPr>
          <w:rFonts w:cstheme="minorHAnsi"/>
        </w:rPr>
        <w:t xml:space="preserve">Romero, </w:t>
      </w:r>
      <w:r w:rsidR="00580B10">
        <w:rPr>
          <w:rFonts w:cstheme="minorHAnsi"/>
        </w:rPr>
        <w:t>and Edward</w:t>
      </w:r>
      <w:r w:rsidR="00DC0C3D" w:rsidRPr="00DC0C3D">
        <w:rPr>
          <w:rFonts w:cstheme="minorHAnsi"/>
        </w:rPr>
        <w:t xml:space="preserve"> Whitehouse</w:t>
      </w:r>
      <w:proofErr w:type="gramStart"/>
      <w:r w:rsidR="00DC0C3D" w:rsidRPr="00DC0C3D">
        <w:rPr>
          <w:rFonts w:cstheme="minorHAnsi"/>
        </w:rPr>
        <w:t>,  2012</w:t>
      </w:r>
      <w:proofErr w:type="gramEnd"/>
      <w:r w:rsidR="00580B10">
        <w:rPr>
          <w:rFonts w:cstheme="minorHAnsi"/>
        </w:rPr>
        <w:t>,</w:t>
      </w:r>
      <w:r w:rsidR="00DC0C3D" w:rsidRPr="00DC0C3D">
        <w:rPr>
          <w:rFonts w:cstheme="minorHAnsi"/>
        </w:rPr>
        <w:t xml:space="preserve"> </w:t>
      </w:r>
      <w:r w:rsidR="00580B10">
        <w:rPr>
          <w:rFonts w:cstheme="minorHAnsi"/>
        </w:rPr>
        <w:t>“</w:t>
      </w:r>
      <w:r w:rsidR="00DC0C3D" w:rsidRPr="00DC0C3D">
        <w:rPr>
          <w:rFonts w:cstheme="minorHAnsi"/>
        </w:rPr>
        <w:t xml:space="preserve">International </w:t>
      </w:r>
      <w:r w:rsidR="00580B10">
        <w:rPr>
          <w:rFonts w:cstheme="minorHAnsi"/>
        </w:rPr>
        <w:t>P</w:t>
      </w:r>
      <w:r w:rsidR="00DC0C3D" w:rsidRPr="00DC0C3D">
        <w:rPr>
          <w:rFonts w:cstheme="minorHAnsi"/>
        </w:rPr>
        <w:t xml:space="preserve">atterns of </w:t>
      </w:r>
      <w:r w:rsidR="00580B10">
        <w:rPr>
          <w:rFonts w:cstheme="minorHAnsi"/>
        </w:rPr>
        <w:t>P</w:t>
      </w:r>
      <w:r w:rsidR="00DC0C3D" w:rsidRPr="00DC0C3D">
        <w:rPr>
          <w:rFonts w:cstheme="minorHAnsi"/>
        </w:rPr>
        <w:t xml:space="preserve">ension </w:t>
      </w:r>
      <w:r w:rsidR="00580B10">
        <w:rPr>
          <w:rFonts w:cstheme="minorHAnsi"/>
        </w:rPr>
        <w:t>P</w:t>
      </w:r>
      <w:r w:rsidR="00DC0C3D" w:rsidRPr="00DC0C3D">
        <w:rPr>
          <w:rFonts w:cstheme="minorHAnsi"/>
        </w:rPr>
        <w:t xml:space="preserve">rovision II: </w:t>
      </w:r>
      <w:r w:rsidR="00580B10">
        <w:rPr>
          <w:rFonts w:cstheme="minorHAnsi"/>
        </w:rPr>
        <w:t>A</w:t>
      </w:r>
      <w:r w:rsidR="00DC0C3D" w:rsidRPr="00DC0C3D">
        <w:rPr>
          <w:rFonts w:cstheme="minorHAnsi"/>
        </w:rPr>
        <w:t xml:space="preserve"> </w:t>
      </w:r>
      <w:r w:rsidR="00580B10">
        <w:rPr>
          <w:rFonts w:cstheme="minorHAnsi"/>
        </w:rPr>
        <w:t>W</w:t>
      </w:r>
      <w:r w:rsidR="00DC0C3D" w:rsidRPr="00DC0C3D">
        <w:rPr>
          <w:rFonts w:cstheme="minorHAnsi"/>
        </w:rPr>
        <w:t xml:space="preserve">orldwide </w:t>
      </w:r>
      <w:r w:rsidR="00580B10">
        <w:rPr>
          <w:rFonts w:cstheme="minorHAnsi"/>
        </w:rPr>
        <w:t>O</w:t>
      </w:r>
      <w:r w:rsidR="00DC0C3D" w:rsidRPr="00DC0C3D">
        <w:rPr>
          <w:rFonts w:cstheme="minorHAnsi"/>
        </w:rPr>
        <w:t xml:space="preserve">verview of </w:t>
      </w:r>
      <w:r w:rsidR="00580B10">
        <w:rPr>
          <w:rFonts w:cstheme="minorHAnsi"/>
        </w:rPr>
        <w:t>F</w:t>
      </w:r>
      <w:r w:rsidR="00DC0C3D" w:rsidRPr="00DC0C3D">
        <w:rPr>
          <w:rFonts w:cstheme="minorHAnsi"/>
        </w:rPr>
        <w:t xml:space="preserve">acts and </w:t>
      </w:r>
      <w:r w:rsidR="006A5852">
        <w:rPr>
          <w:rFonts w:cstheme="minorHAnsi"/>
        </w:rPr>
        <w:t>F</w:t>
      </w:r>
      <w:r w:rsidR="00DC0C3D" w:rsidRPr="00DC0C3D">
        <w:rPr>
          <w:rFonts w:cstheme="minorHAnsi"/>
        </w:rPr>
        <w:t>igures.</w:t>
      </w:r>
      <w:r w:rsidR="006A5852">
        <w:rPr>
          <w:rFonts w:cstheme="minorHAnsi"/>
        </w:rPr>
        <w:t>”</w:t>
      </w:r>
      <w:r w:rsidR="00DC0C3D" w:rsidRPr="00DC0C3D">
        <w:rPr>
          <w:rFonts w:cstheme="minorHAnsi"/>
        </w:rPr>
        <w:t xml:space="preserve"> Social Protection and </w:t>
      </w:r>
      <w:r w:rsidR="006A5852">
        <w:rPr>
          <w:rFonts w:cstheme="minorHAnsi"/>
        </w:rPr>
        <w:t>L</w:t>
      </w:r>
      <w:r w:rsidR="00DC0C3D" w:rsidRPr="00DC0C3D">
        <w:rPr>
          <w:rFonts w:cstheme="minorHAnsi"/>
        </w:rPr>
        <w:t xml:space="preserve">abor </w:t>
      </w:r>
      <w:r w:rsidR="006A5852">
        <w:rPr>
          <w:rFonts w:cstheme="minorHAnsi"/>
        </w:rPr>
        <w:t>D</w:t>
      </w:r>
      <w:r w:rsidR="00DC0C3D" w:rsidRPr="00DC0C3D">
        <w:rPr>
          <w:rFonts w:cstheme="minorHAnsi"/>
        </w:rPr>
        <w:t xml:space="preserve">iscussion </w:t>
      </w:r>
      <w:r w:rsidR="006A5852">
        <w:rPr>
          <w:rFonts w:cstheme="minorHAnsi"/>
        </w:rPr>
        <w:t>P</w:t>
      </w:r>
      <w:r w:rsidR="00DC0C3D" w:rsidRPr="00DC0C3D">
        <w:rPr>
          <w:rFonts w:cstheme="minorHAnsi"/>
        </w:rPr>
        <w:t>aper SP 1211</w:t>
      </w:r>
      <w:proofErr w:type="gramStart"/>
      <w:r w:rsidR="006A5852">
        <w:rPr>
          <w:rFonts w:cstheme="minorHAnsi"/>
        </w:rPr>
        <w:t>,</w:t>
      </w:r>
      <w:r w:rsidR="00DC0C3D" w:rsidRPr="00DC0C3D">
        <w:rPr>
          <w:rFonts w:cstheme="minorHAnsi"/>
        </w:rPr>
        <w:t>.</w:t>
      </w:r>
      <w:proofErr w:type="gramEnd"/>
      <w:r w:rsidR="00DC0C3D" w:rsidRPr="00DC0C3D">
        <w:rPr>
          <w:rFonts w:cstheme="minorHAnsi"/>
        </w:rPr>
        <w:t xml:space="preserve"> Washington D.C.</w:t>
      </w:r>
      <w:r w:rsidR="006A5852">
        <w:rPr>
          <w:rFonts w:cstheme="minorHAnsi"/>
        </w:rPr>
        <w:t xml:space="preserve"> </w:t>
      </w:r>
      <w:r w:rsidR="007B76A1">
        <w:rPr>
          <w:rFonts w:cstheme="minorHAnsi"/>
        </w:rPr>
        <w:t>World Bank.</w:t>
      </w:r>
    </w:p>
    <w:p w:rsidR="00A45BDC" w:rsidRPr="00A45BDC" w:rsidRDefault="00A45BDC" w:rsidP="00C84EDE">
      <w:pPr>
        <w:spacing w:line="240" w:lineRule="auto"/>
      </w:pPr>
      <w:r>
        <w:rPr>
          <w:b/>
        </w:rPr>
        <w:t>Formal production</w:t>
      </w:r>
      <w:r w:rsidR="005657CA" w:rsidRPr="005657CA">
        <w:rPr>
          <w:rFonts w:cstheme="minorHAnsi"/>
          <w:b/>
        </w:rPr>
        <w:t>:</w:t>
      </w:r>
      <w:r w:rsidR="00BF573A">
        <w:rPr>
          <w:rFonts w:cstheme="minorHAnsi"/>
          <w:b/>
        </w:rPr>
        <w:t xml:space="preserve"> </w:t>
      </w:r>
      <w:r w:rsidR="00BF573A" w:rsidRPr="00BF573A">
        <w:rPr>
          <w:rFonts w:cstheme="minorHAnsi"/>
        </w:rPr>
        <w:t>Production by formal sector, computed as 100 minus the estimates on the size of shadow economies</w:t>
      </w:r>
      <w:r w:rsidR="00BF573A">
        <w:rPr>
          <w:rFonts w:cstheme="minorHAnsi"/>
        </w:rPr>
        <w:t xml:space="preserve">. </w:t>
      </w:r>
      <w:r w:rsidR="00BF573A" w:rsidRPr="00BF573A">
        <w:rPr>
          <w:rFonts w:cstheme="minorHAnsi"/>
          <w:b/>
        </w:rPr>
        <w:t xml:space="preserve">Data source:  </w:t>
      </w:r>
      <w:r w:rsidR="00BF573A" w:rsidRPr="00A606EE">
        <w:rPr>
          <w:rFonts w:cstheme="minorHAnsi"/>
        </w:rPr>
        <w:t xml:space="preserve">Based on data from Schneider, Friedrich, Andreas </w:t>
      </w:r>
      <w:proofErr w:type="spellStart"/>
      <w:r w:rsidR="00BF573A" w:rsidRPr="00A606EE">
        <w:rPr>
          <w:rFonts w:cstheme="minorHAnsi"/>
        </w:rPr>
        <w:t>Buehn</w:t>
      </w:r>
      <w:proofErr w:type="spellEnd"/>
      <w:r w:rsidR="00BF573A" w:rsidRPr="00A606EE">
        <w:rPr>
          <w:rFonts w:cstheme="minorHAnsi"/>
        </w:rPr>
        <w:t>, and Claudio E. Montenegro</w:t>
      </w:r>
      <w:r w:rsidR="006A5852">
        <w:rPr>
          <w:rFonts w:cstheme="minorHAnsi"/>
        </w:rPr>
        <w:t>,</w:t>
      </w:r>
      <w:r w:rsidR="00BF573A" w:rsidRPr="00A606EE">
        <w:rPr>
          <w:rFonts w:cstheme="minorHAnsi"/>
        </w:rPr>
        <w:t xml:space="preserve"> 2010</w:t>
      </w:r>
      <w:r w:rsidR="006A5852">
        <w:rPr>
          <w:rFonts w:cstheme="minorHAnsi"/>
        </w:rPr>
        <w:t>,</w:t>
      </w:r>
      <w:r w:rsidR="00BF573A" w:rsidRPr="00A606EE">
        <w:rPr>
          <w:rFonts w:cstheme="minorHAnsi"/>
        </w:rPr>
        <w:t xml:space="preserve"> “Shadow Economies All over the World: New Estimates for 1</w:t>
      </w:r>
      <w:r w:rsidR="006C1ABD">
        <w:rPr>
          <w:rFonts w:cstheme="minorHAnsi"/>
        </w:rPr>
        <w:t>62 Countries from 1999 to 2007</w:t>
      </w:r>
      <w:r w:rsidR="006A5852">
        <w:rPr>
          <w:rFonts w:cstheme="minorHAnsi"/>
        </w:rPr>
        <w:t>,</w:t>
      </w:r>
      <w:r w:rsidR="006C1ABD">
        <w:rPr>
          <w:rFonts w:cstheme="minorHAnsi"/>
        </w:rPr>
        <w:t xml:space="preserve">” at </w:t>
      </w:r>
      <w:r w:rsidR="001B0B95" w:rsidRPr="001B0B95">
        <w:rPr>
          <w:rFonts w:cstheme="minorHAnsi"/>
        </w:rPr>
        <w:t>http://documents.worldbank.org/curated/en/2010/06/12864844/shadow-economies-all-over-world-new-estimates-162-countries-1999-2007</w:t>
      </w:r>
      <w:r w:rsidR="006C1ABD">
        <w:rPr>
          <w:rFonts w:cstheme="minorHAnsi"/>
        </w:rPr>
        <w:t>.</w:t>
      </w:r>
    </w:p>
    <w:p w:rsidR="006414E2" w:rsidRDefault="006414E2" w:rsidP="00C84EDE">
      <w:pPr>
        <w:pStyle w:val="Heading2"/>
        <w:spacing w:line="240" w:lineRule="auto"/>
      </w:pPr>
      <w:r>
        <w:t xml:space="preserve">Table 5: </w:t>
      </w:r>
      <w:r w:rsidR="003B260F" w:rsidRPr="003B260F">
        <w:t>Selected Indicators Related to Risk Management at the Financial Sector Level</w:t>
      </w:r>
    </w:p>
    <w:p w:rsidR="00CD12C0" w:rsidRDefault="00CD12C0" w:rsidP="009631F8">
      <w:r w:rsidRPr="000D0DFE">
        <w:rPr>
          <w:b/>
        </w:rPr>
        <w:t xml:space="preserve">Saved at financial institution </w:t>
      </w:r>
      <w:r w:rsidRPr="007B76A1">
        <w:rPr>
          <w:b/>
        </w:rPr>
        <w:t>(% age 15+)</w:t>
      </w:r>
      <w:r w:rsidR="0023273A">
        <w:rPr>
          <w:b/>
        </w:rPr>
        <w:t>:</w:t>
      </w:r>
      <w:r>
        <w:t xml:space="preserve"> </w:t>
      </w:r>
      <w:r w:rsidR="005518AA">
        <w:t>T</w:t>
      </w:r>
      <w:r w:rsidRPr="000D0DFE">
        <w:t xml:space="preserve">he percentage of respondents </w:t>
      </w:r>
      <w:r>
        <w:t>(age</w:t>
      </w:r>
      <w:r w:rsidR="005518AA">
        <w:t>d</w:t>
      </w:r>
      <w:r>
        <w:t xml:space="preserve"> 15+) </w:t>
      </w:r>
      <w:r w:rsidRPr="000D0DFE">
        <w:t>who report saving or setting aside any money by using an account at a formal financial institution such as a bank, credit union, microfinance institution, or cooperative in the past 12 months.</w:t>
      </w:r>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CD12C0" w:rsidRDefault="00CD12C0" w:rsidP="009631F8">
      <w:proofErr w:type="gramStart"/>
      <w:r w:rsidRPr="000D0DFE">
        <w:rPr>
          <w:b/>
        </w:rPr>
        <w:t xml:space="preserve">Loan from financial institution </w:t>
      </w:r>
      <w:r w:rsidRPr="007B76A1">
        <w:rPr>
          <w:b/>
        </w:rPr>
        <w:t>(% age 15+)</w:t>
      </w:r>
      <w:r w:rsidR="0023273A">
        <w:rPr>
          <w:b/>
        </w:rPr>
        <w:t>:</w:t>
      </w:r>
      <w:r>
        <w:t xml:space="preserve"> </w:t>
      </w:r>
      <w:r w:rsidR="005518AA">
        <w:t>T</w:t>
      </w:r>
      <w:r w:rsidRPr="000D0DFE">
        <w:t xml:space="preserve">he percentage of respondents </w:t>
      </w:r>
      <w:r>
        <w:t>(age</w:t>
      </w:r>
      <w:r w:rsidR="005518AA">
        <w:t>d</w:t>
      </w:r>
      <w:r>
        <w:t xml:space="preserve"> 15+) </w:t>
      </w:r>
      <w:r w:rsidRPr="000D0DFE">
        <w:t>who report borrowing any money from a bank, credit union, microfinance institution, or other financial institution such as a cooperative in the past 12 months.</w:t>
      </w:r>
      <w:proofErr w:type="gramEnd"/>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CD12C0" w:rsidRDefault="00CD12C0" w:rsidP="009631F8">
      <w:proofErr w:type="gramStart"/>
      <w:r w:rsidRPr="000D0DFE">
        <w:rPr>
          <w:b/>
        </w:rPr>
        <w:t xml:space="preserve">Personally paid for health insurance </w:t>
      </w:r>
      <w:r w:rsidRPr="007B76A1">
        <w:rPr>
          <w:b/>
        </w:rPr>
        <w:t>(% age 15+)</w:t>
      </w:r>
      <w:r w:rsidR="0023273A">
        <w:rPr>
          <w:b/>
        </w:rPr>
        <w:t>:</w:t>
      </w:r>
      <w:r>
        <w:t xml:space="preserve"> </w:t>
      </w:r>
      <w:r w:rsidR="005518AA">
        <w:t>T</w:t>
      </w:r>
      <w:r w:rsidRPr="000D0DFE">
        <w:t>he percent</w:t>
      </w:r>
      <w:r w:rsidR="005518AA">
        <w:t>age</w:t>
      </w:r>
      <w:r w:rsidRPr="000D0DFE">
        <w:t xml:space="preserve"> of respondents </w:t>
      </w:r>
      <w:r>
        <w:t>(age</w:t>
      </w:r>
      <w:r w:rsidR="005518AA">
        <w:t>d</w:t>
      </w:r>
      <w:r>
        <w:t xml:space="preserve"> 15+) </w:t>
      </w:r>
      <w:r w:rsidRPr="000D0DFE">
        <w:t>who currently have health or medical insurance (in addition to national health insurance) and who personally purchased this insurance.</w:t>
      </w:r>
      <w:proofErr w:type="gramEnd"/>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CD12C0" w:rsidRDefault="00CD12C0" w:rsidP="009631F8">
      <w:proofErr w:type="gramStart"/>
      <w:r w:rsidRPr="000D0DFE">
        <w:rPr>
          <w:b/>
        </w:rPr>
        <w:t xml:space="preserve">Purchased agriculture insurance </w:t>
      </w:r>
      <w:r w:rsidRPr="007B76A1">
        <w:rPr>
          <w:b/>
        </w:rPr>
        <w:t>(%</w:t>
      </w:r>
      <w:r w:rsidR="001A0A40" w:rsidRPr="007B76A1">
        <w:rPr>
          <w:b/>
        </w:rPr>
        <w:t xml:space="preserve"> </w:t>
      </w:r>
      <w:r w:rsidRPr="007B76A1">
        <w:rPr>
          <w:b/>
        </w:rPr>
        <w:t>agriculture</w:t>
      </w:r>
      <w:r w:rsidR="001A0A40" w:rsidRPr="007B76A1">
        <w:rPr>
          <w:b/>
        </w:rPr>
        <w:t xml:space="preserve"> workers</w:t>
      </w:r>
      <w:r w:rsidRPr="007B76A1">
        <w:rPr>
          <w:b/>
        </w:rPr>
        <w:t>, age 15+)</w:t>
      </w:r>
      <w:r w:rsidR="0023273A">
        <w:rPr>
          <w:b/>
        </w:rPr>
        <w:t>:</w:t>
      </w:r>
      <w:r>
        <w:t xml:space="preserve"> </w:t>
      </w:r>
      <w:r w:rsidR="005518AA">
        <w:t>T</w:t>
      </w:r>
      <w:r w:rsidRPr="000D0DFE">
        <w:t>he percent</w:t>
      </w:r>
      <w:r w:rsidR="005518AA">
        <w:t>age</w:t>
      </w:r>
      <w:r w:rsidRPr="000D0DFE">
        <w:t xml:space="preserve"> of respondents </w:t>
      </w:r>
      <w:r>
        <w:t>(age</w:t>
      </w:r>
      <w:r w:rsidR="005518AA">
        <w:t>d</w:t>
      </w:r>
      <w:r>
        <w:t xml:space="preserve"> 15+) </w:t>
      </w:r>
      <w:r w:rsidRPr="000D0DFE">
        <w:t>who are farming, fishing</w:t>
      </w:r>
      <w:r w:rsidR="005518AA">
        <w:t>,</w:t>
      </w:r>
      <w:r w:rsidRPr="000D0DFE">
        <w:t xml:space="preserve"> or forestry workers and in the past 12 months have personally paid for crop, rainfall, or livestock insurance.</w:t>
      </w:r>
      <w:proofErr w:type="gramEnd"/>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6A7AE0" w:rsidRDefault="006A7AE0" w:rsidP="009631F8">
      <w:r>
        <w:rPr>
          <w:b/>
        </w:rPr>
        <w:t>Population using informal savings</w:t>
      </w:r>
      <w:r w:rsidR="0023273A">
        <w:rPr>
          <w:b/>
        </w:rPr>
        <w:t>:</w:t>
      </w:r>
      <w:r>
        <w:rPr>
          <w:b/>
        </w:rPr>
        <w:t xml:space="preserve"> </w:t>
      </w:r>
      <w:r>
        <w:t>is the difference between “</w:t>
      </w:r>
      <w:r w:rsidRPr="002976FA">
        <w:t xml:space="preserve">Saved any money in the past year </w:t>
      </w:r>
      <w:r w:rsidRPr="009A22A0">
        <w:t>(% age 15+)”</w:t>
      </w:r>
      <w:r>
        <w:t xml:space="preserve"> and “</w:t>
      </w:r>
      <w:r w:rsidRPr="0080746C">
        <w:t xml:space="preserve">Saved at a financial institution in the past year </w:t>
      </w:r>
      <w:r w:rsidRPr="009A22A0">
        <w:t>(% age 15+)”</w:t>
      </w:r>
      <w:r w:rsidRPr="002607C0">
        <w:t>.</w:t>
      </w:r>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6A7AE0" w:rsidRPr="0080746C" w:rsidRDefault="006A7AE0" w:rsidP="009631F8">
      <w:r w:rsidRPr="0080746C">
        <w:rPr>
          <w:b/>
        </w:rPr>
        <w:t>Population using informal credit</w:t>
      </w:r>
      <w:r w:rsidR="0023273A">
        <w:rPr>
          <w:b/>
        </w:rPr>
        <w:t>:</w:t>
      </w:r>
      <w:r>
        <w:t xml:space="preserve"> is the difference between “</w:t>
      </w:r>
      <w:r w:rsidRPr="002976FA">
        <w:t xml:space="preserve">Loan in the past year </w:t>
      </w:r>
      <w:r w:rsidRPr="009A22A0">
        <w:t>(% age 15+)</w:t>
      </w:r>
      <w:r>
        <w:t>” and “</w:t>
      </w:r>
      <w:r w:rsidRPr="002976FA">
        <w:t xml:space="preserve">Loan from a financial institution in the past year </w:t>
      </w:r>
      <w:r w:rsidRPr="009A22A0">
        <w:t>(% age 15+)</w:t>
      </w:r>
      <w:r>
        <w:t xml:space="preserve">”. </w:t>
      </w:r>
      <w:r w:rsidRPr="0080746C">
        <w:t xml:space="preserve">Loan in the past year </w:t>
      </w:r>
      <w:r w:rsidRPr="009A22A0">
        <w:t>(% age 15+)</w:t>
      </w:r>
      <w:r>
        <w:t xml:space="preserve"> d</w:t>
      </w:r>
      <w:r w:rsidRPr="000D0DFE">
        <w:t xml:space="preserve">enotes the percentage of respondents who borrowed any money in the past 12 months from any of the following sources: a formal financial institution, a store by using installment credit, family or friends, employer, or another private </w:t>
      </w:r>
      <w:proofErr w:type="gramStart"/>
      <w:r w:rsidRPr="000D0DFE">
        <w:t>lender</w:t>
      </w:r>
      <w:r w:rsidRPr="009A22A0">
        <w:t>(</w:t>
      </w:r>
      <w:proofErr w:type="gramEnd"/>
      <w:r w:rsidRPr="009A22A0">
        <w:t>% age 15+)</w:t>
      </w:r>
      <w:r w:rsidRPr="000D0DFE">
        <w:t>.</w:t>
      </w:r>
      <w:r>
        <w:t xml:space="preserve"> </w:t>
      </w:r>
      <w:r w:rsidR="009631F8" w:rsidRPr="004472B2">
        <w:rPr>
          <w:rFonts w:cstheme="minorHAnsi"/>
          <w:b/>
          <w:color w:val="000000" w:themeColor="text1"/>
        </w:rPr>
        <w:t xml:space="preserve">Data source: </w:t>
      </w:r>
      <w:r w:rsidR="009631F8">
        <w:rPr>
          <w:rFonts w:cstheme="minorHAnsi"/>
          <w:color w:val="000000" w:themeColor="text1"/>
        </w:rPr>
        <w:t xml:space="preserve">World Bank, Global Financial Inclusion Database, at </w:t>
      </w:r>
      <w:r w:rsidR="009631F8" w:rsidRPr="004472B2">
        <w:rPr>
          <w:rFonts w:cstheme="minorHAnsi"/>
          <w:color w:val="000000" w:themeColor="text1"/>
        </w:rPr>
        <w:t>http://data.worldbank.org/data-catalog/financial_inclusion</w:t>
      </w:r>
      <w:r w:rsidR="009631F8" w:rsidRPr="004472B2">
        <w:rPr>
          <w:rFonts w:cstheme="minorHAnsi"/>
        </w:rPr>
        <w:t>.</w:t>
      </w:r>
    </w:p>
    <w:p w:rsidR="006A7AE0" w:rsidRDefault="006A7AE0" w:rsidP="001A0A40">
      <w:r w:rsidRPr="00BA77EF">
        <w:rPr>
          <w:b/>
        </w:rPr>
        <w:lastRenderedPageBreak/>
        <w:t>Use of electronic payments</w:t>
      </w:r>
      <w:r w:rsidR="0023273A">
        <w:rPr>
          <w:b/>
        </w:rPr>
        <w:t>:</w:t>
      </w:r>
      <w:r>
        <w:t xml:space="preserve"> </w:t>
      </w:r>
      <w:r w:rsidR="008960FB">
        <w:t>T</w:t>
      </w:r>
      <w:r>
        <w:t xml:space="preserve">otal transaction </w:t>
      </w:r>
      <w:r w:rsidR="00CF3400">
        <w:t>volume</w:t>
      </w:r>
      <w:r>
        <w:t xml:space="preserve"> of direct credits</w:t>
      </w:r>
      <w:r w:rsidR="008960FB">
        <w:t xml:space="preserve"> and</w:t>
      </w:r>
      <w:r w:rsidR="009A22A0">
        <w:t xml:space="preserve"> </w:t>
      </w:r>
      <w:r>
        <w:t>credit transfers, direct debits, payments by debit card</w:t>
      </w:r>
      <w:r w:rsidR="008960FB">
        <w:t>,</w:t>
      </w:r>
      <w:r w:rsidR="001A0A40">
        <w:t xml:space="preserve"> and payments by credit cards. </w:t>
      </w:r>
      <w:r w:rsidR="001A0A40">
        <w:rPr>
          <w:b/>
        </w:rPr>
        <w:t xml:space="preserve">Data source: </w:t>
      </w:r>
      <w:r w:rsidR="001A0A40">
        <w:t>World Bank, Global Payment Systems Survey</w:t>
      </w:r>
      <w:r w:rsidR="00AD2EBD">
        <w:t xml:space="preserve">, at </w:t>
      </w:r>
      <w:r w:rsidR="00AD2EBD" w:rsidRPr="005C53A8">
        <w:t>http://go.worldbank.org/5MYOUCYBR0</w:t>
      </w:r>
      <w:r w:rsidR="001A0A40">
        <w:t>.</w:t>
      </w:r>
    </w:p>
    <w:p w:rsidR="00CD12C0" w:rsidRDefault="00CD12C0" w:rsidP="0023273A">
      <w:r w:rsidRPr="00800ADB">
        <w:rPr>
          <w:b/>
        </w:rPr>
        <w:t>Stock market capitalization to GDP (%)</w:t>
      </w:r>
      <w:r w:rsidR="0023273A">
        <w:rPr>
          <w:b/>
        </w:rPr>
        <w:t>:</w:t>
      </w:r>
      <w:r>
        <w:rPr>
          <w:b/>
        </w:rPr>
        <w:t xml:space="preserve"> </w:t>
      </w:r>
      <w:r w:rsidR="005D59F3">
        <w:t>T</w:t>
      </w:r>
      <w:r w:rsidRPr="00800ADB">
        <w:t>otal value of all listed shares in a stock market as a percentage of GDP</w:t>
      </w:r>
      <w:r w:rsidR="00F96D40">
        <w:t xml:space="preserve">. </w:t>
      </w:r>
      <w:r w:rsidR="00F96D40">
        <w:rPr>
          <w:b/>
        </w:rPr>
        <w:t xml:space="preserve">Data sources: </w:t>
      </w:r>
      <w:r w:rsidRPr="00800ADB">
        <w:t xml:space="preserve">Standard &amp; Poor's, </w:t>
      </w:r>
      <w:r w:rsidRPr="00F71CE0">
        <w:rPr>
          <w:i/>
        </w:rPr>
        <w:t xml:space="preserve">Global Stock Markets </w:t>
      </w:r>
      <w:proofErr w:type="spellStart"/>
      <w:r w:rsidRPr="00F71CE0">
        <w:rPr>
          <w:i/>
        </w:rPr>
        <w:t>Fac</w:t>
      </w:r>
      <w:r w:rsidR="00F96D40" w:rsidRPr="00F71CE0">
        <w:rPr>
          <w:i/>
        </w:rPr>
        <w:t>tbook</w:t>
      </w:r>
      <w:proofErr w:type="spellEnd"/>
      <w:r w:rsidR="00F96D40">
        <w:t xml:space="preserve"> and supplemental S&amp;P data; World Bank, </w:t>
      </w:r>
      <w:r w:rsidRPr="00800ADB">
        <w:t xml:space="preserve">Global Financial Development </w:t>
      </w:r>
      <w:r w:rsidR="00F96D40">
        <w:t>Database</w:t>
      </w:r>
      <w:r w:rsidR="00AD2EBD">
        <w:t xml:space="preserve">, at </w:t>
      </w:r>
      <w:r w:rsidR="00AD2EBD" w:rsidRPr="005C53A8">
        <w:t>http://data.worldbank.org/data-catalog/global-financial-development</w:t>
      </w:r>
      <w:r w:rsidR="00F96D40">
        <w:t>.</w:t>
      </w:r>
    </w:p>
    <w:p w:rsidR="00CD12C0" w:rsidRDefault="00F96D40" w:rsidP="00F96D40">
      <w:r>
        <w:rPr>
          <w:b/>
        </w:rPr>
        <w:t>B</w:t>
      </w:r>
      <w:r w:rsidR="00CD12C0" w:rsidRPr="00800ADB">
        <w:rPr>
          <w:b/>
        </w:rPr>
        <w:t>ank assets to GDP (%)</w:t>
      </w:r>
      <w:r>
        <w:rPr>
          <w:b/>
        </w:rPr>
        <w:t>:</w:t>
      </w:r>
      <w:r w:rsidR="00CD12C0">
        <w:t xml:space="preserve"> </w:t>
      </w:r>
      <w:r w:rsidR="005D59F3">
        <w:t>T</w:t>
      </w:r>
      <w:r w:rsidR="00CD12C0" w:rsidRPr="00800ADB">
        <w:t>otal assets held by deposit money banks as a share of GDP. Assets include claims on domestic real nonfinancial sector which includes central, state</w:t>
      </w:r>
      <w:r w:rsidR="005D59F3">
        <w:t>,</w:t>
      </w:r>
      <w:r w:rsidR="00CD12C0" w:rsidRPr="00800ADB">
        <w:t xml:space="preserve"> and local governments, nonfinancial public enterprises and private sector. Deposit money banks comprise commercial banks and other financial institutions that accept transferable deposits, such as demand deposits. </w:t>
      </w:r>
      <w:r>
        <w:rPr>
          <w:b/>
        </w:rPr>
        <w:t xml:space="preserve">Data source: </w:t>
      </w:r>
      <w:r>
        <w:t xml:space="preserve">World Bank, </w:t>
      </w:r>
      <w:r w:rsidR="00CD12C0" w:rsidRPr="00800ADB">
        <w:t xml:space="preserve">Global Financial Development </w:t>
      </w:r>
      <w:r>
        <w:t>Database</w:t>
      </w:r>
      <w:r w:rsidR="00AD2EBD">
        <w:t xml:space="preserve">, at </w:t>
      </w:r>
      <w:r w:rsidR="00AD2EBD" w:rsidRPr="005C53A8">
        <w:t>http://data.worldbank.org/data-catalog/global-financial-development</w:t>
      </w:r>
      <w:r>
        <w:t>.</w:t>
      </w:r>
    </w:p>
    <w:p w:rsidR="00CD12C0" w:rsidRDefault="00CD12C0" w:rsidP="00F96D40">
      <w:r w:rsidRPr="00800ADB">
        <w:rPr>
          <w:b/>
        </w:rPr>
        <w:t>Mutual fund assets to GDP (%)</w:t>
      </w:r>
      <w:r w:rsidR="00F96D40">
        <w:rPr>
          <w:b/>
        </w:rPr>
        <w:t>:</w:t>
      </w:r>
      <w:r>
        <w:t xml:space="preserve"> </w:t>
      </w:r>
      <w:r w:rsidR="00E732A2">
        <w:t>The</w:t>
      </w:r>
      <w:r>
        <w:t xml:space="preserve"> r</w:t>
      </w:r>
      <w:r w:rsidRPr="00800ADB">
        <w:t xml:space="preserve">atio of assets of mutual funds to GDP. A mutual fund is a type of managed collective investment scheme that pools money from many investors to purchase securities. </w:t>
      </w:r>
      <w:r w:rsidR="00F96D40">
        <w:rPr>
          <w:b/>
        </w:rPr>
        <w:t xml:space="preserve">Data source: </w:t>
      </w:r>
      <w:r w:rsidR="00F96D40">
        <w:t xml:space="preserve">World Bank, </w:t>
      </w:r>
      <w:r w:rsidR="00F96D40" w:rsidRPr="00800ADB">
        <w:t xml:space="preserve">Global Financial Development </w:t>
      </w:r>
      <w:r w:rsidR="00F96D40">
        <w:t xml:space="preserve">Database, at </w:t>
      </w:r>
      <w:r w:rsidR="00F96D40" w:rsidRPr="005C53A8">
        <w:t>http://data.worldbank.org/data-catalog/global-financial-development</w:t>
      </w:r>
      <w:r w:rsidR="00F96D40">
        <w:t>.</w:t>
      </w:r>
    </w:p>
    <w:p w:rsidR="00CD12C0" w:rsidRDefault="00CD12C0" w:rsidP="00F96D40">
      <w:r w:rsidRPr="00800ADB">
        <w:rPr>
          <w:b/>
        </w:rPr>
        <w:t>Insurance assets to GDP (%)</w:t>
      </w:r>
      <w:r w:rsidR="00F96D40">
        <w:rPr>
          <w:b/>
        </w:rPr>
        <w:t>:</w:t>
      </w:r>
      <w:r>
        <w:t xml:space="preserve"> </w:t>
      </w:r>
      <w:r w:rsidR="00E732A2">
        <w:t xml:space="preserve">The </w:t>
      </w:r>
      <w:r>
        <w:t>r</w:t>
      </w:r>
      <w:r w:rsidRPr="00800ADB">
        <w:t xml:space="preserve">atio of assets of insurance companies to GDP. </w:t>
      </w:r>
      <w:r w:rsidR="00F96D40">
        <w:rPr>
          <w:b/>
        </w:rPr>
        <w:t xml:space="preserve">Data source: </w:t>
      </w:r>
      <w:r w:rsidR="00F96D40">
        <w:t xml:space="preserve">World Bank, </w:t>
      </w:r>
      <w:r w:rsidR="00F96D40" w:rsidRPr="00800ADB">
        <w:t xml:space="preserve">Global Financial Development </w:t>
      </w:r>
      <w:r w:rsidR="00F96D40">
        <w:t xml:space="preserve">Database, at </w:t>
      </w:r>
      <w:r w:rsidR="00F96D40" w:rsidRPr="005C53A8">
        <w:t>http://data.worldbank.org/data-catalog/global-financial-development</w:t>
      </w:r>
      <w:r w:rsidR="00F96D40">
        <w:t>.</w:t>
      </w:r>
    </w:p>
    <w:p w:rsidR="00CD12C0" w:rsidRDefault="00CD12C0" w:rsidP="00F96D40">
      <w:r w:rsidRPr="00800ADB">
        <w:rPr>
          <w:b/>
        </w:rPr>
        <w:t>Pension assets to GDP (%)</w:t>
      </w:r>
      <w:r w:rsidR="00F96D40">
        <w:rPr>
          <w:b/>
        </w:rPr>
        <w:t>:</w:t>
      </w:r>
      <w:r>
        <w:t xml:space="preserve"> </w:t>
      </w:r>
      <w:r w:rsidR="00E732A2">
        <w:t xml:space="preserve">The </w:t>
      </w:r>
      <w:r>
        <w:t>r</w:t>
      </w:r>
      <w:r w:rsidRPr="00800ADB">
        <w:t xml:space="preserve">atio of assets of pension funds to GDP. A pension fund is any plan, fund, or scheme that provides retirement income. </w:t>
      </w:r>
      <w:r w:rsidR="00F96D40">
        <w:rPr>
          <w:b/>
        </w:rPr>
        <w:t xml:space="preserve">Data source: </w:t>
      </w:r>
      <w:r w:rsidR="00F96D40">
        <w:t xml:space="preserve">World Bank, </w:t>
      </w:r>
      <w:r w:rsidR="00F96D40" w:rsidRPr="00800ADB">
        <w:t xml:space="preserve">Global Financial Development </w:t>
      </w:r>
      <w:r w:rsidR="00F96D40">
        <w:t xml:space="preserve">Database, at </w:t>
      </w:r>
      <w:r w:rsidR="00F96D40" w:rsidRPr="005C53A8">
        <w:t>http://data.worldbank.org/data-catalog/global-financial-development</w:t>
      </w:r>
      <w:r w:rsidR="00F96D40">
        <w:t>.</w:t>
      </w:r>
    </w:p>
    <w:p w:rsidR="000C0472" w:rsidRDefault="000C0472" w:rsidP="00F96D40">
      <w:r w:rsidRPr="00BB7FBE">
        <w:rPr>
          <w:b/>
        </w:rPr>
        <w:t>Bank savings to GDP (%)</w:t>
      </w:r>
      <w:r w:rsidR="00F96D40">
        <w:rPr>
          <w:b/>
        </w:rPr>
        <w:t>:</w:t>
      </w:r>
      <w:r>
        <w:t xml:space="preserve"> </w:t>
      </w:r>
      <w:r w:rsidR="00B91EAC">
        <w:t xml:space="preserve">Ratio of </w:t>
      </w:r>
      <w:r>
        <w:t>d</w:t>
      </w:r>
      <w:r w:rsidRPr="00D15DF2">
        <w:t>omestic demand, time</w:t>
      </w:r>
      <w:r w:rsidR="00B91EAC">
        <w:t>,</w:t>
      </w:r>
      <w:r w:rsidRPr="00D15DF2">
        <w:t xml:space="preserve"> and savings deposits in deposit money banks to GDP.</w:t>
      </w:r>
      <w:r w:rsidR="00F96D40">
        <w:t xml:space="preserve"> </w:t>
      </w:r>
      <w:r w:rsidR="00F96D40">
        <w:rPr>
          <w:b/>
        </w:rPr>
        <w:t>Data Source:</w:t>
      </w:r>
      <w:r w:rsidR="00F96D40">
        <w:t xml:space="preserve"> World Bank.</w:t>
      </w:r>
    </w:p>
    <w:p w:rsidR="000C0472" w:rsidRDefault="000C0472" w:rsidP="00F96D40">
      <w:r>
        <w:rPr>
          <w:b/>
        </w:rPr>
        <w:t>C</w:t>
      </w:r>
      <w:r w:rsidRPr="00BB7FBE">
        <w:rPr>
          <w:b/>
        </w:rPr>
        <w:t>redit to GDP (%)</w:t>
      </w:r>
      <w:r w:rsidR="00F96D40">
        <w:rPr>
          <w:b/>
        </w:rPr>
        <w:t>:</w:t>
      </w:r>
      <w:r>
        <w:t xml:space="preserve"> </w:t>
      </w:r>
      <w:r w:rsidR="00B91EAC">
        <w:t xml:space="preserve">Ratio of </w:t>
      </w:r>
      <w:r>
        <w:t>d</w:t>
      </w:r>
      <w:r w:rsidRPr="00D15DF2">
        <w:t>omestic private credit to the real sector by deposit money banks to GDP.</w:t>
      </w:r>
      <w:r>
        <w:t xml:space="preserve"> </w:t>
      </w:r>
      <w:r w:rsidR="00F96D40">
        <w:rPr>
          <w:b/>
        </w:rPr>
        <w:t>Data Source:</w:t>
      </w:r>
      <w:r w:rsidR="00F96D40">
        <w:t xml:space="preserve"> World Bank.</w:t>
      </w:r>
    </w:p>
    <w:p w:rsidR="000C0472" w:rsidRDefault="000C0472" w:rsidP="00F96D40">
      <w:r w:rsidRPr="00BB7FBE">
        <w:rPr>
          <w:b/>
        </w:rPr>
        <w:t>Insurance premium to GDP (%)</w:t>
      </w:r>
      <w:r w:rsidR="00F45A63">
        <w:rPr>
          <w:b/>
        </w:rPr>
        <w:t>:</w:t>
      </w:r>
      <w:r>
        <w:t xml:space="preserve"> </w:t>
      </w:r>
      <w:r w:rsidR="00B91EAC">
        <w:t xml:space="preserve">Ratio of </w:t>
      </w:r>
      <w:r>
        <w:t>i</w:t>
      </w:r>
      <w:r w:rsidRPr="00D15DF2">
        <w:t>nsurance premiums (life</w:t>
      </w:r>
      <w:r>
        <w:t xml:space="preserve"> and nonlife) to GDP</w:t>
      </w:r>
      <w:r w:rsidRPr="00D15DF2">
        <w:t>.</w:t>
      </w:r>
      <w:r>
        <w:t xml:space="preserve"> </w:t>
      </w:r>
      <w:r w:rsidR="00F96D40">
        <w:rPr>
          <w:b/>
        </w:rPr>
        <w:t>Data Source:</w:t>
      </w:r>
      <w:r w:rsidR="00F96D40">
        <w:t xml:space="preserve"> World Bank.</w:t>
      </w:r>
    </w:p>
    <w:p w:rsidR="00476F7C" w:rsidRDefault="00476F7C" w:rsidP="00476F7C">
      <w:pPr>
        <w:rPr>
          <w:b/>
        </w:rPr>
      </w:pPr>
      <w:r w:rsidRPr="006013EA">
        <w:rPr>
          <w:b/>
        </w:rPr>
        <w:t>Loan dollarization</w:t>
      </w:r>
      <w:r>
        <w:rPr>
          <w:b/>
        </w:rPr>
        <w:t>:</w:t>
      </w:r>
      <w:r>
        <w:t xml:space="preserve"> F</w:t>
      </w:r>
      <w:r w:rsidRPr="006013EA">
        <w:t>oreign currency</w:t>
      </w:r>
      <w:r>
        <w:t>–denominated loans as a share of</w:t>
      </w:r>
      <w:r w:rsidRPr="006013EA">
        <w:t xml:space="preserve"> total loans</w:t>
      </w:r>
      <w:r>
        <w:t xml:space="preserve">. </w:t>
      </w:r>
      <w:r>
        <w:rPr>
          <w:b/>
        </w:rPr>
        <w:t xml:space="preserve">Data source: </w:t>
      </w:r>
      <w:proofErr w:type="spellStart"/>
      <w:r>
        <w:t>Chitu</w:t>
      </w:r>
      <w:proofErr w:type="spellEnd"/>
      <w:r>
        <w:t xml:space="preserve">, </w:t>
      </w:r>
      <w:r w:rsidRPr="00AC7ECE">
        <w:t xml:space="preserve">Livia, </w:t>
      </w:r>
      <w:r>
        <w:t xml:space="preserve">2013, </w:t>
      </w:r>
      <w:r w:rsidRPr="00AC7ECE">
        <w:t xml:space="preserve">"Was </w:t>
      </w:r>
      <w:r>
        <w:t>U</w:t>
      </w:r>
      <w:r w:rsidRPr="00AC7ECE">
        <w:t xml:space="preserve">nofficial </w:t>
      </w:r>
      <w:proofErr w:type="spellStart"/>
      <w:r>
        <w:t>D</w:t>
      </w:r>
      <w:r w:rsidRPr="00AC7ECE">
        <w:t>ollarisation</w:t>
      </w:r>
      <w:proofErr w:type="spellEnd"/>
      <w:r w:rsidRPr="00AC7ECE">
        <w:t>/</w:t>
      </w:r>
      <w:proofErr w:type="spellStart"/>
      <w:r>
        <w:t>E</w:t>
      </w:r>
      <w:r w:rsidRPr="00AC7ECE">
        <w:t>uroisation</w:t>
      </w:r>
      <w:proofErr w:type="spellEnd"/>
      <w:r w:rsidRPr="00AC7ECE">
        <w:t xml:space="preserve"> an </w:t>
      </w:r>
      <w:r>
        <w:t>A</w:t>
      </w:r>
      <w:r w:rsidRPr="00AC7ECE">
        <w:t>mplifier of the 'Great Recession' of 2007</w:t>
      </w:r>
      <w:r>
        <w:t>–</w:t>
      </w:r>
      <w:r w:rsidRPr="00AC7ECE">
        <w:t xml:space="preserve">09 in </w:t>
      </w:r>
      <w:r>
        <w:t>E</w:t>
      </w:r>
      <w:r w:rsidRPr="00AC7ECE">
        <w:t xml:space="preserve">merging </w:t>
      </w:r>
      <w:r>
        <w:t>E</w:t>
      </w:r>
      <w:r w:rsidRPr="00AC7ECE">
        <w:t>conomies</w:t>
      </w:r>
      <w:r>
        <w:t>,</w:t>
      </w:r>
      <w:r w:rsidRPr="00AC7ECE">
        <w:t xml:space="preserve">" </w:t>
      </w:r>
      <w:r w:rsidRPr="00F71CE0">
        <w:rPr>
          <w:i/>
        </w:rPr>
        <w:t>Comparative Economic Studies</w:t>
      </w:r>
      <w:r w:rsidRPr="00AC7ECE">
        <w:t xml:space="preserve"> 55</w:t>
      </w:r>
      <w:r>
        <w:t>:</w:t>
      </w:r>
      <w:r w:rsidRPr="00AC7ECE">
        <w:t xml:space="preserve"> 233–65</w:t>
      </w:r>
      <w:r>
        <w:t xml:space="preserve">, at </w:t>
      </w:r>
      <w:hyperlink r:id="rId18" w:history="1">
        <w:r>
          <w:rPr>
            <w:rFonts w:ascii="Tms Rmn" w:hAnsi="Tms Rmn" w:cs="Tms Rmn"/>
            <w:color w:val="0000FF"/>
            <w:u w:val="single"/>
          </w:rPr>
          <w:t>http://www.palgrave-journals.com/ces/journal/v55/n2/full/ces20131a.html</w:t>
        </w:r>
      </w:hyperlink>
      <w:r>
        <w:rPr>
          <w:rFonts w:ascii="Tms Rmn" w:hAnsi="Tms Rmn" w:cs="Tms Rmn"/>
          <w:color w:val="000000"/>
        </w:rPr>
        <w:t>.</w:t>
      </w:r>
      <w:r>
        <w:t xml:space="preserve"> </w:t>
      </w:r>
    </w:p>
    <w:p w:rsidR="00476F7C" w:rsidRDefault="00476F7C" w:rsidP="00476F7C">
      <w:pPr>
        <w:rPr>
          <w:b/>
        </w:rPr>
      </w:pPr>
      <w:r w:rsidRPr="006013EA">
        <w:rPr>
          <w:b/>
        </w:rPr>
        <w:lastRenderedPageBreak/>
        <w:t xml:space="preserve">Deposit </w:t>
      </w:r>
      <w:r>
        <w:rPr>
          <w:b/>
        </w:rPr>
        <w:t>dollarization:</w:t>
      </w:r>
      <w:r>
        <w:t xml:space="preserve"> F</w:t>
      </w:r>
      <w:r w:rsidRPr="006013EA">
        <w:t>oreign currency</w:t>
      </w:r>
      <w:r>
        <w:t>–</w:t>
      </w:r>
      <w:r w:rsidRPr="006013EA">
        <w:t xml:space="preserve">denominated </w:t>
      </w:r>
      <w:r>
        <w:t>deposits as a share of</w:t>
      </w:r>
      <w:r w:rsidRPr="006013EA">
        <w:t xml:space="preserve"> total</w:t>
      </w:r>
      <w:r>
        <w:t xml:space="preserve"> d</w:t>
      </w:r>
      <w:r w:rsidRPr="006013EA">
        <w:t>eposits</w:t>
      </w:r>
      <w:r>
        <w:t xml:space="preserve">. </w:t>
      </w:r>
      <w:r>
        <w:rPr>
          <w:b/>
        </w:rPr>
        <w:t xml:space="preserve">Data source: </w:t>
      </w:r>
      <w:proofErr w:type="spellStart"/>
      <w:r>
        <w:t>Chitu</w:t>
      </w:r>
      <w:proofErr w:type="spellEnd"/>
      <w:r>
        <w:t xml:space="preserve">, </w:t>
      </w:r>
      <w:r w:rsidRPr="00AC7ECE">
        <w:t xml:space="preserve">Livia, </w:t>
      </w:r>
      <w:r>
        <w:t xml:space="preserve">2013, </w:t>
      </w:r>
      <w:r w:rsidRPr="00AC7ECE">
        <w:t xml:space="preserve">"Was </w:t>
      </w:r>
      <w:r>
        <w:t>U</w:t>
      </w:r>
      <w:r w:rsidRPr="00AC7ECE">
        <w:t xml:space="preserve">nofficial </w:t>
      </w:r>
      <w:proofErr w:type="spellStart"/>
      <w:r>
        <w:t>D</w:t>
      </w:r>
      <w:r w:rsidRPr="00AC7ECE">
        <w:t>ollarisation</w:t>
      </w:r>
      <w:proofErr w:type="spellEnd"/>
      <w:r w:rsidRPr="00AC7ECE">
        <w:t>/</w:t>
      </w:r>
      <w:proofErr w:type="spellStart"/>
      <w:r>
        <w:t>E</w:t>
      </w:r>
      <w:r w:rsidRPr="00AC7ECE">
        <w:t>uroisation</w:t>
      </w:r>
      <w:proofErr w:type="spellEnd"/>
      <w:r w:rsidRPr="00AC7ECE">
        <w:t xml:space="preserve"> an </w:t>
      </w:r>
      <w:r>
        <w:t>A</w:t>
      </w:r>
      <w:r w:rsidRPr="00AC7ECE">
        <w:t>mplifier of the 'Great Recession' of 2007</w:t>
      </w:r>
      <w:r>
        <w:t>–</w:t>
      </w:r>
      <w:r w:rsidRPr="00AC7ECE">
        <w:t xml:space="preserve">09 in </w:t>
      </w:r>
      <w:r>
        <w:t>E</w:t>
      </w:r>
      <w:r w:rsidRPr="00AC7ECE">
        <w:t xml:space="preserve">merging </w:t>
      </w:r>
      <w:r>
        <w:t>E</w:t>
      </w:r>
      <w:r w:rsidRPr="00AC7ECE">
        <w:t>conomies</w:t>
      </w:r>
      <w:r>
        <w:t>,</w:t>
      </w:r>
      <w:r w:rsidRPr="00AC7ECE">
        <w:t xml:space="preserve">" </w:t>
      </w:r>
      <w:r w:rsidRPr="00F71CE0">
        <w:rPr>
          <w:i/>
        </w:rPr>
        <w:t xml:space="preserve">Comparative Economic </w:t>
      </w:r>
      <w:proofErr w:type="gramStart"/>
      <w:r w:rsidRPr="00F71CE0">
        <w:rPr>
          <w:i/>
        </w:rPr>
        <w:t>Studies</w:t>
      </w:r>
      <w:r w:rsidRPr="00AC7ECE">
        <w:t xml:space="preserve">  55</w:t>
      </w:r>
      <w:proofErr w:type="gramEnd"/>
      <w:r>
        <w:t xml:space="preserve">: </w:t>
      </w:r>
      <w:r w:rsidRPr="00AC7ECE">
        <w:t>233–65</w:t>
      </w:r>
      <w:r>
        <w:t xml:space="preserve">, at </w:t>
      </w:r>
      <w:hyperlink r:id="rId19" w:history="1">
        <w:r>
          <w:rPr>
            <w:rFonts w:ascii="Tms Rmn" w:hAnsi="Tms Rmn" w:cs="Tms Rmn"/>
            <w:color w:val="0000FF"/>
            <w:u w:val="single"/>
          </w:rPr>
          <w:t>http://www.palgrave-journals.com/ces/journal/v55/n2/full/ces20131a.html</w:t>
        </w:r>
      </w:hyperlink>
      <w:r>
        <w:rPr>
          <w:rFonts w:ascii="Tms Rmn" w:hAnsi="Tms Rmn" w:cs="Tms Rmn"/>
          <w:color w:val="000000"/>
        </w:rPr>
        <w:t xml:space="preserve"> .</w:t>
      </w:r>
      <w:r>
        <w:t xml:space="preserve"> </w:t>
      </w:r>
    </w:p>
    <w:p w:rsidR="00CF3400" w:rsidRDefault="00CF3400" w:rsidP="00CF3400">
      <w:bookmarkStart w:id="0" w:name="_GoBack"/>
      <w:bookmarkEnd w:id="0"/>
      <w:r>
        <w:rPr>
          <w:b/>
        </w:rPr>
        <w:t>Loan to deposit ratio (%):</w:t>
      </w:r>
      <w:r>
        <w:t xml:space="preserve"> </w:t>
      </w:r>
      <w:r w:rsidR="00B91EAC">
        <w:t>P</w:t>
      </w:r>
      <w:r w:rsidRPr="00A47CD9">
        <w:t>rivate</w:t>
      </w:r>
      <w:r>
        <w:t xml:space="preserve"> credit by deposit money banks </w:t>
      </w:r>
      <w:r w:rsidRPr="00A47CD9">
        <w:t>as a share of domestic demand, time</w:t>
      </w:r>
      <w:r w:rsidR="00B91EAC">
        <w:t>,</w:t>
      </w:r>
      <w:r w:rsidRPr="00A47CD9">
        <w:t xml:space="preserve"> </w:t>
      </w:r>
      <w:proofErr w:type="gramStart"/>
      <w:r w:rsidRPr="00A47CD9">
        <w:t>and</w:t>
      </w:r>
      <w:proofErr w:type="gramEnd"/>
      <w:r w:rsidRPr="00A47CD9">
        <w:t xml:space="preserve"> saving deposits in deposit money banks.</w:t>
      </w:r>
      <w:r>
        <w:t xml:space="preserve"> </w:t>
      </w:r>
      <w:r>
        <w:rPr>
          <w:b/>
        </w:rPr>
        <w:t xml:space="preserve">Data Source: </w:t>
      </w:r>
      <w:r>
        <w:t>World Bank.</w:t>
      </w:r>
    </w:p>
    <w:p w:rsidR="006414E2" w:rsidRDefault="006414E2" w:rsidP="00C84EDE">
      <w:pPr>
        <w:pStyle w:val="Heading2"/>
        <w:spacing w:line="240" w:lineRule="auto"/>
      </w:pPr>
      <w:r>
        <w:t xml:space="preserve">Table 6: </w:t>
      </w:r>
      <w:r w:rsidR="003B260F" w:rsidRPr="003B260F">
        <w:t xml:space="preserve">Selected Indicators Related to Risk Management at the </w:t>
      </w:r>
      <w:proofErr w:type="spellStart"/>
      <w:r w:rsidR="003B260F" w:rsidRPr="003B260F">
        <w:t>Macroeconomy</w:t>
      </w:r>
      <w:proofErr w:type="spellEnd"/>
      <w:r w:rsidR="003B260F" w:rsidRPr="003B260F">
        <w:t xml:space="preserve"> Level</w:t>
      </w:r>
    </w:p>
    <w:p w:rsidR="00297D1F" w:rsidRPr="005B3841" w:rsidRDefault="00297D1F" w:rsidP="00C84EDE">
      <w:pPr>
        <w:spacing w:line="240" w:lineRule="auto"/>
      </w:pPr>
      <w:r w:rsidRPr="00297D1F">
        <w:rPr>
          <w:b/>
        </w:rPr>
        <w:t xml:space="preserve">CPI </w:t>
      </w:r>
      <w:r>
        <w:rPr>
          <w:b/>
        </w:rPr>
        <w:t>i</w:t>
      </w:r>
      <w:r w:rsidRPr="00297D1F">
        <w:rPr>
          <w:b/>
        </w:rPr>
        <w:t xml:space="preserve">nflation </w:t>
      </w:r>
      <w:r>
        <w:rPr>
          <w:b/>
        </w:rPr>
        <w:t>r</w:t>
      </w:r>
      <w:r w:rsidRPr="00297D1F">
        <w:rPr>
          <w:b/>
        </w:rPr>
        <w:t>ate</w:t>
      </w:r>
      <w:r w:rsidR="005657CA" w:rsidRPr="005657CA">
        <w:rPr>
          <w:rFonts w:cstheme="minorHAnsi"/>
          <w:b/>
        </w:rPr>
        <w:t>:</w:t>
      </w:r>
      <w:r w:rsidR="005B3841">
        <w:rPr>
          <w:rFonts w:cstheme="minorHAnsi"/>
          <w:b/>
        </w:rPr>
        <w:t xml:space="preserve"> </w:t>
      </w:r>
      <w:r w:rsidR="00DC0EB7">
        <w:rPr>
          <w:rFonts w:cstheme="minorHAnsi"/>
          <w:color w:val="0D0D0D" w:themeColor="text1" w:themeTint="F2"/>
        </w:rPr>
        <w:t>T</w:t>
      </w:r>
      <w:r w:rsidR="005B3841" w:rsidRPr="0097356A">
        <w:rPr>
          <w:rFonts w:cstheme="minorHAnsi"/>
          <w:color w:val="0D0D0D" w:themeColor="text1" w:themeTint="F2"/>
        </w:rPr>
        <w:t>he annual percentage change in the cost to the average consumer of acquiring a basket of goods and services that may be fixed or changed at specified intervals, such as yearly</w:t>
      </w:r>
      <w:r w:rsidR="00DC0EB7">
        <w:rPr>
          <w:rFonts w:cstheme="minorHAnsi"/>
          <w:color w:val="0D0D0D" w:themeColor="text1" w:themeTint="F2"/>
        </w:rPr>
        <w:t xml:space="preserve"> (consumer price index)</w:t>
      </w:r>
      <w:r w:rsidR="005B3841" w:rsidRPr="0097356A">
        <w:rPr>
          <w:rFonts w:cstheme="minorHAnsi"/>
          <w:color w:val="0D0D0D" w:themeColor="text1" w:themeTint="F2"/>
        </w:rPr>
        <w:t xml:space="preserve">. The </w:t>
      </w:r>
      <w:proofErr w:type="spellStart"/>
      <w:r w:rsidR="005B3841" w:rsidRPr="0097356A">
        <w:rPr>
          <w:rFonts w:cstheme="minorHAnsi"/>
          <w:color w:val="0D0D0D" w:themeColor="text1" w:themeTint="F2"/>
        </w:rPr>
        <w:t>Laspeyres</w:t>
      </w:r>
      <w:proofErr w:type="spellEnd"/>
      <w:r w:rsidR="005B3841" w:rsidRPr="0097356A">
        <w:rPr>
          <w:rFonts w:cstheme="minorHAnsi"/>
          <w:color w:val="0D0D0D" w:themeColor="text1" w:themeTint="F2"/>
        </w:rPr>
        <w:t xml:space="preserve"> formula is generally used. </w:t>
      </w:r>
      <w:r w:rsidR="005B3841" w:rsidRPr="00257CF1">
        <w:rPr>
          <w:rFonts w:cstheme="minorHAnsi"/>
          <w:b/>
          <w:color w:val="0D0D0D" w:themeColor="text1" w:themeTint="F2"/>
        </w:rPr>
        <w:t xml:space="preserve">Data source: </w:t>
      </w:r>
      <w:r w:rsidR="005B3841" w:rsidRPr="001B54BE">
        <w:rPr>
          <w:rFonts w:cstheme="minorHAnsi"/>
          <w:color w:val="0D0D0D" w:themeColor="text1" w:themeTint="F2"/>
        </w:rPr>
        <w:t xml:space="preserve">IMF International Financial Statistics, at </w:t>
      </w:r>
      <w:r w:rsidR="003775B5" w:rsidRPr="00A76A16">
        <w:t>http://elibrary-data.imf.org/FindDataReports.aspx?d=33061&amp;e=169393</w:t>
      </w:r>
      <w:r w:rsidR="0097356A" w:rsidRPr="001B54BE">
        <w:rPr>
          <w:rFonts w:cstheme="minorHAnsi"/>
          <w:color w:val="0D0D0D" w:themeColor="text1" w:themeTint="F2"/>
        </w:rPr>
        <w:t>.</w:t>
      </w:r>
      <w:r w:rsidR="0097356A" w:rsidRPr="0097356A">
        <w:rPr>
          <w:rFonts w:ascii="Arial" w:hAnsi="Arial" w:cs="Arial"/>
          <w:color w:val="0D0D0D" w:themeColor="text1" w:themeTint="F2"/>
          <w:sz w:val="17"/>
          <w:szCs w:val="17"/>
        </w:rPr>
        <w:t xml:space="preserve"> </w:t>
      </w:r>
    </w:p>
    <w:p w:rsidR="00297D1F" w:rsidRPr="00297D1F" w:rsidRDefault="00297D1F" w:rsidP="00C84EDE">
      <w:pPr>
        <w:spacing w:line="240" w:lineRule="auto"/>
      </w:pPr>
      <w:r w:rsidRPr="001B54BE">
        <w:rPr>
          <w:b/>
        </w:rPr>
        <w:t>Government primary surplus</w:t>
      </w:r>
      <w:r w:rsidR="005657CA" w:rsidRPr="001B54BE">
        <w:rPr>
          <w:rFonts w:cstheme="minorHAnsi"/>
          <w:b/>
        </w:rPr>
        <w:t>:</w:t>
      </w:r>
      <w:r w:rsidR="00A76A16">
        <w:rPr>
          <w:rFonts w:cstheme="minorHAnsi"/>
          <w:b/>
        </w:rPr>
        <w:t xml:space="preserve"> </w:t>
      </w:r>
      <w:r w:rsidR="00DC0EB7">
        <w:rPr>
          <w:rFonts w:cstheme="minorHAnsi"/>
        </w:rPr>
        <w:t>The</w:t>
      </w:r>
      <w:r w:rsidR="003775B5">
        <w:rPr>
          <w:rFonts w:cstheme="minorHAnsi"/>
        </w:rPr>
        <w:t xml:space="preserve"> </w:t>
      </w:r>
      <w:r w:rsidR="00DC0EB7">
        <w:rPr>
          <w:rFonts w:cstheme="minorHAnsi"/>
        </w:rPr>
        <w:t>g</w:t>
      </w:r>
      <w:r w:rsidR="003775B5">
        <w:rPr>
          <w:rFonts w:cstheme="minorHAnsi"/>
        </w:rPr>
        <w:t>ross fiscal balance</w:t>
      </w:r>
      <w:r w:rsidR="00A76A16" w:rsidRPr="00A76A16">
        <w:rPr>
          <w:rFonts w:cstheme="minorHAnsi"/>
        </w:rPr>
        <w:t xml:space="preserve"> plus net interest pay</w:t>
      </w:r>
      <w:r w:rsidR="003775B5">
        <w:rPr>
          <w:rFonts w:cstheme="minorHAnsi"/>
        </w:rPr>
        <w:t>ments</w:t>
      </w:r>
      <w:r w:rsidR="00A76A16" w:rsidRPr="00A76A16">
        <w:rPr>
          <w:rFonts w:cstheme="minorHAnsi"/>
        </w:rPr>
        <w:t>.</w:t>
      </w:r>
      <w:r w:rsidR="008204BD">
        <w:rPr>
          <w:rFonts w:cstheme="minorHAnsi"/>
          <w:b/>
        </w:rPr>
        <w:t xml:space="preserve"> </w:t>
      </w:r>
      <w:r w:rsidR="00A76A16" w:rsidRPr="00257CF1">
        <w:rPr>
          <w:rFonts w:cstheme="minorHAnsi"/>
          <w:b/>
          <w:color w:val="0D0D0D" w:themeColor="text1" w:themeTint="F2"/>
        </w:rPr>
        <w:t xml:space="preserve">Data source: </w:t>
      </w:r>
      <w:r w:rsidR="00A76A16" w:rsidRPr="001B54BE">
        <w:rPr>
          <w:rFonts w:cstheme="minorHAnsi"/>
          <w:color w:val="0D0D0D" w:themeColor="text1" w:themeTint="F2"/>
        </w:rPr>
        <w:t xml:space="preserve">IMF </w:t>
      </w:r>
      <w:r w:rsidR="00A76A16">
        <w:rPr>
          <w:rFonts w:cstheme="minorHAnsi"/>
          <w:color w:val="0D0D0D" w:themeColor="text1" w:themeTint="F2"/>
        </w:rPr>
        <w:t>World Economic Outlook</w:t>
      </w:r>
      <w:r w:rsidR="00A76A16" w:rsidRPr="001B54BE">
        <w:rPr>
          <w:rFonts w:cstheme="minorHAnsi"/>
          <w:color w:val="0D0D0D" w:themeColor="text1" w:themeTint="F2"/>
        </w:rPr>
        <w:t xml:space="preserve"> </w:t>
      </w:r>
      <w:r w:rsidR="00A76A16">
        <w:rPr>
          <w:rFonts w:cstheme="minorHAnsi"/>
          <w:color w:val="0D0D0D" w:themeColor="text1" w:themeTint="F2"/>
        </w:rPr>
        <w:t>Database April 2013</w:t>
      </w:r>
      <w:r w:rsidR="00A76A16" w:rsidRPr="001B54BE">
        <w:rPr>
          <w:rFonts w:cstheme="minorHAnsi"/>
          <w:color w:val="0D0D0D" w:themeColor="text1" w:themeTint="F2"/>
        </w:rPr>
        <w:t xml:space="preserve">, at </w:t>
      </w:r>
      <w:r w:rsidR="00A76A16" w:rsidRPr="00A76A16">
        <w:t>http://www.imf.org/external/ns/cs.aspx?id=28</w:t>
      </w:r>
      <w:r w:rsidR="00A76A16" w:rsidRPr="001B54BE">
        <w:rPr>
          <w:rFonts w:cstheme="minorHAnsi"/>
          <w:color w:val="0D0D0D" w:themeColor="text1" w:themeTint="F2"/>
        </w:rPr>
        <w:t>.</w:t>
      </w:r>
    </w:p>
    <w:p w:rsidR="00297D1F" w:rsidRPr="00F71CE0" w:rsidRDefault="00297D1F" w:rsidP="00C84EDE">
      <w:pPr>
        <w:spacing w:line="240" w:lineRule="auto"/>
        <w:rPr>
          <w:rFonts w:cstheme="minorHAnsi"/>
          <w:color w:val="0D0D0D" w:themeColor="text1" w:themeTint="F2"/>
        </w:rPr>
      </w:pPr>
      <w:r w:rsidRPr="00297D1F">
        <w:rPr>
          <w:b/>
        </w:rPr>
        <w:t>Gross public debt</w:t>
      </w:r>
      <w:r w:rsidR="005657CA" w:rsidRPr="005657CA">
        <w:rPr>
          <w:rFonts w:cstheme="minorHAnsi"/>
          <w:b/>
        </w:rPr>
        <w:t>:</w:t>
      </w:r>
      <w:r w:rsidR="008204BD">
        <w:rPr>
          <w:rFonts w:cstheme="minorHAnsi"/>
          <w:b/>
        </w:rPr>
        <w:t xml:space="preserve"> </w:t>
      </w:r>
      <w:r w:rsidR="00DC0EB7">
        <w:rPr>
          <w:rFonts w:cstheme="minorHAnsi"/>
          <w:color w:val="0D0D0D" w:themeColor="text1" w:themeTint="F2"/>
        </w:rPr>
        <w:t>A</w:t>
      </w:r>
      <w:r w:rsidR="00A76A16" w:rsidRPr="00A76A16">
        <w:rPr>
          <w:rFonts w:cstheme="minorHAnsi"/>
          <w:color w:val="0D0D0D" w:themeColor="text1" w:themeTint="F2"/>
        </w:rPr>
        <w:t xml:space="preserve">ll liabilities that require payment or payments of interest and/or principal by the debtor to the creditor at a date or dates in the future. </w:t>
      </w:r>
      <w:r w:rsidR="00DC0EB7">
        <w:rPr>
          <w:rFonts w:cstheme="minorHAnsi"/>
          <w:color w:val="0D0D0D" w:themeColor="text1" w:themeTint="F2"/>
        </w:rPr>
        <w:t>Gross debt</w:t>
      </w:r>
      <w:r w:rsidR="00DC0EB7" w:rsidRPr="00A76A16">
        <w:rPr>
          <w:rFonts w:cstheme="minorHAnsi"/>
          <w:color w:val="0D0D0D" w:themeColor="text1" w:themeTint="F2"/>
        </w:rPr>
        <w:t xml:space="preserve"> </w:t>
      </w:r>
      <w:r w:rsidR="00A76A16" w:rsidRPr="00A76A16">
        <w:rPr>
          <w:rFonts w:cstheme="minorHAnsi"/>
          <w:color w:val="0D0D0D" w:themeColor="text1" w:themeTint="F2"/>
        </w:rPr>
        <w:t xml:space="preserve">includes debt liabilities in the form of </w:t>
      </w:r>
      <w:r w:rsidR="00DC0EB7">
        <w:rPr>
          <w:rFonts w:cstheme="minorHAnsi"/>
          <w:color w:val="0D0D0D" w:themeColor="text1" w:themeTint="F2"/>
        </w:rPr>
        <w:t>special drawing rights (</w:t>
      </w:r>
      <w:r w:rsidR="00A76A16" w:rsidRPr="00A76A16">
        <w:rPr>
          <w:rFonts w:cstheme="minorHAnsi"/>
          <w:color w:val="0D0D0D" w:themeColor="text1" w:themeTint="F2"/>
        </w:rPr>
        <w:t>SDRs</w:t>
      </w:r>
      <w:r w:rsidR="00DC0EB7">
        <w:rPr>
          <w:rFonts w:cstheme="minorHAnsi"/>
          <w:color w:val="0D0D0D" w:themeColor="text1" w:themeTint="F2"/>
        </w:rPr>
        <w:t>)</w:t>
      </w:r>
      <w:r w:rsidR="00A76A16" w:rsidRPr="00A76A16">
        <w:rPr>
          <w:rFonts w:cstheme="minorHAnsi"/>
          <w:color w:val="0D0D0D" w:themeColor="text1" w:themeTint="F2"/>
        </w:rPr>
        <w:t xml:space="preserve">, currency and deposits, debt securities, loans, insurance, pensions and standardized guarantee schemes, and other accounts payable. </w:t>
      </w:r>
      <w:r w:rsidR="008204BD" w:rsidRPr="008204BD">
        <w:rPr>
          <w:rFonts w:cstheme="minorHAnsi"/>
          <w:b/>
          <w:color w:val="0D0D0D" w:themeColor="text1" w:themeTint="F2"/>
        </w:rPr>
        <w:t xml:space="preserve">Data source: </w:t>
      </w:r>
      <w:r w:rsidR="008204BD" w:rsidRPr="001B54BE">
        <w:rPr>
          <w:rFonts w:cstheme="minorHAnsi"/>
          <w:color w:val="0D0D0D" w:themeColor="text1" w:themeTint="F2"/>
        </w:rPr>
        <w:t xml:space="preserve">Abbas et al. 2010, IMF Working Paper, at </w:t>
      </w:r>
      <w:hyperlink r:id="rId20" w:history="1">
        <w:r w:rsidR="008204BD" w:rsidRPr="001B54BE">
          <w:rPr>
            <w:rStyle w:val="Hyperlink"/>
            <w:rFonts w:cstheme="minorHAnsi"/>
            <w:color w:val="0D0D0D" w:themeColor="text1" w:themeTint="F2"/>
            <w:u w:val="none"/>
          </w:rPr>
          <w:t>http://www.imf.org/external/pubs/cat/longres.cfm?sk=24332.0</w:t>
        </w:r>
      </w:hyperlink>
      <w:r w:rsidR="00A76A16">
        <w:rPr>
          <w:rFonts w:cstheme="minorHAnsi"/>
          <w:color w:val="0D0D0D" w:themeColor="text1" w:themeTint="F2"/>
        </w:rPr>
        <w:t xml:space="preserve">; </w:t>
      </w:r>
      <w:r w:rsidR="00A76A16" w:rsidRPr="001B54BE">
        <w:rPr>
          <w:rFonts w:cstheme="minorHAnsi"/>
          <w:color w:val="0D0D0D" w:themeColor="text1" w:themeTint="F2"/>
        </w:rPr>
        <w:t xml:space="preserve">IMF </w:t>
      </w:r>
      <w:r w:rsidR="00A76A16">
        <w:rPr>
          <w:rFonts w:cstheme="minorHAnsi"/>
          <w:color w:val="0D0D0D" w:themeColor="text1" w:themeTint="F2"/>
        </w:rPr>
        <w:t>World Economic Outlook</w:t>
      </w:r>
      <w:r w:rsidR="00A76A16" w:rsidRPr="001B54BE">
        <w:rPr>
          <w:rFonts w:cstheme="minorHAnsi"/>
          <w:color w:val="0D0D0D" w:themeColor="text1" w:themeTint="F2"/>
        </w:rPr>
        <w:t xml:space="preserve"> </w:t>
      </w:r>
      <w:r w:rsidR="00A76A16">
        <w:rPr>
          <w:rFonts w:cstheme="minorHAnsi"/>
          <w:color w:val="0D0D0D" w:themeColor="text1" w:themeTint="F2"/>
        </w:rPr>
        <w:t>Database April 2013</w:t>
      </w:r>
      <w:r w:rsidR="00A76A16" w:rsidRPr="001B54BE">
        <w:rPr>
          <w:rFonts w:cstheme="minorHAnsi"/>
          <w:color w:val="0D0D0D" w:themeColor="text1" w:themeTint="F2"/>
        </w:rPr>
        <w:t xml:space="preserve">, at </w:t>
      </w:r>
      <w:r w:rsidR="00A76A16" w:rsidRPr="00A76A16">
        <w:t>http://www.imf.org/external/ns/cs.aspx?id=28</w:t>
      </w:r>
      <w:r w:rsidR="00A76A16" w:rsidRPr="001B54BE">
        <w:rPr>
          <w:rFonts w:cstheme="minorHAnsi"/>
          <w:color w:val="0D0D0D" w:themeColor="text1" w:themeTint="F2"/>
        </w:rPr>
        <w:t>.</w:t>
      </w:r>
    </w:p>
    <w:p w:rsidR="00297D1F" w:rsidRPr="00257CF1" w:rsidRDefault="00297D1F" w:rsidP="00C84EDE">
      <w:pPr>
        <w:spacing w:line="240" w:lineRule="auto"/>
        <w:rPr>
          <w:rFonts w:cstheme="minorHAnsi"/>
          <w:color w:val="0D0D0D" w:themeColor="text1" w:themeTint="F2"/>
        </w:rPr>
      </w:pPr>
      <w:r w:rsidRPr="00257CF1">
        <w:rPr>
          <w:rFonts w:cstheme="minorHAnsi"/>
          <w:b/>
          <w:color w:val="0D0D0D" w:themeColor="text1" w:themeTint="F2"/>
        </w:rPr>
        <w:t>International reserves</w:t>
      </w:r>
      <w:r w:rsidR="005657CA" w:rsidRPr="00257CF1">
        <w:rPr>
          <w:rFonts w:cstheme="minorHAnsi"/>
          <w:b/>
          <w:color w:val="0D0D0D" w:themeColor="text1" w:themeTint="F2"/>
        </w:rPr>
        <w:t>:</w:t>
      </w:r>
      <w:r w:rsidR="004F3DDD" w:rsidRPr="00257CF1">
        <w:rPr>
          <w:rFonts w:cstheme="minorHAnsi"/>
          <w:b/>
          <w:color w:val="0D0D0D" w:themeColor="text1" w:themeTint="F2"/>
        </w:rPr>
        <w:t xml:space="preserve"> </w:t>
      </w:r>
      <w:r w:rsidR="00DC0EB7">
        <w:rPr>
          <w:rFonts w:cstheme="minorHAnsi"/>
          <w:color w:val="0D0D0D" w:themeColor="text1" w:themeTint="F2"/>
        </w:rPr>
        <w:t>H</w:t>
      </w:r>
      <w:r w:rsidR="004F3DDD" w:rsidRPr="00257CF1">
        <w:rPr>
          <w:rFonts w:cstheme="minorHAnsi"/>
          <w:color w:val="0D0D0D" w:themeColor="text1" w:themeTint="F2"/>
        </w:rPr>
        <w:t xml:space="preserve">oldings of monetary gold, special drawing rights, reserves of IMF members held by the IMF, and holdings of foreign exchange under the control of monetary authorities. The gold component of these reserves is valued at year-end (December 31) London prices. Data are in current U.S. dollars. </w:t>
      </w:r>
      <w:r w:rsidR="004F3DDD" w:rsidRPr="00257CF1">
        <w:rPr>
          <w:rFonts w:cstheme="minorHAnsi"/>
          <w:b/>
          <w:color w:val="0D0D0D" w:themeColor="text1" w:themeTint="F2"/>
        </w:rPr>
        <w:t xml:space="preserve">Data source: </w:t>
      </w:r>
      <w:r w:rsidR="004F3DDD" w:rsidRPr="001B54BE">
        <w:rPr>
          <w:rFonts w:cstheme="minorHAnsi"/>
          <w:color w:val="0D0D0D" w:themeColor="text1" w:themeTint="F2"/>
        </w:rPr>
        <w:t>IMF International Financial Statistics and data files</w:t>
      </w:r>
      <w:r w:rsidR="00257CF1" w:rsidRPr="001B54BE">
        <w:rPr>
          <w:rFonts w:cstheme="minorHAnsi"/>
          <w:color w:val="0D0D0D" w:themeColor="text1" w:themeTint="F2"/>
        </w:rPr>
        <w:t xml:space="preserve">, at </w:t>
      </w:r>
      <w:r w:rsidR="00A76A16" w:rsidRPr="00A76A16">
        <w:t>http://elibrary-data.imf.org/FindDataReports.aspx?d=33061&amp;e=169393</w:t>
      </w:r>
      <w:r w:rsidR="00257CF1" w:rsidRPr="001B54BE">
        <w:rPr>
          <w:rFonts w:cstheme="minorHAnsi"/>
          <w:color w:val="0D0D0D" w:themeColor="text1" w:themeTint="F2"/>
        </w:rPr>
        <w:t>.</w:t>
      </w:r>
      <w:r w:rsidR="00257CF1" w:rsidRPr="00257CF1">
        <w:rPr>
          <w:rFonts w:cstheme="minorHAnsi"/>
          <w:b/>
          <w:color w:val="0D0D0D" w:themeColor="text1" w:themeTint="F2"/>
        </w:rPr>
        <w:t xml:space="preserve"> </w:t>
      </w:r>
    </w:p>
    <w:p w:rsidR="00297D1F" w:rsidRDefault="00297D1F" w:rsidP="00C84EDE">
      <w:pPr>
        <w:spacing w:line="240" w:lineRule="auto"/>
      </w:pPr>
      <w:r w:rsidRPr="001B17B5">
        <w:rPr>
          <w:b/>
        </w:rPr>
        <w:t>Flexible exchange rate regimes</w:t>
      </w:r>
      <w:r w:rsidR="005657CA" w:rsidRPr="001B17B5">
        <w:rPr>
          <w:rFonts w:cstheme="minorHAnsi"/>
          <w:b/>
        </w:rPr>
        <w:t>:</w:t>
      </w:r>
      <w:r w:rsidR="00060D48" w:rsidRPr="001B17B5">
        <w:rPr>
          <w:rFonts w:cstheme="minorHAnsi"/>
          <w:b/>
        </w:rPr>
        <w:t xml:space="preserve"> </w:t>
      </w:r>
      <w:r w:rsidR="00DD1266">
        <w:rPr>
          <w:rFonts w:cstheme="minorHAnsi"/>
        </w:rPr>
        <w:t xml:space="preserve">For each country, </w:t>
      </w:r>
      <w:r w:rsidR="00DC0EB7">
        <w:rPr>
          <w:rFonts w:cstheme="minorHAnsi"/>
        </w:rPr>
        <w:t>five</w:t>
      </w:r>
      <w:r w:rsidR="003C4719" w:rsidRPr="0094285D">
        <w:rPr>
          <w:rFonts w:cstheme="minorHAnsi"/>
        </w:rPr>
        <w:t>-year averages of observed exchange rate flexibility (1996</w:t>
      </w:r>
      <w:r w:rsidR="00DC0EB7">
        <w:rPr>
          <w:rFonts w:cstheme="minorHAnsi"/>
        </w:rPr>
        <w:t>–</w:t>
      </w:r>
      <w:r w:rsidR="003C4719" w:rsidRPr="0094285D">
        <w:rPr>
          <w:rFonts w:cstheme="minorHAnsi"/>
        </w:rPr>
        <w:t>2000, 2001</w:t>
      </w:r>
      <w:r w:rsidR="00DC0EB7">
        <w:rPr>
          <w:rFonts w:cstheme="minorHAnsi"/>
        </w:rPr>
        <w:t>–</w:t>
      </w:r>
      <w:r w:rsidR="003C4719" w:rsidRPr="0094285D">
        <w:rPr>
          <w:rFonts w:cstheme="minorHAnsi"/>
        </w:rPr>
        <w:t>2005</w:t>
      </w:r>
      <w:r w:rsidR="00821CEC" w:rsidRPr="00821CEC">
        <w:rPr>
          <w:rFonts w:cstheme="minorHAnsi"/>
        </w:rPr>
        <w:t>, 2006</w:t>
      </w:r>
      <w:r w:rsidR="00DC0EB7">
        <w:rPr>
          <w:rFonts w:cstheme="minorHAnsi"/>
        </w:rPr>
        <w:t>–</w:t>
      </w:r>
      <w:r w:rsidR="00821CEC" w:rsidRPr="00821CEC">
        <w:rPr>
          <w:rFonts w:cstheme="minorHAnsi"/>
        </w:rPr>
        <w:t xml:space="preserve">2010) </w:t>
      </w:r>
      <w:r w:rsidR="00DC0EB7">
        <w:rPr>
          <w:rFonts w:cstheme="minorHAnsi"/>
        </w:rPr>
        <w:t xml:space="preserve">are </w:t>
      </w:r>
      <w:r w:rsidR="00821CEC" w:rsidRPr="00821CEC">
        <w:rPr>
          <w:rFonts w:cstheme="minorHAnsi"/>
        </w:rPr>
        <w:t xml:space="preserve">computed based on </w:t>
      </w:r>
      <w:r w:rsidR="003C4719" w:rsidRPr="0094285D">
        <w:rPr>
          <w:rFonts w:cstheme="minorHAnsi"/>
        </w:rPr>
        <w:t xml:space="preserve">taxonomy of </w:t>
      </w:r>
      <w:r w:rsidR="00821CEC">
        <w:rPr>
          <w:rFonts w:cstheme="minorHAnsi"/>
        </w:rPr>
        <w:t>de</w:t>
      </w:r>
      <w:r w:rsidR="00DC0EB7">
        <w:rPr>
          <w:rFonts w:cstheme="minorHAnsi"/>
        </w:rPr>
        <w:t xml:space="preserve"> </w:t>
      </w:r>
      <w:r w:rsidR="00821CEC">
        <w:rPr>
          <w:rFonts w:cstheme="minorHAnsi"/>
        </w:rPr>
        <w:t xml:space="preserve">facto </w:t>
      </w:r>
      <w:r w:rsidR="003C4719" w:rsidRPr="0094285D">
        <w:rPr>
          <w:rFonts w:cstheme="minorHAnsi"/>
        </w:rPr>
        <w:t>exchange rate arrangements.</w:t>
      </w:r>
      <w:r w:rsidR="00A05079">
        <w:rPr>
          <w:rFonts w:cstheme="minorHAnsi"/>
        </w:rPr>
        <w:t xml:space="preserve"> </w:t>
      </w:r>
      <w:r w:rsidR="00A05079" w:rsidRPr="00A05079">
        <w:rPr>
          <w:rFonts w:cstheme="minorHAnsi"/>
        </w:rPr>
        <w:t>The coarse classification of exchange rate regimes takes values between 1 and 6. It takes the value of one for countries with no separate legal tender, preannounced peg or currency board arrangement, preannounced horizontal band that is narrower than or equal to +/-2%, or a de facto peg. The value of 2 is assigned to countries with preannounced crawling peg and de facto crawling peg (including bands that are narrower than or equal to +/-2%. Countries with preannounced crawling bands that are wider than or equal to +/-2% and narrower than or equal to +/-5%, moving bands that are narrower than or equal to +/-2% and countries with managed floating are assigned the value of 3.  Countries with freely floating regimes have a value of 4. Finally, countries with freely falling rates or dual markets where the parallel market data is missing received the values of 5 and 6, respectively.</w:t>
      </w:r>
      <w:r w:rsidR="00A05079">
        <w:rPr>
          <w:rFonts w:cstheme="minorHAnsi"/>
        </w:rPr>
        <w:t xml:space="preserve"> </w:t>
      </w:r>
      <w:r w:rsidR="00060D48" w:rsidRPr="001B17B5">
        <w:rPr>
          <w:rFonts w:cstheme="minorHAnsi"/>
          <w:b/>
        </w:rPr>
        <w:t xml:space="preserve">Data source: </w:t>
      </w:r>
      <w:r w:rsidR="00821CEC">
        <w:rPr>
          <w:rFonts w:cstheme="minorHAnsi"/>
        </w:rPr>
        <w:t xml:space="preserve">Based on </w:t>
      </w:r>
      <w:r w:rsidR="00284947">
        <w:rPr>
          <w:rFonts w:cstheme="minorHAnsi"/>
        </w:rPr>
        <w:t>“</w:t>
      </w:r>
      <w:r w:rsidR="00821CEC" w:rsidRPr="00A03D56">
        <w:rPr>
          <w:rFonts w:cstheme="minorHAnsi"/>
        </w:rPr>
        <w:t>Annual Coarse Classification 1946-2010”</w:t>
      </w:r>
      <w:r w:rsidR="00821CEC">
        <w:rPr>
          <w:rFonts w:cstheme="minorHAnsi"/>
        </w:rPr>
        <w:t xml:space="preserve"> data in </w:t>
      </w:r>
      <w:proofErr w:type="spellStart"/>
      <w:r w:rsidR="00821CEC" w:rsidRPr="00821CEC">
        <w:rPr>
          <w:rFonts w:cstheme="minorHAnsi"/>
        </w:rPr>
        <w:t>Ilzetzki</w:t>
      </w:r>
      <w:proofErr w:type="spellEnd"/>
      <w:r w:rsidR="00821CEC" w:rsidRPr="00821CEC">
        <w:rPr>
          <w:rFonts w:cstheme="minorHAnsi"/>
        </w:rPr>
        <w:t>, Ethan, Carmen M. Reinhart</w:t>
      </w:r>
      <w:r w:rsidR="00DC0EB7">
        <w:rPr>
          <w:rFonts w:cstheme="minorHAnsi"/>
        </w:rPr>
        <w:t>,</w:t>
      </w:r>
      <w:r w:rsidR="00821CEC" w:rsidRPr="00821CEC">
        <w:rPr>
          <w:rFonts w:cstheme="minorHAnsi"/>
        </w:rPr>
        <w:t xml:space="preserve"> and Kenneth S. </w:t>
      </w:r>
      <w:proofErr w:type="spellStart"/>
      <w:r w:rsidR="00821CEC" w:rsidRPr="00821CEC">
        <w:rPr>
          <w:rFonts w:cstheme="minorHAnsi"/>
        </w:rPr>
        <w:t>Rogoff</w:t>
      </w:r>
      <w:proofErr w:type="spellEnd"/>
      <w:r w:rsidR="00DC0EB7">
        <w:rPr>
          <w:rFonts w:cstheme="minorHAnsi"/>
        </w:rPr>
        <w:t>,</w:t>
      </w:r>
      <w:r w:rsidR="00821CEC" w:rsidRPr="00821CEC">
        <w:rPr>
          <w:rFonts w:cstheme="minorHAnsi"/>
        </w:rPr>
        <w:t xml:space="preserve"> 2010</w:t>
      </w:r>
      <w:r w:rsidR="00DC0EB7">
        <w:rPr>
          <w:rFonts w:cstheme="minorHAnsi"/>
        </w:rPr>
        <w:t>,</w:t>
      </w:r>
      <w:r w:rsidR="00821CEC" w:rsidRPr="00821CEC">
        <w:rPr>
          <w:rFonts w:cstheme="minorHAnsi"/>
        </w:rPr>
        <w:t xml:space="preserve"> "Exchange Rate Arrangements Entering the 21st Century: Which Anchor Will Hold?"</w:t>
      </w:r>
      <w:r w:rsidR="00060D48" w:rsidRPr="00391E88">
        <w:rPr>
          <w:rFonts w:cstheme="minorHAnsi"/>
        </w:rPr>
        <w:t xml:space="preserve"> at </w:t>
      </w:r>
      <w:r w:rsidR="00060D48" w:rsidRPr="00BF3DCF">
        <w:rPr>
          <w:rFonts w:cstheme="minorHAnsi"/>
        </w:rPr>
        <w:t>http://personal.lse.ac.uk/ilzetzki/IRRBack.htm.</w:t>
      </w:r>
    </w:p>
    <w:p w:rsidR="000C0472" w:rsidRPr="00391E88" w:rsidRDefault="00391E88" w:rsidP="00391E88">
      <w:pPr>
        <w:rPr>
          <w:rFonts w:cstheme="minorHAnsi"/>
        </w:rPr>
      </w:pPr>
      <w:r w:rsidRPr="00391E88">
        <w:rPr>
          <w:rFonts w:cstheme="minorHAnsi"/>
          <w:b/>
        </w:rPr>
        <w:lastRenderedPageBreak/>
        <w:t>Worldwide Governance Indicators</w:t>
      </w:r>
      <w:r w:rsidR="000C0472" w:rsidRPr="00391E88">
        <w:rPr>
          <w:rFonts w:cstheme="minorHAnsi"/>
          <w:b/>
        </w:rPr>
        <w:t>:</w:t>
      </w:r>
      <w:r w:rsidR="000C0472" w:rsidRPr="00391E88">
        <w:rPr>
          <w:rFonts w:cstheme="minorHAnsi"/>
        </w:rPr>
        <w:t xml:space="preserve"> </w:t>
      </w:r>
      <w:r w:rsidR="00DC0EB7">
        <w:rPr>
          <w:rFonts w:cstheme="minorHAnsi"/>
        </w:rPr>
        <w:t>T</w:t>
      </w:r>
      <w:r w:rsidR="000C0472" w:rsidRPr="00391E88">
        <w:rPr>
          <w:rFonts w:cstheme="minorHAnsi"/>
        </w:rPr>
        <w:t>he average of the six broad dimensions of governance</w:t>
      </w:r>
      <w:r w:rsidRPr="00391E88">
        <w:rPr>
          <w:rFonts w:cstheme="minorHAnsi"/>
        </w:rPr>
        <w:t xml:space="preserve"> (voice and accountability; political stability and absence of violence; government effectiveness; regulatory quality; rule of law; control of corruption) defined in the Worldwide Governance Indicators project</w:t>
      </w:r>
      <w:r w:rsidR="00572A6B" w:rsidRPr="00391E88">
        <w:rPr>
          <w:rFonts w:cstheme="minorHAnsi"/>
        </w:rPr>
        <w:t xml:space="preserve">. </w:t>
      </w:r>
      <w:r w:rsidRPr="00391E88">
        <w:rPr>
          <w:rFonts w:cstheme="minorHAnsi"/>
          <w:b/>
        </w:rPr>
        <w:t xml:space="preserve">Data source: </w:t>
      </w:r>
      <w:r w:rsidRPr="00391E88">
        <w:rPr>
          <w:rFonts w:cstheme="minorHAnsi"/>
        </w:rPr>
        <w:t xml:space="preserve">World Bank, </w:t>
      </w:r>
      <w:r w:rsidR="00572A6B" w:rsidRPr="00391E88">
        <w:rPr>
          <w:rFonts w:cstheme="minorHAnsi"/>
        </w:rPr>
        <w:t>Worldwide Governance Indicators, at http://info.worldbank.org/governance/wgi/index.asp</w:t>
      </w:r>
      <w:r w:rsidRPr="00391E88">
        <w:rPr>
          <w:rFonts w:cstheme="minorHAnsi"/>
        </w:rPr>
        <w:t>.</w:t>
      </w:r>
    </w:p>
    <w:p w:rsidR="006414E2" w:rsidRDefault="006414E2" w:rsidP="00C84EDE">
      <w:pPr>
        <w:pStyle w:val="Heading2"/>
        <w:spacing w:line="240" w:lineRule="auto"/>
      </w:pPr>
      <w:r>
        <w:t xml:space="preserve">Table 7: </w:t>
      </w:r>
      <w:r w:rsidR="003B260F" w:rsidRPr="003B260F">
        <w:t>Disasters and Climate Indicators</w:t>
      </w:r>
    </w:p>
    <w:p w:rsidR="00290C39" w:rsidRDefault="009763D5" w:rsidP="00290C39">
      <w:pPr>
        <w:spacing w:line="240" w:lineRule="auto"/>
      </w:pPr>
      <w:r>
        <w:rPr>
          <w:rFonts w:cstheme="minorHAnsi"/>
          <w:b/>
        </w:rPr>
        <w:t>D</w:t>
      </w:r>
      <w:r w:rsidR="00290C39">
        <w:rPr>
          <w:rFonts w:cstheme="minorHAnsi"/>
          <w:b/>
        </w:rPr>
        <w:t>eaths from natural disasters (total, per million)</w:t>
      </w:r>
      <w:r w:rsidR="00290C39" w:rsidRPr="00F91578">
        <w:t>:</w:t>
      </w:r>
      <w:r w:rsidR="00290C39">
        <w:t xml:space="preserve"> </w:t>
      </w:r>
      <w:r w:rsidR="001D1BA1">
        <w:t>T</w:t>
      </w:r>
      <w:r w:rsidR="00290C39">
        <w:t xml:space="preserve">he number of persons </w:t>
      </w:r>
      <w:r w:rsidR="00BF3DCF">
        <w:t>reported</w:t>
      </w:r>
      <w:r w:rsidR="00290C39">
        <w:t xml:space="preserve"> as dead </w:t>
      </w:r>
      <w:r w:rsidR="001D1BA1">
        <w:t xml:space="preserve">or </w:t>
      </w:r>
      <w:r w:rsidR="00290C39">
        <w:t>missing and presumed dead as a consequence of a drought, earthquake, flood</w:t>
      </w:r>
      <w:r w:rsidR="001D1BA1">
        <w:t>,</w:t>
      </w:r>
      <w:r w:rsidR="00290C39">
        <w:t xml:space="preserve"> or storm (as defined by the EM-DAT database) during  the specified time period. Deaths per million </w:t>
      </w:r>
      <w:proofErr w:type="gramStart"/>
      <w:r w:rsidR="00290C39">
        <w:t>population</w:t>
      </w:r>
      <w:proofErr w:type="gramEnd"/>
      <w:r w:rsidR="00290C39">
        <w:t xml:space="preserve"> is the number of deaths divided by the </w:t>
      </w:r>
      <w:r w:rsidR="00BF3DCF">
        <w:t>mid-period</w:t>
      </w:r>
      <w:r w:rsidR="00C275DD">
        <w:t xml:space="preserve"> population for the same time period</w:t>
      </w:r>
      <w:r w:rsidR="00290C39">
        <w:t xml:space="preserve">. </w:t>
      </w:r>
      <w:r w:rsidR="00290C39">
        <w:rPr>
          <w:b/>
        </w:rPr>
        <w:t>Data source</w:t>
      </w:r>
      <w:r w:rsidR="00BF460D">
        <w:rPr>
          <w:b/>
        </w:rPr>
        <w:t>s</w:t>
      </w:r>
      <w:r w:rsidR="00290C39">
        <w:rPr>
          <w:b/>
        </w:rPr>
        <w:t xml:space="preserve">: </w:t>
      </w:r>
      <w:proofErr w:type="spellStart"/>
      <w:r w:rsidR="00BF460D">
        <w:t>Guha</w:t>
      </w:r>
      <w:proofErr w:type="spellEnd"/>
      <w:r w:rsidR="00BF460D">
        <w:t xml:space="preserve">-Sapir, D., </w:t>
      </w:r>
      <w:r w:rsidR="001D1BA1">
        <w:t xml:space="preserve">and P. </w:t>
      </w:r>
      <w:proofErr w:type="spellStart"/>
      <w:r w:rsidR="00BF460D">
        <w:t>Heudtlass</w:t>
      </w:r>
      <w:proofErr w:type="spellEnd"/>
      <w:r w:rsidR="00BF460D">
        <w:t xml:space="preserve">, </w:t>
      </w:r>
      <w:r w:rsidR="001D1BA1">
        <w:t>2013,</w:t>
      </w:r>
      <w:r w:rsidR="00BF460D">
        <w:t xml:space="preserve"> “</w:t>
      </w:r>
      <w:r w:rsidR="00BF460D" w:rsidRPr="00BF460D">
        <w:t xml:space="preserve">Standardized </w:t>
      </w:r>
      <w:r w:rsidR="001D1BA1">
        <w:t>I</w:t>
      </w:r>
      <w:r w:rsidR="00BF460D" w:rsidRPr="00BF460D">
        <w:t xml:space="preserve">ndicators of </w:t>
      </w:r>
      <w:r w:rsidR="001D1BA1">
        <w:t>H</w:t>
      </w:r>
      <w:r w:rsidR="00BF460D" w:rsidRPr="00BF460D">
        <w:t xml:space="preserve">uman and </w:t>
      </w:r>
      <w:r w:rsidR="001D1BA1">
        <w:t>E</w:t>
      </w:r>
      <w:r w:rsidR="00BF460D" w:rsidRPr="00BF460D">
        <w:t xml:space="preserve">conomic </w:t>
      </w:r>
      <w:r w:rsidR="001D1BA1">
        <w:t>L</w:t>
      </w:r>
      <w:r w:rsidR="00BF460D" w:rsidRPr="00BF460D">
        <w:t xml:space="preserve">oss from </w:t>
      </w:r>
      <w:r w:rsidR="001D1BA1">
        <w:t>N</w:t>
      </w:r>
      <w:r w:rsidR="00BF460D" w:rsidRPr="00BF460D">
        <w:t xml:space="preserve">atural </w:t>
      </w:r>
      <w:r w:rsidR="001D1BA1">
        <w:t>D</w:t>
      </w:r>
      <w:r w:rsidR="00BF460D" w:rsidRPr="00BF460D">
        <w:t>isasters,</w:t>
      </w:r>
      <w:r w:rsidR="00BF460D">
        <w:t>”</w:t>
      </w:r>
      <w:r w:rsidR="00BF460D" w:rsidRPr="00BF460D">
        <w:t xml:space="preserve"> CRED working paper, IRSS, University of Louvain, Brussels</w:t>
      </w:r>
      <w:r w:rsidR="00BF460D">
        <w:t xml:space="preserve">; </w:t>
      </w:r>
      <w:r w:rsidR="00BF460D" w:rsidRPr="00BF460D">
        <w:t>EM</w:t>
      </w:r>
      <w:r w:rsidR="00BF460D" w:rsidRPr="00597CAF">
        <w:t xml:space="preserve">-DAT: The OFDA/CRED </w:t>
      </w:r>
      <w:r w:rsidR="00BF460D">
        <w:t>International Disaster Database, at http://www.emdat.</w:t>
      </w:r>
      <w:r w:rsidR="00B5325A">
        <w:t>be</w:t>
      </w:r>
      <w:r w:rsidR="00BF460D">
        <w:t>.</w:t>
      </w:r>
    </w:p>
    <w:p w:rsidR="009763D5" w:rsidRDefault="009763D5" w:rsidP="009763D5">
      <w:pPr>
        <w:spacing w:line="240" w:lineRule="auto"/>
      </w:pPr>
      <w:r>
        <w:rPr>
          <w:rFonts w:cstheme="minorHAnsi"/>
          <w:b/>
        </w:rPr>
        <w:t xml:space="preserve">Damages from natural disasters (total, </w:t>
      </w:r>
      <w:r w:rsidR="00C275DD">
        <w:rPr>
          <w:rFonts w:cstheme="minorHAnsi"/>
          <w:b/>
        </w:rPr>
        <w:t>% GDP</w:t>
      </w:r>
      <w:r>
        <w:rPr>
          <w:rFonts w:cstheme="minorHAnsi"/>
          <w:b/>
        </w:rPr>
        <w:t>)</w:t>
      </w:r>
      <w:r w:rsidRPr="00F91578">
        <w:t>:</w:t>
      </w:r>
      <w:r>
        <w:t xml:space="preserve"> </w:t>
      </w:r>
      <w:r w:rsidR="001D1BA1">
        <w:t>T</w:t>
      </w:r>
      <w:r>
        <w:t xml:space="preserve">he </w:t>
      </w:r>
      <w:r w:rsidR="00BF3DCF">
        <w:t xml:space="preserve">reported </w:t>
      </w:r>
      <w:r w:rsidR="00C275DD">
        <w:t>economic impact as a consequence of</w:t>
      </w:r>
      <w:r>
        <w:t xml:space="preserve"> drought</w:t>
      </w:r>
      <w:r w:rsidR="00C275DD">
        <w:t>s</w:t>
      </w:r>
      <w:r>
        <w:t>, earthquake</w:t>
      </w:r>
      <w:r w:rsidR="00C275DD">
        <w:t>s</w:t>
      </w:r>
      <w:r>
        <w:t>, flood</w:t>
      </w:r>
      <w:r w:rsidR="00C275DD">
        <w:t>s</w:t>
      </w:r>
      <w:r w:rsidR="001D1BA1">
        <w:t>,</w:t>
      </w:r>
      <w:r w:rsidR="00C275DD">
        <w:t xml:space="preserve"> and storms </w:t>
      </w:r>
      <w:r>
        <w:t xml:space="preserve">(as defined by the EM-DAT database) </w:t>
      </w:r>
      <w:r w:rsidR="00C37D6E">
        <w:t>during the</w:t>
      </w:r>
      <w:r>
        <w:t xml:space="preserve"> specified time period</w:t>
      </w:r>
      <w:r w:rsidR="00C275DD">
        <w:t>. Economic impact usually consists of direct (</w:t>
      </w:r>
      <w:r w:rsidR="001D1BA1">
        <w:t xml:space="preserve">such as </w:t>
      </w:r>
      <w:r w:rsidR="00C275DD">
        <w:t xml:space="preserve">damage to infrastructure, crops, </w:t>
      </w:r>
      <w:proofErr w:type="gramStart"/>
      <w:r w:rsidR="00C275DD">
        <w:t>housing</w:t>
      </w:r>
      <w:proofErr w:type="gramEnd"/>
      <w:r w:rsidR="00C275DD">
        <w:t>) and indirect (</w:t>
      </w:r>
      <w:r w:rsidR="001D1BA1">
        <w:t>such as</w:t>
      </w:r>
      <w:r w:rsidR="00C275DD">
        <w:t xml:space="preserve"> loss of revenues, unemployment, market destabilization) consequences on the local economy</w:t>
      </w:r>
      <w:r>
        <w:t xml:space="preserve">. </w:t>
      </w:r>
      <w:r w:rsidR="00291E03">
        <w:t>Total damages are in current US dollars, according to when the events occurred</w:t>
      </w:r>
      <w:r w:rsidR="00C37D6E">
        <w:t xml:space="preserve">. Damages as a percent of GDP is total </w:t>
      </w:r>
      <w:r w:rsidR="00BF3DCF">
        <w:t xml:space="preserve">reported </w:t>
      </w:r>
      <w:r w:rsidR="00C37D6E">
        <w:t xml:space="preserve">damages divided by the </w:t>
      </w:r>
      <w:r w:rsidR="00BF3DCF">
        <w:t xml:space="preserve">mid-period </w:t>
      </w:r>
      <w:r w:rsidR="005B4993">
        <w:t>GDP</w:t>
      </w:r>
      <w:r w:rsidR="00C37D6E">
        <w:t xml:space="preserve"> for the same time period. </w:t>
      </w:r>
      <w:r w:rsidR="00C37D6E" w:rsidRPr="00C37D6E">
        <w:rPr>
          <w:b/>
        </w:rPr>
        <w:t xml:space="preserve">Data </w:t>
      </w:r>
      <w:r>
        <w:rPr>
          <w:b/>
        </w:rPr>
        <w:t>source</w:t>
      </w:r>
      <w:r w:rsidR="00BF460D">
        <w:rPr>
          <w:b/>
        </w:rPr>
        <w:t>s</w:t>
      </w:r>
      <w:r>
        <w:rPr>
          <w:b/>
        </w:rPr>
        <w:t xml:space="preserve">: </w:t>
      </w:r>
      <w:proofErr w:type="spellStart"/>
      <w:r w:rsidR="00BF460D">
        <w:t>Guha</w:t>
      </w:r>
      <w:proofErr w:type="spellEnd"/>
      <w:r w:rsidR="00BF460D">
        <w:t xml:space="preserve">-Sapir, D., </w:t>
      </w:r>
      <w:r w:rsidR="001D1BA1">
        <w:t xml:space="preserve">and P. </w:t>
      </w:r>
      <w:proofErr w:type="spellStart"/>
      <w:r w:rsidR="00BF460D">
        <w:t>Heudtlass</w:t>
      </w:r>
      <w:proofErr w:type="spellEnd"/>
      <w:r w:rsidR="00BF460D">
        <w:t xml:space="preserve">, </w:t>
      </w:r>
      <w:r w:rsidR="001D1BA1">
        <w:t>2013</w:t>
      </w:r>
      <w:r w:rsidR="00BF460D">
        <w:t>, “</w:t>
      </w:r>
      <w:r w:rsidR="00BF460D" w:rsidRPr="00BF460D">
        <w:t xml:space="preserve">Standardized </w:t>
      </w:r>
      <w:r w:rsidR="001D1BA1">
        <w:t>I</w:t>
      </w:r>
      <w:r w:rsidR="00BF460D" w:rsidRPr="00BF460D">
        <w:t xml:space="preserve">ndicators of </w:t>
      </w:r>
      <w:r w:rsidR="001D1BA1">
        <w:t>H</w:t>
      </w:r>
      <w:r w:rsidR="00BF460D" w:rsidRPr="00BF460D">
        <w:t xml:space="preserve">uman and </w:t>
      </w:r>
      <w:r w:rsidR="001D1BA1">
        <w:t>E</w:t>
      </w:r>
      <w:r w:rsidR="00BF460D" w:rsidRPr="00BF460D">
        <w:t xml:space="preserve">conomic </w:t>
      </w:r>
      <w:r w:rsidR="001D1BA1">
        <w:t>L</w:t>
      </w:r>
      <w:r w:rsidR="00BF460D" w:rsidRPr="00BF460D">
        <w:t xml:space="preserve">oss from </w:t>
      </w:r>
      <w:r w:rsidR="001D1BA1">
        <w:t>N</w:t>
      </w:r>
      <w:r w:rsidR="00BF460D" w:rsidRPr="00BF460D">
        <w:t xml:space="preserve">atural </w:t>
      </w:r>
      <w:r w:rsidR="001D1BA1">
        <w:t>D</w:t>
      </w:r>
      <w:r w:rsidR="00BF460D" w:rsidRPr="00BF460D">
        <w:t>isasters,</w:t>
      </w:r>
      <w:r w:rsidR="00BF460D">
        <w:t>”</w:t>
      </w:r>
      <w:r w:rsidR="00BF460D" w:rsidRPr="00BF460D">
        <w:t xml:space="preserve"> CRED working paper, IRSS, University of Louvain, Brussels</w:t>
      </w:r>
      <w:r w:rsidR="00BF460D">
        <w:t xml:space="preserve">; </w:t>
      </w:r>
      <w:r w:rsidR="00BF460D" w:rsidRPr="00BF460D">
        <w:t>EM</w:t>
      </w:r>
      <w:r w:rsidR="00BF460D" w:rsidRPr="00597CAF">
        <w:t xml:space="preserve">-DAT: The OFDA/CRED </w:t>
      </w:r>
      <w:r w:rsidR="00BF460D">
        <w:t>International Disaster Database, at http://www.emdat.</w:t>
      </w:r>
      <w:r w:rsidR="00B5325A">
        <w:t>be</w:t>
      </w:r>
      <w:r w:rsidR="00BF460D">
        <w:t>.</w:t>
      </w:r>
    </w:p>
    <w:p w:rsidR="00943938" w:rsidRPr="00642D83" w:rsidRDefault="00943938" w:rsidP="00C37D6E">
      <w:pPr>
        <w:rPr>
          <w:rFonts w:cstheme="minorHAnsi"/>
          <w:color w:val="0D0D0D" w:themeColor="text1" w:themeTint="F2"/>
        </w:rPr>
      </w:pPr>
      <w:r>
        <w:rPr>
          <w:rFonts w:cstheme="minorHAnsi"/>
          <w:b/>
          <w:color w:val="0D0D0D" w:themeColor="text1" w:themeTint="F2"/>
        </w:rPr>
        <w:t>Carbon dioxide</w:t>
      </w:r>
      <w:r w:rsidRPr="00642D83">
        <w:rPr>
          <w:rFonts w:cstheme="minorHAnsi"/>
          <w:b/>
          <w:color w:val="0D0D0D" w:themeColor="text1" w:themeTint="F2"/>
        </w:rPr>
        <w:t xml:space="preserve"> </w:t>
      </w:r>
      <w:r w:rsidR="00297D1F" w:rsidRPr="00642D83">
        <w:rPr>
          <w:rFonts w:cstheme="minorHAnsi"/>
          <w:b/>
          <w:color w:val="0D0D0D" w:themeColor="text1" w:themeTint="F2"/>
        </w:rPr>
        <w:t>emissions per capita</w:t>
      </w:r>
      <w:r w:rsidR="005657CA" w:rsidRPr="00642D83">
        <w:rPr>
          <w:rFonts w:cstheme="minorHAnsi"/>
          <w:b/>
          <w:color w:val="0D0D0D" w:themeColor="text1" w:themeTint="F2"/>
        </w:rPr>
        <w:t>:</w:t>
      </w:r>
      <w:r w:rsidR="00A06A08" w:rsidRPr="00642D83">
        <w:rPr>
          <w:rFonts w:cstheme="minorHAnsi"/>
          <w:b/>
          <w:color w:val="0D0D0D" w:themeColor="text1" w:themeTint="F2"/>
        </w:rPr>
        <w:t xml:space="preserve"> </w:t>
      </w:r>
      <w:r w:rsidR="00DE0E3D">
        <w:rPr>
          <w:rFonts w:cstheme="minorHAnsi"/>
          <w:b/>
          <w:color w:val="0D0D0D" w:themeColor="text1" w:themeTint="F2"/>
        </w:rPr>
        <w:t>E</w:t>
      </w:r>
      <w:r>
        <w:t>missions from the burning of fossil fuels and the manufacture of cement</w:t>
      </w:r>
      <w:r w:rsidR="00DE0E3D">
        <w:t xml:space="preserve">, </w:t>
      </w:r>
      <w:r>
        <w:t>includ</w:t>
      </w:r>
      <w:r w:rsidR="00DE0E3D">
        <w:t>ing</w:t>
      </w:r>
      <w:r>
        <w:t xml:space="preserve"> carbon dioxide produced during consumption of solid, liquid, and gas fuels and gas flaring, divided by midyear population. </w:t>
      </w:r>
      <w:r>
        <w:rPr>
          <w:b/>
          <w:bCs/>
        </w:rPr>
        <w:t>Data source</w:t>
      </w:r>
      <w:r w:rsidR="00304FE2">
        <w:rPr>
          <w:b/>
          <w:bCs/>
        </w:rPr>
        <w:t>s</w:t>
      </w:r>
      <w:r>
        <w:rPr>
          <w:b/>
          <w:bCs/>
        </w:rPr>
        <w:t xml:space="preserve">: </w:t>
      </w:r>
      <w:r>
        <w:t xml:space="preserve">Carbon Dioxide Information Analysis Center, Oak Ridge National Laboratory, at </w:t>
      </w:r>
      <w:hyperlink r:id="rId21" w:history="1">
        <w:r w:rsidR="00304FE2" w:rsidRPr="000E1E06">
          <w:rPr>
            <w:rStyle w:val="Hyperlink"/>
          </w:rPr>
          <w:t>http://cdiac.ornl.gov</w:t>
        </w:r>
      </w:hyperlink>
      <w:r w:rsidR="00304FE2">
        <w:rPr>
          <w:color w:val="0000FF"/>
          <w:u w:val="single"/>
        </w:rPr>
        <w:t>; population data from World Development Indicators, http://data.worldbank.org/indicator/SP.POP.TOTL</w:t>
      </w:r>
      <w:r>
        <w:t>.</w:t>
      </w:r>
    </w:p>
    <w:p w:rsidR="003B260F" w:rsidRDefault="003B260F" w:rsidP="003B260F">
      <w:pPr>
        <w:pStyle w:val="Heading2"/>
        <w:spacing w:line="240" w:lineRule="auto"/>
      </w:pPr>
      <w:r>
        <w:t xml:space="preserve">Table 9: </w:t>
      </w:r>
      <w:r w:rsidRPr="003B260F">
        <w:t>Global Tempera</w:t>
      </w:r>
      <w:r>
        <w:t>ture Anomalies Relative to 1951–</w:t>
      </w:r>
      <w:r w:rsidRPr="003B260F">
        <w:t>1980</w:t>
      </w:r>
    </w:p>
    <w:p w:rsidR="003B260F" w:rsidRPr="00273D3F" w:rsidRDefault="003B260F" w:rsidP="003B260F">
      <w:pPr>
        <w:rPr>
          <w:b/>
        </w:rPr>
      </w:pPr>
      <w:r>
        <w:t xml:space="preserve">Temperature anomalies are global average temperatures relative to the same time of year in the base period 1951–1980. Temperature anomalies are shown in degrees Celsius.   </w:t>
      </w:r>
      <w:r>
        <w:rPr>
          <w:b/>
        </w:rPr>
        <w:t xml:space="preserve">Data Source: </w:t>
      </w:r>
      <w:r w:rsidRPr="002D1AE3">
        <w:t xml:space="preserve">Combined Land-Surface Air and Sea-Surface Water Temperature Anomalies </w:t>
      </w:r>
      <w:r>
        <w:t xml:space="preserve">dataset </w:t>
      </w:r>
      <w:r w:rsidRPr="002D1AE3">
        <w:t>(Land-Ocean Temperature Index, LOTI)</w:t>
      </w:r>
      <w:r>
        <w:t xml:space="preserve">, </w:t>
      </w:r>
      <w:r w:rsidRPr="00291E03">
        <w:t xml:space="preserve">NASA, at </w:t>
      </w:r>
      <w:hyperlink r:id="rId22" w:history="1">
        <w:r w:rsidRPr="00291E03">
          <w:rPr>
            <w:rStyle w:val="Hyperlink"/>
          </w:rPr>
          <w:t>http://data.giss.nasa.gov/gistemp</w:t>
        </w:r>
      </w:hyperlink>
      <w:r w:rsidRPr="00291E03">
        <w:t>.</w:t>
      </w:r>
    </w:p>
    <w:p w:rsidR="006414E2" w:rsidRDefault="003B260F" w:rsidP="00C84EDE">
      <w:pPr>
        <w:pStyle w:val="Heading2"/>
        <w:spacing w:line="240" w:lineRule="auto"/>
      </w:pPr>
      <w:r>
        <w:t>Table 10</w:t>
      </w:r>
      <w:r w:rsidR="006414E2">
        <w:t>: Aid Commitments</w:t>
      </w:r>
    </w:p>
    <w:p w:rsidR="00106A31" w:rsidRPr="00521FB2" w:rsidRDefault="00106A31" w:rsidP="00C37D6E">
      <w:r>
        <w:t xml:space="preserve">Aid commitments for Emergency Response, Reconstruction Relief, and Prevention </w:t>
      </w:r>
      <w:r w:rsidR="00284947">
        <w:t>and</w:t>
      </w:r>
      <w:r>
        <w:t xml:space="preserve"> Preparedness: </w:t>
      </w:r>
      <w:r w:rsidR="00DE0E3D">
        <w:t>C</w:t>
      </w:r>
      <w:r>
        <w:t>ommitment amounts are in constant 2009 US</w:t>
      </w:r>
      <w:r w:rsidR="00DE0E3D">
        <w:t xml:space="preserve"> dollars</w:t>
      </w:r>
      <w:r>
        <w:t xml:space="preserve"> and are five</w:t>
      </w:r>
      <w:r w:rsidR="00DE0E3D">
        <w:t>-</w:t>
      </w:r>
      <w:r>
        <w:t xml:space="preserve">year running averages. These amounts are aggregated from </w:t>
      </w:r>
      <w:proofErr w:type="spellStart"/>
      <w:r>
        <w:t>AidData</w:t>
      </w:r>
      <w:proofErr w:type="spellEnd"/>
      <w:r>
        <w:t xml:space="preserve"> project</w:t>
      </w:r>
      <w:r w:rsidR="00DE0E3D">
        <w:t>–</w:t>
      </w:r>
      <w:r>
        <w:t xml:space="preserve">level results and are collected from many sources including OECD’s Creditor Reporting System. </w:t>
      </w:r>
      <w:r>
        <w:rPr>
          <w:b/>
          <w:bCs/>
        </w:rPr>
        <w:t xml:space="preserve">Data source: </w:t>
      </w:r>
      <w:r w:rsidR="00AD2EBD" w:rsidRPr="00AD2EBD">
        <w:rPr>
          <w:bCs/>
        </w:rPr>
        <w:t xml:space="preserve">Disaster Aid Tracking Global Facility for Disaster Reduction and Recovery, at </w:t>
      </w:r>
      <w:hyperlink r:id="rId23" w:history="1">
        <w:r w:rsidR="00C37D6E" w:rsidRPr="00807839">
          <w:rPr>
            <w:rStyle w:val="Hyperlink"/>
            <w:bCs/>
          </w:rPr>
          <w:t>http://gfdrr.aiddata.org/dashboard</w:t>
        </w:r>
      </w:hyperlink>
      <w:r w:rsidR="00C37D6E">
        <w:rPr>
          <w:bCs/>
        </w:rPr>
        <w:t xml:space="preserve">; </w:t>
      </w:r>
      <w:proofErr w:type="spellStart"/>
      <w:r w:rsidR="00AD2EBD" w:rsidRPr="00AD2EBD">
        <w:rPr>
          <w:bCs/>
        </w:rPr>
        <w:t>AidData</w:t>
      </w:r>
      <w:proofErr w:type="spellEnd"/>
      <w:r w:rsidR="00AD2EBD" w:rsidRPr="00AD2EBD">
        <w:rPr>
          <w:bCs/>
        </w:rPr>
        <w:t xml:space="preserve"> Center for Development Policy, at http://www.aiddata.org/content/index/Research/research-datasets.</w:t>
      </w:r>
    </w:p>
    <w:sectPr w:rsidR="00106A31" w:rsidRPr="00521FB2" w:rsidSect="00B4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579E8"/>
    <w:multiLevelType w:val="hybridMultilevel"/>
    <w:tmpl w:val="03124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FC2421"/>
    <w:multiLevelType w:val="hybridMultilevel"/>
    <w:tmpl w:val="6BBE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077D19"/>
    <w:rsid w:val="00003C0E"/>
    <w:rsid w:val="00011E0D"/>
    <w:rsid w:val="00014E76"/>
    <w:rsid w:val="0002264C"/>
    <w:rsid w:val="00035EB7"/>
    <w:rsid w:val="0003645C"/>
    <w:rsid w:val="000420F1"/>
    <w:rsid w:val="00060D48"/>
    <w:rsid w:val="00065152"/>
    <w:rsid w:val="00067A1D"/>
    <w:rsid w:val="00070294"/>
    <w:rsid w:val="00070587"/>
    <w:rsid w:val="00070FBE"/>
    <w:rsid w:val="00071830"/>
    <w:rsid w:val="00071CC1"/>
    <w:rsid w:val="00071F37"/>
    <w:rsid w:val="00077D19"/>
    <w:rsid w:val="0008485A"/>
    <w:rsid w:val="0008636A"/>
    <w:rsid w:val="0009296F"/>
    <w:rsid w:val="00093F39"/>
    <w:rsid w:val="000A1E37"/>
    <w:rsid w:val="000A2433"/>
    <w:rsid w:val="000A414D"/>
    <w:rsid w:val="000B125F"/>
    <w:rsid w:val="000B295C"/>
    <w:rsid w:val="000B30A7"/>
    <w:rsid w:val="000B37A3"/>
    <w:rsid w:val="000C0472"/>
    <w:rsid w:val="000C1791"/>
    <w:rsid w:val="000D1DA8"/>
    <w:rsid w:val="000D7956"/>
    <w:rsid w:val="000E0C8D"/>
    <w:rsid w:val="000E5974"/>
    <w:rsid w:val="000E5E5D"/>
    <w:rsid w:val="000E79C2"/>
    <w:rsid w:val="000F04AA"/>
    <w:rsid w:val="000F0D77"/>
    <w:rsid w:val="000F12DC"/>
    <w:rsid w:val="000F4CBB"/>
    <w:rsid w:val="00105647"/>
    <w:rsid w:val="00105D48"/>
    <w:rsid w:val="00106A31"/>
    <w:rsid w:val="0010769C"/>
    <w:rsid w:val="00116018"/>
    <w:rsid w:val="00117DD9"/>
    <w:rsid w:val="00120030"/>
    <w:rsid w:val="00121AB7"/>
    <w:rsid w:val="001229F5"/>
    <w:rsid w:val="0014066A"/>
    <w:rsid w:val="00146526"/>
    <w:rsid w:val="00147B85"/>
    <w:rsid w:val="00152474"/>
    <w:rsid w:val="00155D7E"/>
    <w:rsid w:val="00162AF5"/>
    <w:rsid w:val="00165F12"/>
    <w:rsid w:val="00170246"/>
    <w:rsid w:val="001750D7"/>
    <w:rsid w:val="00175750"/>
    <w:rsid w:val="0018149B"/>
    <w:rsid w:val="00186BFE"/>
    <w:rsid w:val="001906F6"/>
    <w:rsid w:val="0019612E"/>
    <w:rsid w:val="001A0A40"/>
    <w:rsid w:val="001A3E0D"/>
    <w:rsid w:val="001B0B95"/>
    <w:rsid w:val="001B17B5"/>
    <w:rsid w:val="001B1B72"/>
    <w:rsid w:val="001B54BE"/>
    <w:rsid w:val="001C1286"/>
    <w:rsid w:val="001C1516"/>
    <w:rsid w:val="001C1BF7"/>
    <w:rsid w:val="001C5A20"/>
    <w:rsid w:val="001D1BA1"/>
    <w:rsid w:val="001E1808"/>
    <w:rsid w:val="001F2A37"/>
    <w:rsid w:val="001F4AFB"/>
    <w:rsid w:val="001F4E65"/>
    <w:rsid w:val="002018B4"/>
    <w:rsid w:val="0020408B"/>
    <w:rsid w:val="002055C4"/>
    <w:rsid w:val="00211BB3"/>
    <w:rsid w:val="00224E19"/>
    <w:rsid w:val="0023273A"/>
    <w:rsid w:val="00244007"/>
    <w:rsid w:val="00251B51"/>
    <w:rsid w:val="00251F9D"/>
    <w:rsid w:val="0025248B"/>
    <w:rsid w:val="002553BC"/>
    <w:rsid w:val="002557D4"/>
    <w:rsid w:val="00257CF1"/>
    <w:rsid w:val="00262206"/>
    <w:rsid w:val="002636FE"/>
    <w:rsid w:val="002670BD"/>
    <w:rsid w:val="00271848"/>
    <w:rsid w:val="002733B5"/>
    <w:rsid w:val="00273D3F"/>
    <w:rsid w:val="002837EA"/>
    <w:rsid w:val="0028417D"/>
    <w:rsid w:val="00284947"/>
    <w:rsid w:val="00290675"/>
    <w:rsid w:val="00290C39"/>
    <w:rsid w:val="00291C60"/>
    <w:rsid w:val="00291E03"/>
    <w:rsid w:val="00297D1F"/>
    <w:rsid w:val="002A172A"/>
    <w:rsid w:val="002C04D5"/>
    <w:rsid w:val="002C0825"/>
    <w:rsid w:val="002C62F1"/>
    <w:rsid w:val="002D1A71"/>
    <w:rsid w:val="002D1AE3"/>
    <w:rsid w:val="002D5A4E"/>
    <w:rsid w:val="002E564A"/>
    <w:rsid w:val="002E57AB"/>
    <w:rsid w:val="002E5E24"/>
    <w:rsid w:val="002E6E8F"/>
    <w:rsid w:val="002E7AC3"/>
    <w:rsid w:val="002F1A46"/>
    <w:rsid w:val="002F1D82"/>
    <w:rsid w:val="002F7C98"/>
    <w:rsid w:val="00300F96"/>
    <w:rsid w:val="00302FFB"/>
    <w:rsid w:val="00304FE2"/>
    <w:rsid w:val="003253C8"/>
    <w:rsid w:val="00335497"/>
    <w:rsid w:val="00336B7A"/>
    <w:rsid w:val="003441FC"/>
    <w:rsid w:val="0035686B"/>
    <w:rsid w:val="00357D27"/>
    <w:rsid w:val="00364A25"/>
    <w:rsid w:val="00364D3F"/>
    <w:rsid w:val="00376811"/>
    <w:rsid w:val="003775B5"/>
    <w:rsid w:val="0038170C"/>
    <w:rsid w:val="0038442D"/>
    <w:rsid w:val="0038444B"/>
    <w:rsid w:val="00386647"/>
    <w:rsid w:val="00391E88"/>
    <w:rsid w:val="00393A83"/>
    <w:rsid w:val="0039789C"/>
    <w:rsid w:val="003B260F"/>
    <w:rsid w:val="003B7CC3"/>
    <w:rsid w:val="003B7F3D"/>
    <w:rsid w:val="003C1A61"/>
    <w:rsid w:val="003C3992"/>
    <w:rsid w:val="003C4719"/>
    <w:rsid w:val="003C6A71"/>
    <w:rsid w:val="003D231F"/>
    <w:rsid w:val="003D2B5B"/>
    <w:rsid w:val="003D35AE"/>
    <w:rsid w:val="003D4C3D"/>
    <w:rsid w:val="003E658E"/>
    <w:rsid w:val="003F0E2C"/>
    <w:rsid w:val="003F37A4"/>
    <w:rsid w:val="003F43B7"/>
    <w:rsid w:val="00402A06"/>
    <w:rsid w:val="004052C1"/>
    <w:rsid w:val="00410C42"/>
    <w:rsid w:val="00421D43"/>
    <w:rsid w:val="00424EA4"/>
    <w:rsid w:val="00440489"/>
    <w:rsid w:val="004408EE"/>
    <w:rsid w:val="00441A5F"/>
    <w:rsid w:val="004469F7"/>
    <w:rsid w:val="004472B2"/>
    <w:rsid w:val="004560C6"/>
    <w:rsid w:val="00457F4F"/>
    <w:rsid w:val="00461A95"/>
    <w:rsid w:val="00462E2C"/>
    <w:rsid w:val="00464780"/>
    <w:rsid w:val="004677AD"/>
    <w:rsid w:val="00472449"/>
    <w:rsid w:val="00473658"/>
    <w:rsid w:val="004744B4"/>
    <w:rsid w:val="004752A7"/>
    <w:rsid w:val="00476BEF"/>
    <w:rsid w:val="00476F7C"/>
    <w:rsid w:val="00480553"/>
    <w:rsid w:val="004834D3"/>
    <w:rsid w:val="0048515A"/>
    <w:rsid w:val="00486061"/>
    <w:rsid w:val="00486432"/>
    <w:rsid w:val="00494256"/>
    <w:rsid w:val="004B3398"/>
    <w:rsid w:val="004B7D1E"/>
    <w:rsid w:val="004D1153"/>
    <w:rsid w:val="004D3172"/>
    <w:rsid w:val="004D774B"/>
    <w:rsid w:val="004E3FF4"/>
    <w:rsid w:val="004E4ABB"/>
    <w:rsid w:val="004E4FB9"/>
    <w:rsid w:val="004E6783"/>
    <w:rsid w:val="004F2176"/>
    <w:rsid w:val="004F3DDD"/>
    <w:rsid w:val="004F4E2B"/>
    <w:rsid w:val="004F72B2"/>
    <w:rsid w:val="00500B76"/>
    <w:rsid w:val="00500BEF"/>
    <w:rsid w:val="00504F29"/>
    <w:rsid w:val="00506208"/>
    <w:rsid w:val="005111B1"/>
    <w:rsid w:val="00515428"/>
    <w:rsid w:val="005207C0"/>
    <w:rsid w:val="00520AD8"/>
    <w:rsid w:val="00520D02"/>
    <w:rsid w:val="00521FB2"/>
    <w:rsid w:val="005227D8"/>
    <w:rsid w:val="00524970"/>
    <w:rsid w:val="00536264"/>
    <w:rsid w:val="005515AC"/>
    <w:rsid w:val="005518AA"/>
    <w:rsid w:val="00556C0F"/>
    <w:rsid w:val="00562A84"/>
    <w:rsid w:val="00564A37"/>
    <w:rsid w:val="005657CA"/>
    <w:rsid w:val="00565D3F"/>
    <w:rsid w:val="005676C6"/>
    <w:rsid w:val="00572A6B"/>
    <w:rsid w:val="00572FE7"/>
    <w:rsid w:val="00574C3E"/>
    <w:rsid w:val="00576BE6"/>
    <w:rsid w:val="00580B10"/>
    <w:rsid w:val="00597CAF"/>
    <w:rsid w:val="005A348D"/>
    <w:rsid w:val="005B3841"/>
    <w:rsid w:val="005B4993"/>
    <w:rsid w:val="005B6963"/>
    <w:rsid w:val="005C1D3D"/>
    <w:rsid w:val="005C1DD6"/>
    <w:rsid w:val="005C37AB"/>
    <w:rsid w:val="005D3C95"/>
    <w:rsid w:val="005D526E"/>
    <w:rsid w:val="005D59F3"/>
    <w:rsid w:val="005E3018"/>
    <w:rsid w:val="005E554B"/>
    <w:rsid w:val="005F6C91"/>
    <w:rsid w:val="006056DE"/>
    <w:rsid w:val="00605BD9"/>
    <w:rsid w:val="00606D66"/>
    <w:rsid w:val="006076F4"/>
    <w:rsid w:val="00611941"/>
    <w:rsid w:val="00622832"/>
    <w:rsid w:val="00623C14"/>
    <w:rsid w:val="006265AF"/>
    <w:rsid w:val="006414E2"/>
    <w:rsid w:val="00642D83"/>
    <w:rsid w:val="006437E5"/>
    <w:rsid w:val="00644533"/>
    <w:rsid w:val="00645AD5"/>
    <w:rsid w:val="00647D3D"/>
    <w:rsid w:val="006503AD"/>
    <w:rsid w:val="00650772"/>
    <w:rsid w:val="00655728"/>
    <w:rsid w:val="00655F1A"/>
    <w:rsid w:val="006665D7"/>
    <w:rsid w:val="006666F2"/>
    <w:rsid w:val="00667044"/>
    <w:rsid w:val="00670C2D"/>
    <w:rsid w:val="006839CA"/>
    <w:rsid w:val="006844C8"/>
    <w:rsid w:val="006936D6"/>
    <w:rsid w:val="006A1D30"/>
    <w:rsid w:val="006A2FBD"/>
    <w:rsid w:val="006A5852"/>
    <w:rsid w:val="006A7AE0"/>
    <w:rsid w:val="006B2035"/>
    <w:rsid w:val="006C1ABD"/>
    <w:rsid w:val="006C2F81"/>
    <w:rsid w:val="006C6708"/>
    <w:rsid w:val="006C6CB3"/>
    <w:rsid w:val="006D4682"/>
    <w:rsid w:val="006D7BC8"/>
    <w:rsid w:val="006E5CE6"/>
    <w:rsid w:val="006F0A8A"/>
    <w:rsid w:val="006F3B50"/>
    <w:rsid w:val="00702B1B"/>
    <w:rsid w:val="0070733F"/>
    <w:rsid w:val="0071432C"/>
    <w:rsid w:val="00716E97"/>
    <w:rsid w:val="00717207"/>
    <w:rsid w:val="00717DCE"/>
    <w:rsid w:val="007205F7"/>
    <w:rsid w:val="00720C77"/>
    <w:rsid w:val="00722956"/>
    <w:rsid w:val="007364FD"/>
    <w:rsid w:val="00744A65"/>
    <w:rsid w:val="007453D4"/>
    <w:rsid w:val="007565D2"/>
    <w:rsid w:val="007576DA"/>
    <w:rsid w:val="007646AB"/>
    <w:rsid w:val="00770A7D"/>
    <w:rsid w:val="0077442A"/>
    <w:rsid w:val="00776CA4"/>
    <w:rsid w:val="00781595"/>
    <w:rsid w:val="00787AF0"/>
    <w:rsid w:val="00794076"/>
    <w:rsid w:val="007A65E5"/>
    <w:rsid w:val="007B28EE"/>
    <w:rsid w:val="007B68F9"/>
    <w:rsid w:val="007B76A1"/>
    <w:rsid w:val="007C0B78"/>
    <w:rsid w:val="007C5D66"/>
    <w:rsid w:val="007D35EE"/>
    <w:rsid w:val="007D3C1D"/>
    <w:rsid w:val="007E07D6"/>
    <w:rsid w:val="007E7EBD"/>
    <w:rsid w:val="007F060C"/>
    <w:rsid w:val="007F0D6F"/>
    <w:rsid w:val="00800046"/>
    <w:rsid w:val="008007D4"/>
    <w:rsid w:val="00807483"/>
    <w:rsid w:val="00810BF5"/>
    <w:rsid w:val="0081185A"/>
    <w:rsid w:val="008168B6"/>
    <w:rsid w:val="00817604"/>
    <w:rsid w:val="008204BD"/>
    <w:rsid w:val="00821CEC"/>
    <w:rsid w:val="00823156"/>
    <w:rsid w:val="008231AA"/>
    <w:rsid w:val="0082338F"/>
    <w:rsid w:val="00825352"/>
    <w:rsid w:val="00826CCC"/>
    <w:rsid w:val="00834C78"/>
    <w:rsid w:val="0083525B"/>
    <w:rsid w:val="00835CFF"/>
    <w:rsid w:val="00837A95"/>
    <w:rsid w:val="00837E64"/>
    <w:rsid w:val="00846175"/>
    <w:rsid w:val="008471F2"/>
    <w:rsid w:val="00851F00"/>
    <w:rsid w:val="00856B76"/>
    <w:rsid w:val="00857D4E"/>
    <w:rsid w:val="00875ADE"/>
    <w:rsid w:val="00883B99"/>
    <w:rsid w:val="008840FA"/>
    <w:rsid w:val="008850ED"/>
    <w:rsid w:val="0089015D"/>
    <w:rsid w:val="00892FEE"/>
    <w:rsid w:val="008960FB"/>
    <w:rsid w:val="008A6D0F"/>
    <w:rsid w:val="008B1FFE"/>
    <w:rsid w:val="008C178F"/>
    <w:rsid w:val="008C2BD2"/>
    <w:rsid w:val="008C2C3A"/>
    <w:rsid w:val="008C4C30"/>
    <w:rsid w:val="008D4E33"/>
    <w:rsid w:val="008D7DBD"/>
    <w:rsid w:val="008E562A"/>
    <w:rsid w:val="008F231F"/>
    <w:rsid w:val="008F2A8B"/>
    <w:rsid w:val="008F2FF7"/>
    <w:rsid w:val="008F40AD"/>
    <w:rsid w:val="008F59AD"/>
    <w:rsid w:val="009009F6"/>
    <w:rsid w:val="00902361"/>
    <w:rsid w:val="009039E0"/>
    <w:rsid w:val="00904C1B"/>
    <w:rsid w:val="00911084"/>
    <w:rsid w:val="00911521"/>
    <w:rsid w:val="009207B8"/>
    <w:rsid w:val="0092343C"/>
    <w:rsid w:val="00935DE2"/>
    <w:rsid w:val="0094285D"/>
    <w:rsid w:val="00943938"/>
    <w:rsid w:val="00943D1C"/>
    <w:rsid w:val="00944A90"/>
    <w:rsid w:val="00944D73"/>
    <w:rsid w:val="00944F02"/>
    <w:rsid w:val="00945007"/>
    <w:rsid w:val="009538E6"/>
    <w:rsid w:val="00954564"/>
    <w:rsid w:val="009546A7"/>
    <w:rsid w:val="009600ED"/>
    <w:rsid w:val="00962474"/>
    <w:rsid w:val="009631F8"/>
    <w:rsid w:val="00965856"/>
    <w:rsid w:val="00967CEB"/>
    <w:rsid w:val="00972001"/>
    <w:rsid w:val="0097356A"/>
    <w:rsid w:val="009763D5"/>
    <w:rsid w:val="00980217"/>
    <w:rsid w:val="009858D6"/>
    <w:rsid w:val="00986157"/>
    <w:rsid w:val="00986269"/>
    <w:rsid w:val="009900C9"/>
    <w:rsid w:val="009950C7"/>
    <w:rsid w:val="00995D91"/>
    <w:rsid w:val="00996D41"/>
    <w:rsid w:val="009A22A0"/>
    <w:rsid w:val="009A36CF"/>
    <w:rsid w:val="009A4240"/>
    <w:rsid w:val="009B0DBB"/>
    <w:rsid w:val="009B31EB"/>
    <w:rsid w:val="009B41FE"/>
    <w:rsid w:val="009B600E"/>
    <w:rsid w:val="009C267E"/>
    <w:rsid w:val="009D45AB"/>
    <w:rsid w:val="009E7604"/>
    <w:rsid w:val="009F06E9"/>
    <w:rsid w:val="00A00A43"/>
    <w:rsid w:val="00A01360"/>
    <w:rsid w:val="00A05079"/>
    <w:rsid w:val="00A06A08"/>
    <w:rsid w:val="00A100AA"/>
    <w:rsid w:val="00A105BA"/>
    <w:rsid w:val="00A23893"/>
    <w:rsid w:val="00A255D4"/>
    <w:rsid w:val="00A31907"/>
    <w:rsid w:val="00A3788D"/>
    <w:rsid w:val="00A4045C"/>
    <w:rsid w:val="00A43C2E"/>
    <w:rsid w:val="00A45BDC"/>
    <w:rsid w:val="00A47DE1"/>
    <w:rsid w:val="00A5706E"/>
    <w:rsid w:val="00A57787"/>
    <w:rsid w:val="00A606EE"/>
    <w:rsid w:val="00A61F81"/>
    <w:rsid w:val="00A63436"/>
    <w:rsid w:val="00A702AB"/>
    <w:rsid w:val="00A70A56"/>
    <w:rsid w:val="00A710D8"/>
    <w:rsid w:val="00A72C3C"/>
    <w:rsid w:val="00A76A16"/>
    <w:rsid w:val="00A82B7B"/>
    <w:rsid w:val="00A84BDC"/>
    <w:rsid w:val="00A84E1A"/>
    <w:rsid w:val="00A9055B"/>
    <w:rsid w:val="00A95297"/>
    <w:rsid w:val="00A9630F"/>
    <w:rsid w:val="00A96490"/>
    <w:rsid w:val="00AA26BB"/>
    <w:rsid w:val="00AA371A"/>
    <w:rsid w:val="00AB3327"/>
    <w:rsid w:val="00AB5BF7"/>
    <w:rsid w:val="00AB678D"/>
    <w:rsid w:val="00AC219B"/>
    <w:rsid w:val="00AD2576"/>
    <w:rsid w:val="00AD2EBD"/>
    <w:rsid w:val="00AD50C4"/>
    <w:rsid w:val="00AE1C19"/>
    <w:rsid w:val="00AF04EB"/>
    <w:rsid w:val="00AF1077"/>
    <w:rsid w:val="00AF549B"/>
    <w:rsid w:val="00AF7E71"/>
    <w:rsid w:val="00B00DE9"/>
    <w:rsid w:val="00B048D0"/>
    <w:rsid w:val="00B12EE4"/>
    <w:rsid w:val="00B15E9D"/>
    <w:rsid w:val="00B27DD2"/>
    <w:rsid w:val="00B41313"/>
    <w:rsid w:val="00B466B9"/>
    <w:rsid w:val="00B4744E"/>
    <w:rsid w:val="00B511AB"/>
    <w:rsid w:val="00B51CA9"/>
    <w:rsid w:val="00B5325A"/>
    <w:rsid w:val="00B57D4D"/>
    <w:rsid w:val="00B6620E"/>
    <w:rsid w:val="00B755EC"/>
    <w:rsid w:val="00B7754A"/>
    <w:rsid w:val="00B81098"/>
    <w:rsid w:val="00B824BF"/>
    <w:rsid w:val="00B84E3C"/>
    <w:rsid w:val="00B87B67"/>
    <w:rsid w:val="00B87D42"/>
    <w:rsid w:val="00B90320"/>
    <w:rsid w:val="00B91EAC"/>
    <w:rsid w:val="00BA005B"/>
    <w:rsid w:val="00BA095D"/>
    <w:rsid w:val="00BA5B28"/>
    <w:rsid w:val="00BF2FFE"/>
    <w:rsid w:val="00BF36CE"/>
    <w:rsid w:val="00BF3DCF"/>
    <w:rsid w:val="00BF460D"/>
    <w:rsid w:val="00BF573A"/>
    <w:rsid w:val="00C00A21"/>
    <w:rsid w:val="00C012AB"/>
    <w:rsid w:val="00C04DA7"/>
    <w:rsid w:val="00C067ED"/>
    <w:rsid w:val="00C11A4D"/>
    <w:rsid w:val="00C136F1"/>
    <w:rsid w:val="00C275DD"/>
    <w:rsid w:val="00C30583"/>
    <w:rsid w:val="00C3098D"/>
    <w:rsid w:val="00C328CD"/>
    <w:rsid w:val="00C32E32"/>
    <w:rsid w:val="00C37D6E"/>
    <w:rsid w:val="00C42DB3"/>
    <w:rsid w:val="00C44705"/>
    <w:rsid w:val="00C47F90"/>
    <w:rsid w:val="00C531A3"/>
    <w:rsid w:val="00C5328A"/>
    <w:rsid w:val="00C649EA"/>
    <w:rsid w:val="00C747DC"/>
    <w:rsid w:val="00C75B5B"/>
    <w:rsid w:val="00C812A9"/>
    <w:rsid w:val="00C83060"/>
    <w:rsid w:val="00C84EDE"/>
    <w:rsid w:val="00C8708D"/>
    <w:rsid w:val="00C873B3"/>
    <w:rsid w:val="00C93E10"/>
    <w:rsid w:val="00CB7CD6"/>
    <w:rsid w:val="00CC37FC"/>
    <w:rsid w:val="00CC3BBB"/>
    <w:rsid w:val="00CD0988"/>
    <w:rsid w:val="00CD12C0"/>
    <w:rsid w:val="00CE11E6"/>
    <w:rsid w:val="00CE2245"/>
    <w:rsid w:val="00CE2274"/>
    <w:rsid w:val="00CE6152"/>
    <w:rsid w:val="00CF3400"/>
    <w:rsid w:val="00CF4745"/>
    <w:rsid w:val="00CF5FD4"/>
    <w:rsid w:val="00CF6FC3"/>
    <w:rsid w:val="00CF7407"/>
    <w:rsid w:val="00CF76C4"/>
    <w:rsid w:val="00D0238D"/>
    <w:rsid w:val="00D146B9"/>
    <w:rsid w:val="00D16E25"/>
    <w:rsid w:val="00D2458B"/>
    <w:rsid w:val="00D305DF"/>
    <w:rsid w:val="00D33433"/>
    <w:rsid w:val="00D33AE9"/>
    <w:rsid w:val="00D52FB6"/>
    <w:rsid w:val="00D555B1"/>
    <w:rsid w:val="00D63694"/>
    <w:rsid w:val="00D63EF9"/>
    <w:rsid w:val="00D77B9E"/>
    <w:rsid w:val="00D83142"/>
    <w:rsid w:val="00D959A4"/>
    <w:rsid w:val="00DA5AA7"/>
    <w:rsid w:val="00DB540D"/>
    <w:rsid w:val="00DC0C3D"/>
    <w:rsid w:val="00DC0EB7"/>
    <w:rsid w:val="00DC37DE"/>
    <w:rsid w:val="00DC46D7"/>
    <w:rsid w:val="00DD1266"/>
    <w:rsid w:val="00DD40E6"/>
    <w:rsid w:val="00DD61F1"/>
    <w:rsid w:val="00DD724E"/>
    <w:rsid w:val="00DE0E3D"/>
    <w:rsid w:val="00DE5C88"/>
    <w:rsid w:val="00DE6492"/>
    <w:rsid w:val="00DE7AAF"/>
    <w:rsid w:val="00DF1F69"/>
    <w:rsid w:val="00DF2948"/>
    <w:rsid w:val="00DF2D67"/>
    <w:rsid w:val="00E015FE"/>
    <w:rsid w:val="00E03713"/>
    <w:rsid w:val="00E050EA"/>
    <w:rsid w:val="00E104F2"/>
    <w:rsid w:val="00E110E1"/>
    <w:rsid w:val="00E11CED"/>
    <w:rsid w:val="00E17219"/>
    <w:rsid w:val="00E212B1"/>
    <w:rsid w:val="00E238AD"/>
    <w:rsid w:val="00E36647"/>
    <w:rsid w:val="00E4015A"/>
    <w:rsid w:val="00E45FB3"/>
    <w:rsid w:val="00E54F39"/>
    <w:rsid w:val="00E57C35"/>
    <w:rsid w:val="00E70F65"/>
    <w:rsid w:val="00E732A2"/>
    <w:rsid w:val="00E76612"/>
    <w:rsid w:val="00E80121"/>
    <w:rsid w:val="00E836A3"/>
    <w:rsid w:val="00E86448"/>
    <w:rsid w:val="00E9035B"/>
    <w:rsid w:val="00E93158"/>
    <w:rsid w:val="00E943F0"/>
    <w:rsid w:val="00EA4457"/>
    <w:rsid w:val="00EA45A1"/>
    <w:rsid w:val="00EB111F"/>
    <w:rsid w:val="00EB255E"/>
    <w:rsid w:val="00EB2DB3"/>
    <w:rsid w:val="00EB5151"/>
    <w:rsid w:val="00EB5B19"/>
    <w:rsid w:val="00EC0CD2"/>
    <w:rsid w:val="00EC4BE2"/>
    <w:rsid w:val="00EC69B8"/>
    <w:rsid w:val="00EC6E43"/>
    <w:rsid w:val="00ED5100"/>
    <w:rsid w:val="00ED7997"/>
    <w:rsid w:val="00ED7F4F"/>
    <w:rsid w:val="00EF4A17"/>
    <w:rsid w:val="00EF75B8"/>
    <w:rsid w:val="00F01D98"/>
    <w:rsid w:val="00F0223A"/>
    <w:rsid w:val="00F045DC"/>
    <w:rsid w:val="00F04D3F"/>
    <w:rsid w:val="00F1411F"/>
    <w:rsid w:val="00F17F3C"/>
    <w:rsid w:val="00F25442"/>
    <w:rsid w:val="00F33581"/>
    <w:rsid w:val="00F36E74"/>
    <w:rsid w:val="00F3726E"/>
    <w:rsid w:val="00F45A63"/>
    <w:rsid w:val="00F5142A"/>
    <w:rsid w:val="00F6061C"/>
    <w:rsid w:val="00F6515A"/>
    <w:rsid w:val="00F67A08"/>
    <w:rsid w:val="00F71CE0"/>
    <w:rsid w:val="00F72005"/>
    <w:rsid w:val="00F73881"/>
    <w:rsid w:val="00F75A9E"/>
    <w:rsid w:val="00F83006"/>
    <w:rsid w:val="00F91578"/>
    <w:rsid w:val="00F94208"/>
    <w:rsid w:val="00F96D40"/>
    <w:rsid w:val="00FA1D4B"/>
    <w:rsid w:val="00FA3F9C"/>
    <w:rsid w:val="00FA7C84"/>
    <w:rsid w:val="00FC0EC5"/>
    <w:rsid w:val="00FC4205"/>
    <w:rsid w:val="00FC4D2C"/>
    <w:rsid w:val="00FC51FF"/>
    <w:rsid w:val="00FD4BCF"/>
    <w:rsid w:val="00FD736A"/>
    <w:rsid w:val="00FE0F07"/>
    <w:rsid w:val="00FE2337"/>
    <w:rsid w:val="00FE2F23"/>
    <w:rsid w:val="00FF4032"/>
    <w:rsid w:val="00FF7EF6"/>
    <w:rsid w:val="00FF7F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FE"/>
    <w:pPr>
      <w:spacing w:after="240"/>
    </w:pPr>
  </w:style>
  <w:style w:type="paragraph" w:styleId="Heading1">
    <w:name w:val="heading 1"/>
    <w:basedOn w:val="Normal"/>
    <w:next w:val="Normal"/>
    <w:link w:val="Heading1Char"/>
    <w:uiPriority w:val="9"/>
    <w:qFormat/>
    <w:rsid w:val="00356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7A3"/>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19"/>
    <w:pPr>
      <w:ind w:left="720"/>
      <w:contextualSpacing/>
    </w:pPr>
  </w:style>
  <w:style w:type="paragraph" w:styleId="Title">
    <w:name w:val="Title"/>
    <w:basedOn w:val="Normal"/>
    <w:next w:val="Normal"/>
    <w:link w:val="TitleChar"/>
    <w:uiPriority w:val="10"/>
    <w:qFormat/>
    <w:rsid w:val="00077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D1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823156"/>
    <w:rPr>
      <w:sz w:val="16"/>
      <w:szCs w:val="16"/>
    </w:rPr>
  </w:style>
  <w:style w:type="paragraph" w:styleId="CommentText">
    <w:name w:val="annotation text"/>
    <w:basedOn w:val="Normal"/>
    <w:link w:val="CommentTextChar"/>
    <w:uiPriority w:val="99"/>
    <w:semiHidden/>
    <w:unhideWhenUsed/>
    <w:rsid w:val="00823156"/>
    <w:pPr>
      <w:spacing w:line="240" w:lineRule="auto"/>
    </w:pPr>
    <w:rPr>
      <w:sz w:val="20"/>
      <w:szCs w:val="20"/>
    </w:rPr>
  </w:style>
  <w:style w:type="character" w:customStyle="1" w:styleId="CommentTextChar">
    <w:name w:val="Comment Text Char"/>
    <w:basedOn w:val="DefaultParagraphFont"/>
    <w:link w:val="CommentText"/>
    <w:uiPriority w:val="99"/>
    <w:semiHidden/>
    <w:rsid w:val="00823156"/>
    <w:rPr>
      <w:sz w:val="20"/>
      <w:szCs w:val="20"/>
    </w:rPr>
  </w:style>
  <w:style w:type="paragraph" w:styleId="CommentSubject">
    <w:name w:val="annotation subject"/>
    <w:basedOn w:val="CommentText"/>
    <w:next w:val="CommentText"/>
    <w:link w:val="CommentSubjectChar"/>
    <w:uiPriority w:val="99"/>
    <w:semiHidden/>
    <w:unhideWhenUsed/>
    <w:rsid w:val="00823156"/>
    <w:rPr>
      <w:b/>
      <w:bCs/>
    </w:rPr>
  </w:style>
  <w:style w:type="character" w:customStyle="1" w:styleId="CommentSubjectChar">
    <w:name w:val="Comment Subject Char"/>
    <w:basedOn w:val="CommentTextChar"/>
    <w:link w:val="CommentSubject"/>
    <w:uiPriority w:val="99"/>
    <w:semiHidden/>
    <w:rsid w:val="00823156"/>
    <w:rPr>
      <w:b/>
      <w:bCs/>
      <w:sz w:val="20"/>
      <w:szCs w:val="20"/>
    </w:rPr>
  </w:style>
  <w:style w:type="paragraph" w:styleId="BalloonText">
    <w:name w:val="Balloon Text"/>
    <w:basedOn w:val="Normal"/>
    <w:link w:val="BalloonTextChar"/>
    <w:uiPriority w:val="99"/>
    <w:semiHidden/>
    <w:unhideWhenUsed/>
    <w:rsid w:val="00823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56"/>
    <w:rPr>
      <w:rFonts w:ascii="Tahoma" w:hAnsi="Tahoma" w:cs="Tahoma"/>
      <w:sz w:val="16"/>
      <w:szCs w:val="16"/>
    </w:rPr>
  </w:style>
  <w:style w:type="character" w:styleId="Hyperlink">
    <w:name w:val="Hyperlink"/>
    <w:basedOn w:val="DefaultParagraphFont"/>
    <w:uiPriority w:val="99"/>
    <w:unhideWhenUsed/>
    <w:rsid w:val="006C6708"/>
    <w:rPr>
      <w:color w:val="0000FF" w:themeColor="hyperlink"/>
      <w:u w:val="single"/>
    </w:rPr>
  </w:style>
  <w:style w:type="character" w:customStyle="1" w:styleId="Heading2Char">
    <w:name w:val="Heading 2 Char"/>
    <w:basedOn w:val="DefaultParagraphFont"/>
    <w:link w:val="Heading2"/>
    <w:uiPriority w:val="9"/>
    <w:rsid w:val="000B37A3"/>
    <w:rPr>
      <w:rFonts w:asciiTheme="majorHAnsi" w:eastAsiaTheme="majorEastAsia" w:hAnsiTheme="majorHAnsi" w:cstheme="majorBidi"/>
      <w:b/>
      <w:bCs/>
      <w:color w:val="4F81BD" w:themeColor="accent1"/>
      <w:sz w:val="26"/>
      <w:szCs w:val="26"/>
    </w:rPr>
  </w:style>
  <w:style w:type="paragraph" w:customStyle="1" w:styleId="Pa2">
    <w:name w:val="Pa2"/>
    <w:basedOn w:val="Normal"/>
    <w:next w:val="Normal"/>
    <w:uiPriority w:val="99"/>
    <w:rsid w:val="002636FE"/>
    <w:pPr>
      <w:autoSpaceDE w:val="0"/>
      <w:autoSpaceDN w:val="0"/>
      <w:adjustRightInd w:val="0"/>
      <w:spacing w:after="0" w:line="241" w:lineRule="atLeast"/>
    </w:pPr>
    <w:rPr>
      <w:rFonts w:ascii="Arial" w:hAnsi="Arial" w:cs="Arial"/>
      <w:sz w:val="24"/>
      <w:szCs w:val="24"/>
    </w:rPr>
  </w:style>
  <w:style w:type="character" w:customStyle="1" w:styleId="A5">
    <w:name w:val="A5"/>
    <w:uiPriority w:val="99"/>
    <w:rsid w:val="002636FE"/>
    <w:rPr>
      <w:b/>
      <w:bCs/>
      <w:color w:val="000000"/>
      <w:sz w:val="14"/>
      <w:szCs w:val="14"/>
    </w:rPr>
  </w:style>
  <w:style w:type="character" w:styleId="FollowedHyperlink">
    <w:name w:val="FollowedHyperlink"/>
    <w:basedOn w:val="DefaultParagraphFont"/>
    <w:uiPriority w:val="99"/>
    <w:semiHidden/>
    <w:unhideWhenUsed/>
    <w:rsid w:val="00515428"/>
    <w:rPr>
      <w:color w:val="800080" w:themeColor="followedHyperlink"/>
      <w:u w:val="single"/>
    </w:rPr>
  </w:style>
  <w:style w:type="character" w:customStyle="1" w:styleId="apple-converted-space">
    <w:name w:val="apple-converted-space"/>
    <w:basedOn w:val="DefaultParagraphFont"/>
    <w:rsid w:val="00C275DD"/>
  </w:style>
  <w:style w:type="character" w:styleId="HTMLDefinition">
    <w:name w:val="HTML Definition"/>
    <w:basedOn w:val="DefaultParagraphFont"/>
    <w:uiPriority w:val="99"/>
    <w:semiHidden/>
    <w:unhideWhenUsed/>
    <w:rsid w:val="00C275DD"/>
    <w:rPr>
      <w:i/>
      <w:iCs/>
    </w:rPr>
  </w:style>
  <w:style w:type="character" w:customStyle="1" w:styleId="Heading1Char">
    <w:name w:val="Heading 1 Char"/>
    <w:basedOn w:val="DefaultParagraphFont"/>
    <w:link w:val="Heading1"/>
    <w:uiPriority w:val="9"/>
    <w:rsid w:val="003568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FE"/>
    <w:pPr>
      <w:spacing w:after="240"/>
    </w:pPr>
  </w:style>
  <w:style w:type="paragraph" w:styleId="Heading1">
    <w:name w:val="heading 1"/>
    <w:basedOn w:val="Normal"/>
    <w:next w:val="Normal"/>
    <w:link w:val="Heading1Char"/>
    <w:uiPriority w:val="9"/>
    <w:qFormat/>
    <w:rsid w:val="00356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7A3"/>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19"/>
    <w:pPr>
      <w:ind w:left="720"/>
      <w:contextualSpacing/>
    </w:pPr>
  </w:style>
  <w:style w:type="paragraph" w:styleId="Title">
    <w:name w:val="Title"/>
    <w:basedOn w:val="Normal"/>
    <w:next w:val="Normal"/>
    <w:link w:val="TitleChar"/>
    <w:uiPriority w:val="10"/>
    <w:qFormat/>
    <w:rsid w:val="00077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D1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823156"/>
    <w:rPr>
      <w:sz w:val="16"/>
      <w:szCs w:val="16"/>
    </w:rPr>
  </w:style>
  <w:style w:type="paragraph" w:styleId="CommentText">
    <w:name w:val="annotation text"/>
    <w:basedOn w:val="Normal"/>
    <w:link w:val="CommentTextChar"/>
    <w:uiPriority w:val="99"/>
    <w:semiHidden/>
    <w:unhideWhenUsed/>
    <w:rsid w:val="00823156"/>
    <w:pPr>
      <w:spacing w:line="240" w:lineRule="auto"/>
    </w:pPr>
    <w:rPr>
      <w:sz w:val="20"/>
      <w:szCs w:val="20"/>
    </w:rPr>
  </w:style>
  <w:style w:type="character" w:customStyle="1" w:styleId="CommentTextChar">
    <w:name w:val="Comment Text Char"/>
    <w:basedOn w:val="DefaultParagraphFont"/>
    <w:link w:val="CommentText"/>
    <w:uiPriority w:val="99"/>
    <w:semiHidden/>
    <w:rsid w:val="00823156"/>
    <w:rPr>
      <w:sz w:val="20"/>
      <w:szCs w:val="20"/>
    </w:rPr>
  </w:style>
  <w:style w:type="paragraph" w:styleId="CommentSubject">
    <w:name w:val="annotation subject"/>
    <w:basedOn w:val="CommentText"/>
    <w:next w:val="CommentText"/>
    <w:link w:val="CommentSubjectChar"/>
    <w:uiPriority w:val="99"/>
    <w:semiHidden/>
    <w:unhideWhenUsed/>
    <w:rsid w:val="00823156"/>
    <w:rPr>
      <w:b/>
      <w:bCs/>
    </w:rPr>
  </w:style>
  <w:style w:type="character" w:customStyle="1" w:styleId="CommentSubjectChar">
    <w:name w:val="Comment Subject Char"/>
    <w:basedOn w:val="CommentTextChar"/>
    <w:link w:val="CommentSubject"/>
    <w:uiPriority w:val="99"/>
    <w:semiHidden/>
    <w:rsid w:val="00823156"/>
    <w:rPr>
      <w:b/>
      <w:bCs/>
      <w:sz w:val="20"/>
      <w:szCs w:val="20"/>
    </w:rPr>
  </w:style>
  <w:style w:type="paragraph" w:styleId="BalloonText">
    <w:name w:val="Balloon Text"/>
    <w:basedOn w:val="Normal"/>
    <w:link w:val="BalloonTextChar"/>
    <w:uiPriority w:val="99"/>
    <w:semiHidden/>
    <w:unhideWhenUsed/>
    <w:rsid w:val="00823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56"/>
    <w:rPr>
      <w:rFonts w:ascii="Tahoma" w:hAnsi="Tahoma" w:cs="Tahoma"/>
      <w:sz w:val="16"/>
      <w:szCs w:val="16"/>
    </w:rPr>
  </w:style>
  <w:style w:type="character" w:styleId="Hyperlink">
    <w:name w:val="Hyperlink"/>
    <w:basedOn w:val="DefaultParagraphFont"/>
    <w:uiPriority w:val="99"/>
    <w:unhideWhenUsed/>
    <w:rsid w:val="006C6708"/>
    <w:rPr>
      <w:color w:val="0000FF" w:themeColor="hyperlink"/>
      <w:u w:val="single"/>
    </w:rPr>
  </w:style>
  <w:style w:type="character" w:customStyle="1" w:styleId="Heading2Char">
    <w:name w:val="Heading 2 Char"/>
    <w:basedOn w:val="DefaultParagraphFont"/>
    <w:link w:val="Heading2"/>
    <w:uiPriority w:val="9"/>
    <w:rsid w:val="000B37A3"/>
    <w:rPr>
      <w:rFonts w:asciiTheme="majorHAnsi" w:eastAsiaTheme="majorEastAsia" w:hAnsiTheme="majorHAnsi" w:cstheme="majorBidi"/>
      <w:b/>
      <w:bCs/>
      <w:color w:val="4F81BD" w:themeColor="accent1"/>
      <w:sz w:val="26"/>
      <w:szCs w:val="26"/>
    </w:rPr>
  </w:style>
  <w:style w:type="paragraph" w:customStyle="1" w:styleId="Pa2">
    <w:name w:val="Pa2"/>
    <w:basedOn w:val="Normal"/>
    <w:next w:val="Normal"/>
    <w:uiPriority w:val="99"/>
    <w:rsid w:val="002636FE"/>
    <w:pPr>
      <w:autoSpaceDE w:val="0"/>
      <w:autoSpaceDN w:val="0"/>
      <w:adjustRightInd w:val="0"/>
      <w:spacing w:after="0" w:line="241" w:lineRule="atLeast"/>
    </w:pPr>
    <w:rPr>
      <w:rFonts w:ascii="Arial" w:hAnsi="Arial" w:cs="Arial"/>
      <w:sz w:val="24"/>
      <w:szCs w:val="24"/>
    </w:rPr>
  </w:style>
  <w:style w:type="character" w:customStyle="1" w:styleId="A5">
    <w:name w:val="A5"/>
    <w:uiPriority w:val="99"/>
    <w:rsid w:val="002636FE"/>
    <w:rPr>
      <w:b/>
      <w:bCs/>
      <w:color w:val="000000"/>
      <w:sz w:val="14"/>
      <w:szCs w:val="14"/>
    </w:rPr>
  </w:style>
  <w:style w:type="character" w:styleId="FollowedHyperlink">
    <w:name w:val="FollowedHyperlink"/>
    <w:basedOn w:val="DefaultParagraphFont"/>
    <w:uiPriority w:val="99"/>
    <w:semiHidden/>
    <w:unhideWhenUsed/>
    <w:rsid w:val="00515428"/>
    <w:rPr>
      <w:color w:val="800080" w:themeColor="followedHyperlink"/>
      <w:u w:val="single"/>
    </w:rPr>
  </w:style>
  <w:style w:type="character" w:customStyle="1" w:styleId="apple-converted-space">
    <w:name w:val="apple-converted-space"/>
    <w:basedOn w:val="DefaultParagraphFont"/>
    <w:rsid w:val="00C275DD"/>
  </w:style>
  <w:style w:type="character" w:styleId="HTMLDefinition">
    <w:name w:val="HTML Definition"/>
    <w:basedOn w:val="DefaultParagraphFont"/>
    <w:uiPriority w:val="99"/>
    <w:semiHidden/>
    <w:unhideWhenUsed/>
    <w:rsid w:val="00C275DD"/>
    <w:rPr>
      <w:i/>
      <w:iCs/>
    </w:rPr>
  </w:style>
  <w:style w:type="character" w:customStyle="1" w:styleId="Heading1Char">
    <w:name w:val="Heading 1 Char"/>
    <w:basedOn w:val="DefaultParagraphFont"/>
    <w:link w:val="Heading1"/>
    <w:uiPriority w:val="9"/>
    <w:rsid w:val="003568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harvard.edu/barro/publications/barro-ursua-macroeconomic-data" TargetMode="External"/><Relationship Id="rId18" Type="http://schemas.openxmlformats.org/officeDocument/2006/relationships/hyperlink" Target="http://www.palgrave-journals.com/ces/journal/v55/n2/full/ces20131a.html" TargetMode="External"/><Relationship Id="rId3" Type="http://schemas.openxmlformats.org/officeDocument/2006/relationships/customXml" Target="../customXml/item3.xml"/><Relationship Id="rId21" Type="http://schemas.openxmlformats.org/officeDocument/2006/relationships/hyperlink" Target="http://cdiac.ornl.gov" TargetMode="External"/><Relationship Id="rId7" Type="http://schemas.openxmlformats.org/officeDocument/2006/relationships/settings" Target="settings.xml"/><Relationship Id="rId12" Type="http://schemas.openxmlformats.org/officeDocument/2006/relationships/hyperlink" Target="http://www.uis.unesco.org/" TargetMode="External"/><Relationship Id="rId17" Type="http://schemas.openxmlformats.org/officeDocument/2006/relationships/hyperlink" Target="http://go.worldbank.org/8KO0DUVDS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ata.worldbank.org/indicator/SL.EMP.WORK.ZS" TargetMode="External"/><Relationship Id="rId20" Type="http://schemas.openxmlformats.org/officeDocument/2006/relationships/hyperlink" Target="http://www.imf.org/external/pubs/cat/longres.cfm?sk=24332.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aostat.fao.or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go.worldbank.org/8KO0DUVDS0" TargetMode="External"/><Relationship Id="rId23" Type="http://schemas.openxmlformats.org/officeDocument/2006/relationships/hyperlink" Target="http://gfdrr.aiddata.org/dashboard" TargetMode="External"/><Relationship Id="rId10" Type="http://schemas.openxmlformats.org/officeDocument/2006/relationships/hyperlink" Target="http://data.worldbank.org/summary-terms-of-use" TargetMode="External"/><Relationship Id="rId19" Type="http://schemas.openxmlformats.org/officeDocument/2006/relationships/hyperlink" Target="http://www.palgrave-journals.com/ces/journal/v55/n2/full/ces20131a.html" TargetMode="External"/><Relationship Id="rId4" Type="http://schemas.openxmlformats.org/officeDocument/2006/relationships/numbering" Target="numbering.xml"/><Relationship Id="rId9" Type="http://schemas.openxmlformats.org/officeDocument/2006/relationships/hyperlink" Target="http://datacatalog.worldbank.org" TargetMode="External"/><Relationship Id="rId14" Type="http://schemas.openxmlformats.org/officeDocument/2006/relationships/hyperlink" Target="http://iresearch.worldbank.org/PovcalNet/index.htm" TargetMode="External"/><Relationship Id="rId22" Type="http://schemas.openxmlformats.org/officeDocument/2006/relationships/hyperlink" Target="http://data.giss.nasa.gov/gist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FCA5A-0440-45D3-AFC2-F9B1BD236E60}">
  <ds:schemaRefs>
    <ds:schemaRef ds:uri="http://schemas.openxmlformats.org/officeDocument/2006/bibliography"/>
  </ds:schemaRefs>
</ds:datastoreItem>
</file>

<file path=customXml/itemProps2.xml><?xml version="1.0" encoding="utf-8"?>
<ds:datastoreItem xmlns:ds="http://schemas.openxmlformats.org/officeDocument/2006/customXml" ds:itemID="{ECB361B2-62CE-4A80-91AF-9AB5BD805EFC}">
  <ds:schemaRefs>
    <ds:schemaRef ds:uri="http://schemas.openxmlformats.org/officeDocument/2006/bibliography"/>
  </ds:schemaRefs>
</ds:datastoreItem>
</file>

<file path=customXml/itemProps3.xml><?xml version="1.0" encoding="utf-8"?>
<ds:datastoreItem xmlns:ds="http://schemas.openxmlformats.org/officeDocument/2006/customXml" ds:itemID="{0D8D94B9-3E45-42AB-82C1-C253A275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5338</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35698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Leila Rafei</dc:creator>
  <cp:lastModifiedBy>Tim Herzog</cp:lastModifiedBy>
  <cp:revision>31</cp:revision>
  <cp:lastPrinted>2013-07-29T19:28:00Z</cp:lastPrinted>
  <dcterms:created xsi:type="dcterms:W3CDTF">2013-07-30T21:24:00Z</dcterms:created>
  <dcterms:modified xsi:type="dcterms:W3CDTF">2014-05-28T22:08:00Z</dcterms:modified>
</cp:coreProperties>
</file>