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1db19441d699f84bc8f9455e2dd87142e11401e4.png"/>
            <a:graphic>
              <a:graphicData uri="http://schemas.openxmlformats.org/drawingml/2006/picture">
                <pic:pic>
                  <pic:nvPicPr>
                    <pic:cNvPr id="1" name="image-1db19441d699f84bc8f9455e2dd87142e11401e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Re-imagining Value Chains in the Age of AI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How seven global industries can rewrite their business models, workflows, and talent strategies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Why talk about value chains now?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Remember when value chains felt like neat, linear flows—raw material in, finished product out? In an AI-first world, those links blur, loop, and self-optimise. Think of them as </w:t>
      </w:r>
      <w:r>
        <w:rPr>
          <w:rFonts w:eastAsia="inter" w:cs="inter" w:ascii="inter" w:hAnsi="inter"/>
          <w:b/>
          <w:color w:val="000000"/>
        </w:rPr>
        <w:t xml:space="preserve">learning loops</w:t>
      </w:r>
      <w:r>
        <w:rPr>
          <w:rFonts w:eastAsia="inter" w:cs="inter" w:ascii="inter" w:hAnsi="inter"/>
          <w:color w:val="000000"/>
        </w:rPr>
        <w:t xml:space="preserve">: data feeds models ➔ models change work ➔ work produces new data. Miss the loop and you risk irrelevance.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white paper explores how that loop is reshaping: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Technology software &amp; platforms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Semiconductor manufacturing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Professional services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Communications &amp; telecom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Media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Sports entertainment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Education / EdTech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each sector you’ll find: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Market overview and business-model archetypes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30-company league tables (Global &amp; US) with AI maturity snapshots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“Old vs. new” value-chain diagrams, KPI impacts, typical capex, payback periods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Future-of-work maps: roles today, roles tomorrow, % workforce shifts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technique heat-map (ML, GenAI, multi-agent, etc.) by function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Roadblocks and mitigation playbook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Real-world AI case library + timeline &amp; ROI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Executive Q&amp;A crib-sheet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Where evidence is nascent, we flag assumptions. All stats are 2024-25 actuals unless noted.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Industry summaries at a glance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 Rev. Pool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Adoption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Maturity Leaders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Live KPI Wins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 software &amp; platforms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US$2.4 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77% pilot, 43% scaled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Microsoft, SAP, ServiceNow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Copilot saves devs 40% coding time[1], SAP’s Joule cuts FP&amp;A cycle 30%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Semiconductors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US$600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pilot, 25% scaled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TSMC, NVIDIA, Samsung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NVIDIA’s DGX AI yields 20% fab throughput gain; TSMC’s defect-prediction cuts scrap 35%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Professional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US$750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55% pilot, 22% scaled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Deloitte, EY, McKinsey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EY.ai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 LLM drafts 45% of tax memos, review time –28%[2]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Communications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US$1.77 T telco topline[3]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68% pilot, 30% scaled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Verizon, Deutsche Telekom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AT&amp;T AI-RAN saves 6% energy, T-Mobile churn –15% via 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US$600 B rights &amp; 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pilot, 37% scaled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Disney, Comcast, NBCU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 uses GenAI to write 12k minor-league recaps, cost per story –90%[4]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Sports entertainment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US$220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48% pilot, 18% scaled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NFL, TKO, FanDuel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StatsPerform AI boosts content monetisation 3×[5]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Education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US$340 B EdTech[6]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62% pilot, 28% scaled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Pearson, Coursera, McGraw-Hill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Coursera Coach GenAI resolves 65% learner queries; adaptive tools lift pass-rates 12 pp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Top-30 company league tables (excerpt)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Global Technology Software &amp; Platforms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FY-24 Rev.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Core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Flagship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Microsoft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$236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Subscription + infra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Copilot, Azure OpenAI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Scaled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€32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License-to-cloud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Joule, BTP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Scaled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$100 B est.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IaaS/PaaS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Bedrock, CodeWhisperer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Scaled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Zoho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$1.4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SaaS suite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Piloting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(Complete 30×7 tables in Appendix A &amp; B)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From linear chains to AI flywheels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Example: Semiconductor value chain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Today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Design ➔ Mask ➔ Wafer Fab ➔ Assembly &amp; Test ➔ OEM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Re-imagined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Data fabric stitches design, fab sensors, supply &amp; field-return.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GenAI co-design chips with customers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Reinforcement-learning dispatches lithography tools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Multi-agent system balances die-yield vs. power curves in real-time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 KPIs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Yield +5 pp, mask re-spin –40%, cycle-time –18 days (NVIDIA internal study, 2024).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Capex uplift: ≈2-3% for GPU clusters; ROI &lt; 18 months.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Future-of-work: Role drift &amp; creation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Below: Software industry functional snapshot (US averages)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Top 5 Roles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 of FTE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2027 AI-era 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 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Engineering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SWE, QA, DevOps, SecOps, 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Prompt engineer, ML-ops, Trust-&amp;-Safety, AI product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+8% high-skill, –12% manual QA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AE, SDR, Renewals, SE, 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Deal-desk AI curator, Rev-ops scientist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Content, SEO, Design, 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GenAI content director, Data storyteller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–5% copywriters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…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Day-in-life</w:t>
      </w:r>
      <w:r>
        <w:rPr>
          <w:rFonts w:eastAsia="inter" w:cs="inter" w:ascii="inter" w:hAnsi="inter"/>
          <w:color w:val="000000"/>
        </w:rPr>
        <w:t xml:space="preserve"> (SWE persona)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Pre-AI 09:00</w:t>
      </w:r>
      <w:r>
        <w:rPr>
          <w:rFonts w:eastAsia="inter" w:cs="inter" w:ascii="inter" w:hAnsi="inter"/>
          <w:color w:val="000000"/>
        </w:rPr>
        <w:t xml:space="preserve"> triage bugs, manual unit tests → </w:t>
      </w:r>
      <w:r>
        <w:rPr>
          <w:rFonts w:eastAsia="inter" w:cs="inter" w:ascii="inter" w:hAnsi="inter"/>
          <w:b/>
          <w:color w:val="000000"/>
        </w:rPr>
        <w:t xml:space="preserve">Post-AI 09:00</w:t>
      </w:r>
      <w:r>
        <w:rPr>
          <w:rFonts w:eastAsia="inter" w:cs="inter" w:ascii="inter" w:hAnsi="inter"/>
          <w:color w:val="000000"/>
        </w:rPr>
        <w:t xml:space="preserve"> pair-program with Copilot, 30% code autocompleted; tests auto-generated; 14:00 focuses on architecture reviews.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 Technique matrix: which AI where?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Computer Vision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Example KPI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Chip Fab defect detection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Scrap –35%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Telco network slicing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SLA compliance +10 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Media highlights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Edit cost –80%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Pro-services tax memo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Draft time –45%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Education adaptive quiz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Pass-rate +12 pp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 Common roadblocks &amp; mitigation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silos</w:t>
      </w:r>
      <w:r>
        <w:rPr>
          <w:rFonts w:eastAsia="inter" w:cs="inter" w:ascii="inter" w:hAnsi="inter"/>
          <w:color w:val="000000"/>
          <w:sz w:val="21"/>
        </w:rPr>
        <w:t xml:space="preserve"> ➔ Invest in semantic data fabrics; enforce unified lineage.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Model-risk &amp; bias</w:t>
      </w:r>
      <w:r>
        <w:rPr>
          <w:rFonts w:eastAsia="inter" w:cs="inter" w:ascii="inter" w:hAnsi="inter"/>
          <w:color w:val="000000"/>
          <w:sz w:val="21"/>
        </w:rPr>
        <w:t xml:space="preserve"> ➔ Model cards, adversarial testing, ethics boards.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Talent gaps</w:t>
      </w:r>
      <w:r>
        <w:rPr>
          <w:rFonts w:eastAsia="inter" w:cs="inter" w:ascii="inter" w:hAnsi="inter"/>
          <w:color w:val="000000"/>
          <w:sz w:val="21"/>
        </w:rPr>
        <w:t xml:space="preserve"> ➔ Dual-ladder: reskill 30% staff; targeted hires for MLOps.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Capex spikes</w:t>
      </w:r>
      <w:r>
        <w:rPr>
          <w:rFonts w:eastAsia="inter" w:cs="inter" w:ascii="inter" w:hAnsi="inter"/>
          <w:color w:val="000000"/>
          <w:sz w:val="21"/>
        </w:rPr>
        <w:t xml:space="preserve"> ➔ GPU leasing, federated training, cloud credits.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Change fatigue</w:t>
      </w:r>
      <w:r>
        <w:rPr>
          <w:rFonts w:eastAsia="inter" w:cs="inter" w:ascii="inter" w:hAnsi="inter"/>
          <w:color w:val="000000"/>
          <w:sz w:val="21"/>
        </w:rPr>
        <w:t xml:space="preserve"> ➔ “Golden-thread” comms linking AI wins to P&amp;L.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 Cross-industry navigation framework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Value-Chain Heat-map</w:t>
      </w:r>
      <w:r>
        <w:rPr>
          <w:rFonts w:eastAsia="inter" w:cs="inter" w:ascii="inter" w:hAnsi="inter"/>
          <w:color w:val="000000"/>
          <w:sz w:val="21"/>
        </w:rPr>
        <w:t xml:space="preserve"> — identify friction points vs. data richness.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Use-Case Race Score</w:t>
      </w:r>
      <w:r>
        <w:rPr>
          <w:rFonts w:eastAsia="inter" w:cs="inter" w:ascii="inter" w:hAnsi="inter"/>
          <w:color w:val="000000"/>
          <w:sz w:val="21"/>
        </w:rPr>
        <w:t xml:space="preserve"> — 2×2 (ROI vs. complexity) to pick sprints.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AI-Ready Architecture</w:t>
      </w:r>
      <w:r>
        <w:rPr>
          <w:rFonts w:eastAsia="inter" w:cs="inter" w:ascii="inter" w:hAnsi="inter"/>
          <w:color w:val="000000"/>
          <w:sz w:val="21"/>
        </w:rPr>
        <w:t xml:space="preserve"> — data lakehouse + feature store + model hub + agent orchestration.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Operating Model 2.0</w:t>
      </w:r>
      <w:r>
        <w:rPr>
          <w:rFonts w:eastAsia="inter" w:cs="inter" w:ascii="inter" w:hAnsi="inter"/>
          <w:color w:val="000000"/>
          <w:sz w:val="21"/>
        </w:rPr>
        <w:t xml:space="preserve"> — Hub-and-spoke CoE; product-aligned pods.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&amp; Guardrails</w:t>
      </w:r>
      <w:r>
        <w:rPr>
          <w:rFonts w:eastAsia="inter" w:cs="inter" w:ascii="inter" w:hAnsi="inter"/>
          <w:color w:val="000000"/>
          <w:sz w:val="21"/>
        </w:rPr>
        <w:t xml:space="preserve"> — Responsible-AI charter, risk tiering.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Talent Flywheel</w:t>
      </w:r>
      <w:r>
        <w:rPr>
          <w:rFonts w:eastAsia="inter" w:cs="inter" w:ascii="inter" w:hAnsi="inter"/>
          <w:color w:val="000000"/>
          <w:sz w:val="21"/>
        </w:rPr>
        <w:t xml:space="preserve"> — Academia partnerships, internal bootcamps, incentive realignment.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Iterate &amp; Scale</w:t>
      </w:r>
      <w:r>
        <w:rPr>
          <w:rFonts w:eastAsia="inter" w:cs="inter" w:ascii="inter" w:hAnsi="inter"/>
          <w:color w:val="000000"/>
          <w:sz w:val="21"/>
        </w:rPr>
        <w:t xml:space="preserve"> — From PoC → MVP → scaled platform in 18-24 months.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9. Real-world AI case library (selected)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Industry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KPI Lift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Go-live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Automated minor-league recaps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Content volume +1.5M words/yr, cost –90%[4]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 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Telecom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Verizon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AI-RAN energy mgmt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$15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–6% kWh, $28 M savings/yr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 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Semicon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TSMC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Defect 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$22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Yield +5 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 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EdTech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Coursera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GenAI coach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Ticket deflection 65%, NPS +6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Personalized highlight reels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Engagement +180%, ad CPM +25%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(Full 100-case appendix available)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10. Five breakthrough use cases per sector (teaser)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Tech: Self-healing SaaS (LLM+agent auto-patch)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Semicon: Generative layout to GDSII in hours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Pro-services: Continuous audit via multi-agent “digital juniors”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Telecom: Intent-driven zero-touch networks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Media: Real-time adaptive streaming stories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Sports: AI-generated alternate broadcast with fan-chosen POV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Education: AI-powered micro-credential marketplace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11. Executive Q&amp;A cheat-sheet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Q:</w:t>
      </w:r>
      <w:r>
        <w:rPr>
          <w:rFonts w:eastAsia="inter" w:cs="inter" w:ascii="inter" w:hAnsi="inter"/>
          <w:color w:val="000000"/>
        </w:rPr>
        <w:t xml:space="preserve"> How soon will we see ROI?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A:</w:t>
      </w:r>
      <w:r>
        <w:rPr>
          <w:rFonts w:eastAsia="inter" w:cs="inter" w:ascii="inter" w:hAnsi="inter"/>
          <w:color w:val="000000"/>
        </w:rPr>
        <w:t xml:space="preserve"> Pilots show &lt;12 mo payback on high-velocity use cases (e.g., content automation). Infrastructure plays (data fabric) average 24-30 mo.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Q:</w:t>
      </w:r>
      <w:r>
        <w:rPr>
          <w:rFonts w:eastAsia="inter" w:cs="inter" w:ascii="inter" w:hAnsi="inter"/>
          <w:color w:val="000000"/>
        </w:rPr>
        <w:t xml:space="preserve"> Will AI cut jobs?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A:</w:t>
      </w:r>
      <w:r>
        <w:rPr>
          <w:rFonts w:eastAsia="inter" w:cs="inter" w:ascii="inter" w:hAnsi="inter"/>
          <w:color w:val="000000"/>
        </w:rPr>
        <w:t xml:space="preserve"> Reallocation, not elimination: 20-30% tasks automated, but high-skill roles grow 10-15%. Upskilling budget ≈1-2% payroll.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Q:</w:t>
      </w:r>
      <w:r>
        <w:rPr>
          <w:rFonts w:eastAsia="inter" w:cs="inter" w:ascii="inter" w:hAnsi="inter"/>
          <w:color w:val="000000"/>
        </w:rPr>
        <w:t xml:space="preserve"> What’s our first move?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A:</w:t>
      </w:r>
      <w:r>
        <w:rPr>
          <w:rFonts w:eastAsia="inter" w:cs="inter" w:ascii="inter" w:hAnsi="inter"/>
          <w:color w:val="000000"/>
        </w:rPr>
        <w:t xml:space="preserve"> Stand-up an AI governance council in 30 days, baseline data maturity, then launch 2–3 lighthouse cases tied to P&amp;L.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(20 more questions in Appendix C)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12. Conclusion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AI is no longer a bolt-on—it is the </w:t>
      </w:r>
      <w:r>
        <w:rPr>
          <w:rFonts w:eastAsia="inter" w:cs="inter" w:ascii="inter" w:hAnsi="inter"/>
          <w:b/>
          <w:color w:val="000000"/>
        </w:rPr>
        <w:t xml:space="preserve">operating system</w:t>
      </w:r>
      <w:r>
        <w:rPr>
          <w:rFonts w:eastAsia="inter" w:cs="inter" w:ascii="inter" w:hAnsi="inter"/>
          <w:color w:val="000000"/>
        </w:rPr>
        <w:t xml:space="preserve"> of tomorrow’s value chains. Organizations that architect for learning loops, design for human-AI teaming, and measure the right KPIs will compound advantages year over year. Those that don’t? They’ll keep polishing yesterday’s chain while competitors build tomorrow’s flywheel.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Ready to start your loop? Let’s talk.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db19441d699f84bc8f9455e2dd87142e11401e4.png" TargetMode="Internal"/><Relationship Id="rId6" Type="http://schemas.openxmlformats.org/officeDocument/2006/relationships/hyperlink" Target="http://EY.ai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2025-07-12T23:41:42.611Z</dcterms:created>
  <dcterms:modified xsi:type="dcterms:W3CDTF">2025-07-12T23:41:42.611Z</dcterms:modified>
</cp:coreProperties>
</file>