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inter" w:cs="inter" w:ascii="inter" w:hAnsi="inter"/>
          <w:color w:val="000000"/>
        </w:rPr>
        <w:drawing>
          <wp:inline distB="0" distL="0" distR="0" distT="0">
            <wp:extent cx="1143000" cy="287909"/>
            <wp:effectExtent b="0" l="0" r="0" t="0"/>
            <wp:docPr id="1" name="image-622223d3086d9f7adad796505b8e113cc55b5004.png"/>
            <a:graphic>
              <a:graphicData uri="http://schemas.openxmlformats.org/drawingml/2006/picture">
                <pic:pic>
                  <pic:nvPicPr>
                    <pic:cNvPr id="1" name="image-622223d3086d9f7adad796505b8e113cc55b5004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2879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0" w:before="157.5" w:after="157.5" w:lineRule="auto"/>
        <w:jc w:val="left"/>
      </w:pPr>
      <w:r>
        <w:rPr>
          <w:rFonts w:eastAsia="inter" w:cs="inter" w:ascii="inter" w:hAnsi="inter"/>
          <w:b/>
          <w:color w:val="000000"/>
          <w:sz w:val="39"/>
        </w:rPr>
        <w:t xml:space="preserve">Reimagining Value Chains in the Age of AI: A 30-Minute Executive Presentation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Executive Summary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This presentation transforms the traditional understanding of value chains into AI-powered learning loops, demonstrating how seven critical industries are reimagining their fundamental business processes through artificial intelligence. Designed for C-suite executives, this conversational and thought-provoking presentation combines real-world success stories with actionable insights for immediate implementation.</w:t>
      </w:r>
    </w:p>
    <w:p>
      <w:pPr>
        <w:spacing w:line="360" w:after="0" w:lineRule="auto"/>
        <w:jc w:val="center"/>
      </w:pPr>
      <w:r>
        <w:rPr>
          <w:rFonts w:eastAsia="inter" w:cs="inter" w:ascii="inter" w:hAnsi="inter"/>
          <w:color w:val="000000"/>
        </w:rPr>
        <w:drawing>
          <wp:inline distB="0" distL="0" distR="0" distT="0">
            <wp:extent cx="6038850" cy="4025900"/>
            <wp:effectExtent b="0" l="0" r="0" t="0"/>
            <wp:docPr id="2" name="image-b3179d07a6cd883f572502eda48334f08278d02f.png"/>
            <a:graphic>
              <a:graphicData uri="http://schemas.openxmlformats.org/drawingml/2006/picture">
                <pic:pic>
                  <pic:nvPicPr>
                    <pic:cNvPr id="2" name="image-b3179d07a6cd883f572502eda48334f08278d02f.png" descr=""/>
                    <pic:cNvPicPr/>
                  </pic:nvPicPr>
                  <pic:blipFill>
                    <a:blip r:embed="rId6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402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From Linear Chains to AI-Powered Learning Loops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The AI-First Value Chain Revolution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Remember when value chains felt like neat, linear flows—raw material in, finished product out? In an AI-first world, those links blur, loop, and self-optimize. Think of them as </w:t>
      </w:r>
      <w:r>
        <w:rPr>
          <w:rFonts w:eastAsia="inter" w:cs="inter" w:ascii="inter" w:hAnsi="inter"/>
          <w:b/>
          <w:color w:val="000000"/>
        </w:rPr>
        <w:t xml:space="preserve">learning loops</w:t>
      </w:r>
      <w:r>
        <w:rPr>
          <w:rFonts w:eastAsia="inter" w:cs="inter" w:ascii="inter" w:hAnsi="inter"/>
          <w:color w:val="000000"/>
        </w:rPr>
        <w:t xml:space="preserve">: data feeds models → models change work → work produces new data. Miss the loop and you risk irrelevance</w:t>
      </w:r>
      <w:bookmarkStart w:id="0" w:name="fnref1"/>
      <w:bookmarkEnd w:id="0"/>
      <w:hyperlink w:anchor="fn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[1]</w:t>
        </w:r>
      </w:hyperlink>
      <w:r>
        <w:rPr>
          <w:rFonts w:eastAsia="inter" w:cs="inter" w:ascii="inter" w:hAnsi="inter"/>
          <w:color w:val="000000"/>
        </w:rPr>
        <w:t xml:space="preserve">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The transformation we're witnessing isn't just technological—it's fundamental. Organizations that architect for learning loops, design for human-AI teaming, and measure the right KPIs will compound advantages year over year. Those that don't will keep polishing yesterday's chain while competitors build tomorrow's flywheel</w:t>
      </w:r>
      <w:bookmarkStart w:id="1" w:name="fnref1:1"/>
      <w:bookmarkEnd w:id="1"/>
      <w:hyperlink w:anchor="fn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[1]</w:t>
        </w:r>
      </w:hyperlink>
      <w:r>
        <w:rPr>
          <w:rFonts w:eastAsia="inter" w:cs="inter" w:ascii="inter" w:hAnsi="inter"/>
          <w:color w:val="000000"/>
        </w:rPr>
        <w:t xml:space="preserve">.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Industry Transformation Overview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Seven critical industries are undergoing profound value chain reimagination: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Technology Software &amp; Platforms</w:t>
      </w:r>
      <w:r>
        <w:rPr>
          <w:rFonts w:eastAsia="inter" w:cs="inter" w:ascii="inter" w:hAnsi="inter"/>
          <w:color w:val="000000"/>
        </w:rPr>
        <w:t xml:space="preserve">: From manual coding to AI-augmented engineering, with 30% reduction in raw coding hours and shift from 45% to 35% engineering workforce by 2028</w:t>
      </w:r>
      <w:bookmarkStart w:id="2" w:name="fnref1:2"/>
      <w:bookmarkEnd w:id="2"/>
      <w:hyperlink w:anchor="fn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[1]</w:t>
        </w:r>
      </w:hyperlink>
      <w:bookmarkStart w:id="3" w:name="fnref2"/>
      <w:bookmarkEnd w:id="3"/>
      <w:hyperlink w:anchor="fn2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[2]</w:t>
        </w:r>
      </w:hyperlink>
      <w:r>
        <w:rPr>
          <w:rFonts w:eastAsia="inter" w:cs="inter" w:ascii="inter" w:hAnsi="inter"/>
          <w:color w:val="000000"/>
        </w:rPr>
        <w:t xml:space="preserve">.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Semiconductors</w:t>
      </w:r>
      <w:r>
        <w:rPr>
          <w:rFonts w:eastAsia="inter" w:cs="inter" w:ascii="inter" w:hAnsi="inter"/>
          <w:color w:val="000000"/>
        </w:rPr>
        <w:t xml:space="preserve">: Transforming from linear design processes to AI-accelerated workflows, with yield improvements of +5 percentage points and 40% reduction in mask re-spins</w:t>
      </w:r>
      <w:bookmarkStart w:id="4" w:name="fnref1:3"/>
      <w:bookmarkEnd w:id="4"/>
      <w:hyperlink w:anchor="fn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[1]</w:t>
        </w:r>
      </w:hyperlink>
      <w:bookmarkStart w:id="5" w:name="fnref3"/>
      <w:bookmarkEnd w:id="5"/>
      <w:hyperlink w:anchor="fn3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[3]</w:t>
        </w:r>
      </w:hyperlink>
      <w:r>
        <w:rPr>
          <w:rFonts w:eastAsia="inter" w:cs="inter" w:ascii="inter" w:hAnsi="inter"/>
          <w:color w:val="000000"/>
        </w:rPr>
        <w:t xml:space="preserve">.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Professional Services</w:t>
      </w:r>
      <w:r>
        <w:rPr>
          <w:rFonts w:eastAsia="inter" w:cs="inter" w:ascii="inter" w:hAnsi="inter"/>
          <w:color w:val="000000"/>
        </w:rPr>
        <w:t xml:space="preserve">: Evolution from manual research to AI-enhanced consulting, with research analysts being most displaced while higher-margin "Prompt Engineer" roles expand</w:t>
      </w:r>
      <w:bookmarkStart w:id="6" w:name="fnref1:4"/>
      <w:bookmarkEnd w:id="6"/>
      <w:hyperlink w:anchor="fn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[1]</w:t>
        </w:r>
      </w:hyperlink>
      <w:bookmarkStart w:id="7" w:name="fnref2:1"/>
      <w:bookmarkEnd w:id="7"/>
      <w:hyperlink w:anchor="fn2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[2]</w:t>
        </w:r>
      </w:hyperlink>
      <w:r>
        <w:rPr>
          <w:rFonts w:eastAsia="inter" w:cs="inter" w:ascii="inter" w:hAnsi="inter"/>
          <w:color w:val="000000"/>
        </w:rPr>
        <w:t xml:space="preserve">.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Communications</w:t>
      </w:r>
      <w:r>
        <w:rPr>
          <w:rFonts w:eastAsia="inter" w:cs="inter" w:ascii="inter" w:hAnsi="inter"/>
          <w:color w:val="000000"/>
        </w:rPr>
        <w:t xml:space="preserve">: Moving from reactive maintenance to predictive, zero-touch networks, with field technician roles declining from 30% to 15% of workforce</w:t>
      </w:r>
      <w:bookmarkStart w:id="8" w:name="fnref1:5"/>
      <w:bookmarkEnd w:id="8"/>
      <w:hyperlink w:anchor="fn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[1]</w:t>
        </w:r>
      </w:hyperlink>
      <w:bookmarkStart w:id="9" w:name="fnref2:2"/>
      <w:bookmarkEnd w:id="9"/>
      <w:hyperlink w:anchor="fn2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[2]</w:t>
        </w:r>
      </w:hyperlink>
      <w:r>
        <w:rPr>
          <w:rFonts w:eastAsia="inter" w:cs="inter" w:ascii="inter" w:hAnsi="inter"/>
          <w:color w:val="000000"/>
        </w:rPr>
        <w:t xml:space="preserve">.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Media &amp; Entertainment</w:t>
      </w:r>
      <w:r>
        <w:rPr>
          <w:rFonts w:eastAsia="inter" w:cs="inter" w:ascii="inter" w:hAnsi="inter"/>
          <w:color w:val="000000"/>
        </w:rPr>
        <w:t xml:space="preserve">: Shifting from traditional production to AI-augmented content creation, with 300% increase in creative output for content producers</w:t>
      </w:r>
      <w:bookmarkStart w:id="10" w:name="fnref1:6"/>
      <w:bookmarkEnd w:id="10"/>
      <w:hyperlink w:anchor="fn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[1]</w:t>
        </w:r>
      </w:hyperlink>
      <w:bookmarkStart w:id="11" w:name="fnref4"/>
      <w:bookmarkEnd w:id="11"/>
      <w:hyperlink w:anchor="fn4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[4]</w:t>
        </w:r>
      </w:hyperlink>
      <w:r>
        <w:rPr>
          <w:rFonts w:eastAsia="inter" w:cs="inter" w:ascii="inter" w:hAnsi="inter"/>
          <w:color w:val="000000"/>
        </w:rPr>
        <w:t xml:space="preserve">.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Sports Entertainment</w:t>
      </w:r>
      <w:r>
        <w:rPr>
          <w:rFonts w:eastAsia="inter" w:cs="inter" w:ascii="inter" w:hAnsi="inter"/>
          <w:color w:val="000000"/>
        </w:rPr>
        <w:t xml:space="preserve">: Transitioning from basic analytics to real-time AI-powered insights, with fan analytics roles growing from 5% to 20% of workforce</w:t>
      </w:r>
      <w:bookmarkStart w:id="12" w:name="fnref1:7"/>
      <w:bookmarkEnd w:id="12"/>
      <w:hyperlink w:anchor="fn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[1]</w:t>
        </w:r>
      </w:hyperlink>
      <w:bookmarkStart w:id="13" w:name="fnref2:3"/>
      <w:bookmarkEnd w:id="13"/>
      <w:hyperlink w:anchor="fn2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[2]</w:t>
        </w:r>
      </w:hyperlink>
      <w:r>
        <w:rPr>
          <w:rFonts w:eastAsia="inter" w:cs="inter" w:ascii="inter" w:hAnsi="inter"/>
          <w:color w:val="000000"/>
        </w:rPr>
        <w:t xml:space="preserve">.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Education</w:t>
      </w:r>
      <w:r>
        <w:rPr>
          <w:rFonts w:eastAsia="inter" w:cs="inter" w:ascii="inter" w:hAnsi="inter"/>
          <w:color w:val="000000"/>
        </w:rPr>
        <w:t xml:space="preserve">: Evolving from one-size-fits-all to personalized AI-driven learning, with AI coach mentors growing from 8% to 15% of workforce</w:t>
      </w:r>
      <w:bookmarkStart w:id="14" w:name="fnref1:8"/>
      <w:bookmarkEnd w:id="14"/>
      <w:hyperlink w:anchor="fn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[1]</w:t>
        </w:r>
      </w:hyperlink>
      <w:bookmarkStart w:id="15" w:name="fnref2:4"/>
      <w:bookmarkEnd w:id="15"/>
      <w:hyperlink w:anchor="fn2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[2]</w:t>
        </w:r>
      </w:hyperlink>
      <w:r>
        <w:rPr>
          <w:rFonts w:eastAsia="inter" w:cs="inter" w:ascii="inter" w:hAnsi="inter"/>
          <w:color w:val="000000"/>
        </w:rPr>
        <w:t xml:space="preserve">.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Quantifiable Impact Across Industries</w:t>
      </w:r>
    </w:p>
    <w:p>
      <w:pPr>
        <w:spacing w:line="360" w:after="0" w:lineRule="auto"/>
        <w:jc w:val="center"/>
      </w:pPr>
      <w:r>
        <w:rPr>
          <w:rFonts w:eastAsia="inter" w:cs="inter" w:ascii="inter" w:hAnsi="inter"/>
          <w:color w:val="000000"/>
        </w:rPr>
        <w:drawing>
          <wp:inline distB="0" distL="0" distR="0" distT="0">
            <wp:extent cx="6038850" cy="4025900"/>
            <wp:effectExtent b="0" l="0" r="0" t="0"/>
            <wp:docPr id="3" name="image-122ae083ba2bd298c2243b793853dab3c62fd899.png"/>
            <a:graphic>
              <a:graphicData uri="http://schemas.openxmlformats.org/drawingml/2006/picture">
                <pic:pic>
                  <pic:nvPicPr>
                    <pic:cNvPr id="3" name="image-122ae083ba2bd298c2243b793853dab3c62fd899.png" descr=""/>
                    <pic:cNvPicPr/>
                  </pic:nvPicPr>
                  <pic:blipFill>
                    <a:blip r:embed="rId7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402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AI Transformation Impact Metrics Across Industries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The numbers speak for themselves. </w:t>
      </w:r>
      <w:r>
        <w:rPr>
          <w:rFonts w:eastAsia="inter" w:cs="inter" w:ascii="inter" w:hAnsi="inter"/>
          <w:b/>
          <w:color w:val="000000"/>
        </w:rPr>
        <w:t xml:space="preserve">DevOps Engineers</w:t>
      </w:r>
      <w:r>
        <w:rPr>
          <w:rFonts w:eastAsia="inter" w:cs="inter" w:ascii="inter" w:hAnsi="inter"/>
          <w:color w:val="000000"/>
        </w:rPr>
        <w:t xml:space="preserve"> now experience 40% time savings and 85% error reduction, transforming from 8+ hour crisis management days to 5-hour strategic workdays</w:t>
      </w:r>
      <w:bookmarkStart w:id="16" w:name="fnref4:1"/>
      <w:bookmarkEnd w:id="16"/>
      <w:hyperlink w:anchor="fn4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[4]</w:t>
        </w:r>
      </w:hyperlink>
      <w:r>
        <w:rPr>
          <w:rFonts w:eastAsia="inter" w:cs="inter" w:ascii="inter" w:hAnsi="inter"/>
          <w:color w:val="000000"/>
        </w:rPr>
        <w:t xml:space="preserve">. </w:t>
      </w:r>
      <w:r>
        <w:rPr>
          <w:rFonts w:eastAsia="inter" w:cs="inter" w:ascii="inter" w:hAnsi="inter"/>
          <w:b/>
          <w:color w:val="000000"/>
        </w:rPr>
        <w:t xml:space="preserve">Content Producers</w:t>
      </w:r>
      <w:r>
        <w:rPr>
          <w:rFonts w:eastAsia="inter" w:cs="inter" w:ascii="inter" w:hAnsi="inter"/>
          <w:color w:val="000000"/>
        </w:rPr>
        <w:t xml:space="preserve"> achieve 300% creative output increases while reducing stress by 60%</w:t>
      </w:r>
      <w:bookmarkStart w:id="17" w:name="fnref4:2"/>
      <w:bookmarkEnd w:id="17"/>
      <w:hyperlink w:anchor="fn4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[4]</w:t>
        </w:r>
      </w:hyperlink>
      <w:r>
        <w:rPr>
          <w:rFonts w:eastAsia="inter" w:cs="inter" w:ascii="inter" w:hAnsi="inter"/>
          <w:color w:val="000000"/>
        </w:rPr>
        <w:t xml:space="preserve">. </w:t>
      </w:r>
      <w:r>
        <w:rPr>
          <w:rFonts w:eastAsia="inter" w:cs="inter" w:ascii="inter" w:hAnsi="inter"/>
          <w:b/>
          <w:color w:val="000000"/>
        </w:rPr>
        <w:t xml:space="preserve">Management Consultants</w:t>
      </w:r>
      <w:r>
        <w:rPr>
          <w:rFonts w:eastAsia="inter" w:cs="inter" w:ascii="inter" w:hAnsi="inter"/>
          <w:color w:val="000000"/>
        </w:rPr>
        <w:t xml:space="preserve"> save 60% of research time while improving insight quality by 200%</w:t>
      </w:r>
      <w:bookmarkStart w:id="18" w:name="fnref4:3"/>
      <w:bookmarkEnd w:id="18"/>
      <w:hyperlink w:anchor="fn4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[4]</w:t>
        </w:r>
      </w:hyperlink>
      <w:r>
        <w:rPr>
          <w:rFonts w:eastAsia="inter" w:cs="inter" w:ascii="inter" w:hAnsi="inter"/>
          <w:color w:val="000000"/>
        </w:rPr>
        <w:t xml:space="preserve">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In the semiconductor industry, NVIDIA's internal study shows yield improvements of +5 percentage points, mask re-spin reductions of -40%, and cycle-time reductions of -18 days, all with ROI achieved in less than 18 months</w:t>
      </w:r>
      <w:bookmarkStart w:id="19" w:name="fnref1:9"/>
      <w:bookmarkEnd w:id="19"/>
      <w:hyperlink w:anchor="fn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[1]</w:t>
        </w:r>
      </w:hyperlink>
      <w:r>
        <w:rPr>
          <w:rFonts w:eastAsia="inter" w:cs="inter" w:ascii="inter" w:hAnsi="inter"/>
          <w:color w:val="000000"/>
        </w:rPr>
        <w:t xml:space="preserve">.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Real-World Success Stories: 15 Transformative Examples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Technology Software &amp; Platforms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TCS Internal DevOps</w:t>
      </w:r>
      <w:r>
        <w:rPr>
          <w:rFonts w:eastAsia="inter" w:cs="inter" w:ascii="inter" w:hAnsi="inter"/>
          <w:color w:val="000000"/>
          <w:sz w:val="21"/>
        </w:rPr>
        <w:t xml:space="preserve">: AI-powered automation achieving 40% time savings and 85% error reduction</w:t>
      </w:r>
      <w:bookmarkStart w:id="20" w:name="fnref4:4"/>
      <w:bookmarkEnd w:id="20"/>
      <w:hyperlink w:anchor="fn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[4]</w:t>
        </w:r>
      </w:hyperlink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Global Consumer Goods Company</w:t>
      </w:r>
      <w:r>
        <w:rPr>
          <w:rFonts w:eastAsia="inter" w:cs="inter" w:ascii="inter" w:hAnsi="inter"/>
          <w:color w:val="000000"/>
          <w:sz w:val="21"/>
        </w:rPr>
        <w:t xml:space="preserve">: Unified data platform managing 22 petabytes with significant cost reduction</w:t>
      </w:r>
      <w:bookmarkStart w:id="21" w:name="fnref5"/>
      <w:bookmarkEnd w:id="21"/>
      <w:hyperlink w:anchor="fn5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[5]</w:t>
        </w:r>
      </w:hyperlink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Microsoft Partnership</w:t>
      </w:r>
      <w:r>
        <w:rPr>
          <w:rFonts w:eastAsia="inter" w:cs="inter" w:ascii="inter" w:hAnsi="inter"/>
          <w:color w:val="000000"/>
          <w:sz w:val="21"/>
        </w:rPr>
        <w:t xml:space="preserve">: TCS Service Desk Copilot providing semantic search and personalized responses</w:t>
      </w:r>
      <w:bookmarkStart w:id="22" w:name="fnref6"/>
      <w:bookmarkEnd w:id="22"/>
      <w:hyperlink w:anchor="fn6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[6]</w:t>
        </w:r>
      </w:hyperlink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Semiconductors &amp; Chip Manufacturing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NVIDIA</w:t>
      </w:r>
      <w:r>
        <w:rPr>
          <w:rFonts w:eastAsia="inter" w:cs="inter" w:ascii="inter" w:hAnsi="inter"/>
          <w:color w:val="000000"/>
          <w:sz w:val="21"/>
        </w:rPr>
        <w:t xml:space="preserve">: Reinforcement learning optimization yielding +5 percentage points improvement</w:t>
      </w:r>
      <w:bookmarkStart w:id="23" w:name="fnref1:10"/>
      <w:bookmarkEnd w:id="23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TCS-NVIDIA Partnership</w:t>
      </w:r>
      <w:r>
        <w:rPr>
          <w:rFonts w:eastAsia="inter" w:cs="inter" w:ascii="inter" w:hAnsi="inter"/>
          <w:color w:val="000000"/>
          <w:sz w:val="21"/>
        </w:rPr>
        <w:t xml:space="preserve">: Generative layout to GDSII reducing design time from weeks to hours</w:t>
      </w:r>
      <w:bookmarkStart w:id="24" w:name="fnref7"/>
      <w:bookmarkEnd w:id="24"/>
      <w:hyperlink w:anchor="fn7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[7]</w:t>
        </w:r>
      </w:hyperlink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Professional Services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McKinsey &amp; Company</w:t>
      </w:r>
      <w:r>
        <w:rPr>
          <w:rFonts w:eastAsia="inter" w:cs="inter" w:ascii="inter" w:hAnsi="inter"/>
          <w:color w:val="000000"/>
          <w:sz w:val="21"/>
        </w:rPr>
        <w:t xml:space="preserve">: $1.2B in AI services revenue with 60% research time reduction</w:t>
      </w:r>
      <w:bookmarkStart w:id="25" w:name="fnref8"/>
      <w:bookmarkEnd w:id="25"/>
      <w:hyperlink w:anchor="fn8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[8]</w:t>
        </w:r>
      </w:hyperlink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TCS Consulting</w:t>
      </w:r>
      <w:r>
        <w:rPr>
          <w:rFonts w:eastAsia="inter" w:cs="inter" w:ascii="inter" w:hAnsi="inter"/>
          <w:color w:val="000000"/>
          <w:sz w:val="21"/>
        </w:rPr>
        <w:t xml:space="preserve">: AI-enhanced management consulting with 200% insight quality improvement</w:t>
      </w:r>
      <w:bookmarkStart w:id="26" w:name="fnref4:5"/>
      <w:bookmarkEnd w:id="26"/>
      <w:hyperlink w:anchor="fn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[4]</w:t>
        </w:r>
      </w:hyperlink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Communications &amp; Telecom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Verizon</w:t>
      </w:r>
      <w:r>
        <w:rPr>
          <w:rFonts w:eastAsia="inter" w:cs="inter" w:ascii="inter" w:hAnsi="inter"/>
          <w:color w:val="000000"/>
          <w:sz w:val="21"/>
        </w:rPr>
        <w:t xml:space="preserve">: $40B investment in edge computing and AI transforming operations</w:t>
      </w:r>
      <w:bookmarkStart w:id="27" w:name="fnref2:5"/>
      <w:bookmarkEnd w:id="27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TCS Telecom Solutions</w:t>
      </w:r>
      <w:r>
        <w:rPr>
          <w:rFonts w:eastAsia="inter" w:cs="inter" w:ascii="inter" w:hAnsi="inter"/>
          <w:color w:val="000000"/>
          <w:sz w:val="21"/>
        </w:rPr>
        <w:t xml:space="preserve">: AI-native network anomaly management enabling zero-touch operations</w:t>
      </w:r>
      <w:bookmarkStart w:id="28" w:name="fnref9"/>
      <w:bookmarkEnd w:id="28"/>
      <w:hyperlink w:anchor="fn9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[9]</w:t>
        </w:r>
      </w:hyperlink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Media &amp; Entertainment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Netflix</w:t>
      </w:r>
      <w:r>
        <w:rPr>
          <w:rFonts w:eastAsia="inter" w:cs="inter" w:ascii="inter" w:hAnsi="inter"/>
          <w:color w:val="000000"/>
          <w:sz w:val="21"/>
        </w:rPr>
        <w:t xml:space="preserve">: 302M subscribers powered by industry-leading AI recommendation systems</w:t>
      </w:r>
      <w:bookmarkStart w:id="29" w:name="fnref8:1"/>
      <w:bookmarkEnd w:id="29"/>
      <w:hyperlink w:anchor="fn8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[8]</w:t>
        </w:r>
      </w:hyperlink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Leading Global OTT Platform</w:t>
      </w:r>
      <w:r>
        <w:rPr>
          <w:rFonts w:eastAsia="inter" w:cs="inter" w:ascii="inter" w:hAnsi="inter"/>
          <w:color w:val="000000"/>
          <w:sz w:val="21"/>
        </w:rPr>
        <w:t xml:space="preserve">: GenAI-based movie script analyzer improving content decisions</w:t>
      </w:r>
      <w:bookmarkStart w:id="30" w:name="fnref10"/>
      <w:bookmarkEnd w:id="30"/>
      <w:hyperlink w:anchor="fn10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[10]</w:t>
        </w:r>
      </w:hyperlink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Disney</w:t>
      </w:r>
      <w:r>
        <w:rPr>
          <w:rFonts w:eastAsia="inter" w:cs="inter" w:ascii="inter" w:hAnsi="inter"/>
          <w:color w:val="000000"/>
          <w:sz w:val="21"/>
        </w:rPr>
        <w:t xml:space="preserve">: AI-powered park experiences and content personalization</w:t>
      </w:r>
      <w:bookmarkStart w:id="31" w:name="fnref8:2"/>
      <w:bookmarkEnd w:id="31"/>
      <w:hyperlink w:anchor="fn8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[8]</w:t>
        </w:r>
      </w:hyperlink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Sports Entertainment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NFL</w:t>
      </w:r>
      <w:r>
        <w:rPr>
          <w:rFonts w:eastAsia="inter" w:cs="inter" w:ascii="inter" w:hAnsi="inter"/>
          <w:color w:val="000000"/>
          <w:sz w:val="21"/>
        </w:rPr>
        <w:t xml:space="preserve">: Next Gen Stats with AWS partnership revolutionizing fan engagement</w:t>
      </w:r>
      <w:bookmarkStart w:id="32" w:name="fnref8:3"/>
      <w:bookmarkEnd w:id="32"/>
      <w:hyperlink w:anchor="fn8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[8]</w:t>
        </w:r>
      </w:hyperlink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NBA</w:t>
      </w:r>
      <w:r>
        <w:rPr>
          <w:rFonts w:eastAsia="inter" w:cs="inter" w:ascii="inter" w:hAnsi="inter"/>
          <w:color w:val="000000"/>
          <w:sz w:val="21"/>
        </w:rPr>
        <w:t xml:space="preserve">: AI-powered player tracking and referee assistance</w:t>
      </w:r>
      <w:bookmarkStart w:id="33" w:name="fnref4:6"/>
      <w:bookmarkEnd w:id="33"/>
      <w:hyperlink w:anchor="fn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[4]</w:t>
        </w:r>
      </w:hyperlink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Education &amp; EdTech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Khan Academy</w:t>
      </w:r>
      <w:r>
        <w:rPr>
          <w:rFonts w:eastAsia="inter" w:cs="inter" w:ascii="inter" w:hAnsi="inter"/>
          <w:color w:val="000000"/>
          <w:sz w:val="21"/>
        </w:rPr>
        <w:t xml:space="preserve">: Khanmigo AI tutor powered by GPT-4 scaling personalized learning</w:t>
      </w:r>
      <w:bookmarkStart w:id="34" w:name="fnref8:4"/>
      <w:bookmarkEnd w:id="34"/>
      <w:hyperlink w:anchor="fn8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[8]</w:t>
        </w:r>
      </w:hyperlink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Workforce Evolution: Not Replacement, but Transformation</w:t>
      </w:r>
    </w:p>
    <w:p>
      <w:pPr>
        <w:spacing w:line="360" w:after="0" w:lineRule="auto"/>
        <w:jc w:val="center"/>
      </w:pPr>
      <w:r>
        <w:rPr>
          <w:rFonts w:eastAsia="inter" w:cs="inter" w:ascii="inter" w:hAnsi="inter"/>
          <w:color w:val="000000"/>
        </w:rPr>
        <w:drawing>
          <wp:inline distB="0" distL="0" distR="0" distT="0">
            <wp:extent cx="6038850" cy="4025900"/>
            <wp:effectExtent b="0" l="0" r="0" t="0"/>
            <wp:docPr id="4" name="image-d0eddd287a1bc9ae127dec6b1d3e3832fc522312.png"/>
            <a:graphic>
              <a:graphicData uri="http://schemas.openxmlformats.org/drawingml/2006/picture">
                <pic:pic>
                  <pic:nvPicPr>
                    <pic:cNvPr id="4" name="image-d0eddd287a1bc9ae127dec6b1d3e3832fc522312.png" descr=""/>
                    <pic:cNvPicPr/>
                  </pic:nvPicPr>
                  <pic:blipFill>
                    <a:blip r:embed="rId8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402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Workforce Evolution by Industry (2024-2028): Declining, Stable, and Growing Roles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The data reveals a critical insight: AI drives </w:t>
      </w:r>
      <w:r>
        <w:rPr>
          <w:rFonts w:eastAsia="inter" w:cs="inter" w:ascii="inter" w:hAnsi="inter"/>
          <w:b/>
          <w:color w:val="000000"/>
        </w:rPr>
        <w:t xml:space="preserve">workforce transformation, not elimination</w:t>
      </w:r>
      <w:r>
        <w:rPr>
          <w:rFonts w:eastAsia="inter" w:cs="inter" w:ascii="inter" w:hAnsi="inter"/>
          <w:color w:val="000000"/>
        </w:rPr>
        <w:t xml:space="preserve">. Across all industries, 20-30% of tasks are automated, but high-skill roles grow 10-15%</w:t>
      </w:r>
      <w:bookmarkStart w:id="35" w:name="fnref1:11"/>
      <w:bookmarkEnd w:id="35"/>
      <w:hyperlink w:anchor="fn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[1]</w:t>
        </w:r>
      </w:hyperlink>
      <w:r>
        <w:rPr>
          <w:rFonts w:eastAsia="inter" w:cs="inter" w:ascii="inter" w:hAnsi="inter"/>
          <w:color w:val="000000"/>
        </w:rPr>
        <w:t xml:space="preserve">. New roles emerge: AI-Enhanced Engineers, Prompt Engineers, Learning Architects, and AI Coach Mentors</w:t>
      </w:r>
      <w:bookmarkStart w:id="36" w:name="fnref1:12"/>
      <w:bookmarkEnd w:id="36"/>
      <w:hyperlink w:anchor="fn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[1]</w:t>
        </w:r>
      </w:hyperlink>
      <w:bookmarkStart w:id="37" w:name="fnref2:6"/>
      <w:bookmarkEnd w:id="37"/>
      <w:hyperlink w:anchor="fn2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[2]</w:t>
        </w:r>
      </w:hyperlink>
      <w:r>
        <w:rPr>
          <w:rFonts w:eastAsia="inter" w:cs="inter" w:ascii="inter" w:hAnsi="inter"/>
          <w:color w:val="000000"/>
        </w:rPr>
        <w:t xml:space="preserve">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Most significantly, professionals report 150-300% improvement in job satisfaction when AI handles routine tasks, allowing focus on strategic, creative, and relationship-building activities</w:t>
      </w:r>
      <w:bookmarkStart w:id="38" w:name="fnref4:7"/>
      <w:bookmarkEnd w:id="38"/>
      <w:hyperlink w:anchor="fn4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[4]</w:t>
        </w:r>
      </w:hyperlink>
      <w:r>
        <w:rPr>
          <w:rFonts w:eastAsia="inter" w:cs="inter" w:ascii="inter" w:hAnsi="inter"/>
          <w:color w:val="000000"/>
        </w:rPr>
        <w:t xml:space="preserve">.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How TCS Accelerates Your AI Journey</w:t>
      </w:r>
    </w:p>
    <w:p>
      <w:pPr>
        <w:spacing w:line="360" w:after="0" w:lineRule="auto"/>
        <w:jc w:val="center"/>
      </w:pPr>
      <w:r>
        <w:rPr>
          <w:rFonts w:eastAsia="inter" w:cs="inter" w:ascii="inter" w:hAnsi="inter"/>
          <w:color w:val="000000"/>
        </w:rPr>
        <w:drawing>
          <wp:inline distB="0" distL="0" distR="0" distT="0">
            <wp:extent cx="6038850" cy="4025900"/>
            <wp:effectExtent b="0" l="0" r="0" t="0"/>
            <wp:docPr id="5" name="image-a84d7d61600fa46aa86834234ade7a1eb61caafe.png"/>
            <a:graphic>
              <a:graphicData uri="http://schemas.openxmlformats.org/drawingml/2006/picture">
                <pic:pic>
                  <pic:nvPicPr>
                    <pic:cNvPr id="5" name="image-a84d7d61600fa46aa86834234ade7a1eb61caafe.png" descr=""/>
                    <pic:cNvPicPr/>
                  </pic:nvPicPr>
                  <pic:blipFill>
                    <a:blip r:embed="rId9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402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TCS AI Capabilities and Implementation Timeline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TCS brings unprecedented capability to your AI transformation: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Scale</w:t>
      </w:r>
      <w:r>
        <w:rPr>
          <w:rFonts w:eastAsia="inter" w:cs="inter" w:ascii="inter" w:hAnsi="inter"/>
          <w:color w:val="000000"/>
        </w:rPr>
        <w:t xml:space="preserve">: 500,000+ AI-trained associates globally, with 114,000+ professionals skilled in advanced AI techniques</w:t>
      </w:r>
      <w:bookmarkStart w:id="39" w:name="fnref11"/>
      <w:bookmarkEnd w:id="39"/>
      <w:hyperlink w:anchor="fn1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[11]</w:t>
        </w:r>
      </w:hyperlink>
      <w:bookmarkStart w:id="40" w:name="fnref12"/>
      <w:bookmarkEnd w:id="40"/>
      <w:hyperlink w:anchor="fn12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[12]</w:t>
        </w:r>
      </w:hyperlink>
      <w:r>
        <w:rPr>
          <w:rFonts w:eastAsia="inter" w:cs="inter" w:ascii="inter" w:hAnsi="inter"/>
          <w:color w:val="000000"/>
        </w:rPr>
        <w:t xml:space="preserve">. Our $1.5 billion AI pipeline demonstrates committed investment in your success</w:t>
      </w:r>
      <w:bookmarkStart w:id="41" w:name="fnref12:1"/>
      <w:bookmarkEnd w:id="41"/>
      <w:hyperlink w:anchor="fn12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[12]</w:t>
        </w:r>
      </w:hyperlink>
      <w:r>
        <w:rPr>
          <w:rFonts w:eastAsia="inter" w:cs="inter" w:ascii="inter" w:hAnsi="inter"/>
          <w:color w:val="000000"/>
        </w:rPr>
        <w:t xml:space="preserve">.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Platforms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AI WisdomNext™</w:t>
      </w:r>
      <w:r>
        <w:rPr>
          <w:rFonts w:eastAsia="inter" w:cs="inter" w:ascii="inter" w:hAnsi="inter"/>
          <w:color w:val="000000"/>
          <w:sz w:val="21"/>
        </w:rPr>
        <w:t xml:space="preserve">: First-of-its-kind platform for scalable generative AI adoption with low-code solutions and compliance guardrails</w:t>
      </w:r>
      <w:bookmarkStart w:id="42" w:name="fnref6:1"/>
      <w:bookmarkEnd w:id="42"/>
      <w:hyperlink w:anchor="fn6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[6]</w:t>
        </w:r>
      </w:hyperlink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Connected Intelligence Platform</w:t>
      </w:r>
      <w:r>
        <w:rPr>
          <w:rFonts w:eastAsia="inter" w:cs="inter" w:ascii="inter" w:hAnsi="inter"/>
          <w:color w:val="000000"/>
          <w:sz w:val="21"/>
        </w:rPr>
        <w:t xml:space="preserve">: Decision intelligence combining data engineering, science, and real-time orchestration</w:t>
      </w:r>
      <w:bookmarkStart w:id="43" w:name="fnref13"/>
      <w:bookmarkEnd w:id="43"/>
      <w:hyperlink w:anchor="fn1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[13]</w:t>
        </w:r>
      </w:hyperlink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TCS AI Studio</w:t>
      </w:r>
      <w:r>
        <w:rPr>
          <w:rFonts w:eastAsia="inter" w:cs="inter" w:ascii="inter" w:hAnsi="inter"/>
          <w:color w:val="000000"/>
          <w:sz w:val="21"/>
        </w:rPr>
        <w:t xml:space="preserve">: No-code platform democratizing AI for business users</w:t>
      </w:r>
      <w:bookmarkStart w:id="44" w:name="fnref14"/>
      <w:bookmarkEnd w:id="44"/>
      <w:hyperlink w:anchor="fn1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[14]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Strategic Partnerships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Microsoft</w:t>
      </w:r>
      <w:r>
        <w:rPr>
          <w:rFonts w:eastAsia="inter" w:cs="inter" w:ascii="inter" w:hAnsi="inter"/>
          <w:color w:val="000000"/>
          <w:sz w:val="21"/>
        </w:rPr>
        <w:t xml:space="preserve">: Multi-year collaboration for AI-led cloud solutions</w:t>
      </w:r>
      <w:bookmarkStart w:id="45" w:name="fnref15"/>
      <w:bookmarkEnd w:id="45"/>
      <w:hyperlink w:anchor="fn15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[15]</w:t>
        </w:r>
      </w:hyperlink>
      <w:bookmarkStart w:id="46" w:name="fnref16"/>
      <w:bookmarkEnd w:id="46"/>
      <w:hyperlink w:anchor="fn16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[16]</w:t>
        </w:r>
      </w:hyperlink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NVIDIA</w:t>
      </w:r>
      <w:r>
        <w:rPr>
          <w:rFonts w:eastAsia="inter" w:cs="inter" w:ascii="inter" w:hAnsi="inter"/>
          <w:color w:val="000000"/>
          <w:sz w:val="21"/>
        </w:rPr>
        <w:t xml:space="preserve">: Dedicated business unit for industry-specific AI solutions</w:t>
      </w:r>
      <w:bookmarkStart w:id="47" w:name="fnref7:1"/>
      <w:bookmarkEnd w:id="47"/>
      <w:hyperlink w:anchor="fn7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[7]</w:t>
        </w:r>
      </w:hyperlink>
      <w:bookmarkStart w:id="48" w:name="fnref17"/>
      <w:bookmarkEnd w:id="48"/>
      <w:hyperlink w:anchor="fn17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[17]</w:t>
        </w:r>
      </w:hyperlink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Google Cloud</w:t>
      </w:r>
      <w:r>
        <w:rPr>
          <w:rFonts w:eastAsia="inter" w:cs="inter" w:ascii="inter" w:hAnsi="inter"/>
          <w:color w:val="000000"/>
          <w:sz w:val="21"/>
        </w:rPr>
        <w:t xml:space="preserve">: 25,000+ certified engineers delivering custom AI solutions</w:t>
      </w:r>
      <w:bookmarkStart w:id="49" w:name="fnref18"/>
      <w:bookmarkEnd w:id="49"/>
      <w:hyperlink w:anchor="fn18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[18]</w:t>
        </w:r>
      </w:hyperlink>
      <w:bookmarkStart w:id="50" w:name="fnref19"/>
      <w:bookmarkEnd w:id="50"/>
      <w:hyperlink w:anchor="fn19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[19]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Industry Recognition</w:t>
      </w:r>
      <w:r>
        <w:rPr>
          <w:rFonts w:eastAsia="inter" w:cs="inter" w:ascii="inter" w:hAnsi="inter"/>
          <w:color w:val="000000"/>
        </w:rPr>
        <w:t xml:space="preserve">: Forrester names TCS as a large provider of AI services among Fortune 500 enterprises. Everest Group recognizes TCS as a leader in AI services</w:t>
      </w:r>
      <w:bookmarkStart w:id="51" w:name="fnref11:1"/>
      <w:bookmarkEnd w:id="51"/>
      <w:hyperlink w:anchor="fn1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[11]</w:t>
        </w:r>
      </w:hyperlink>
      <w:bookmarkStart w:id="52" w:name="fnref20"/>
      <w:bookmarkEnd w:id="52"/>
      <w:hyperlink w:anchor="fn20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[20]</w:t>
        </w:r>
      </w:hyperlink>
      <w:r>
        <w:rPr>
          <w:rFonts w:eastAsia="inter" w:cs="inter" w:ascii="inter" w:hAnsi="inter"/>
          <w:color w:val="000000"/>
        </w:rPr>
        <w:t xml:space="preserve">.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Your AI Transformation Roadmap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Phase 1 (30 days)</w:t>
      </w:r>
      <w:r>
        <w:rPr>
          <w:rFonts w:eastAsia="inter" w:cs="inter" w:ascii="inter" w:hAnsi="inter"/>
          <w:color w:val="000000"/>
        </w:rPr>
        <w:t xml:space="preserve">: Stand up AI governance council and establish responsible AI charter</w:t>
      </w:r>
      <w:bookmarkStart w:id="53" w:name="fnref1:13"/>
      <w:bookmarkEnd w:id="53"/>
      <w:hyperlink w:anchor="fn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Phase 2 (60 days)</w:t>
      </w:r>
      <w:r>
        <w:rPr>
          <w:rFonts w:eastAsia="inter" w:cs="inter" w:ascii="inter" w:hAnsi="inter"/>
          <w:color w:val="000000"/>
        </w:rPr>
        <w:t xml:space="preserve">: Baseline data maturity assessment and identify high-ROI use cases</w:t>
      </w:r>
      <w:bookmarkStart w:id="54" w:name="fnref1:14"/>
      <w:bookmarkEnd w:id="54"/>
      <w:hyperlink w:anchor="fn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Phase 3 (90 days)</w:t>
      </w:r>
      <w:r>
        <w:rPr>
          <w:rFonts w:eastAsia="inter" w:cs="inter" w:ascii="inter" w:hAnsi="inter"/>
          <w:color w:val="000000"/>
        </w:rPr>
        <w:t xml:space="preserve">: Launch 2-3 lighthouse cases tied to P&amp;L with clear success metrics</w:t>
      </w:r>
      <w:bookmarkStart w:id="55" w:name="fnref1:15"/>
      <w:bookmarkEnd w:id="55"/>
      <w:hyperlink w:anchor="fn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Phase 4 (12-18 months)</w:t>
      </w:r>
      <w:r>
        <w:rPr>
          <w:rFonts w:eastAsia="inter" w:cs="inter" w:ascii="inter" w:hAnsi="inter"/>
          <w:color w:val="000000"/>
        </w:rPr>
        <w:t xml:space="preserve">: Scale successful pilots across organization with full change management</w:t>
      </w:r>
      <w:bookmarkStart w:id="56" w:name="fnref1:16"/>
      <w:bookmarkEnd w:id="56"/>
      <w:hyperlink w:anchor="fn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Phase 5 (18-24 months)</w:t>
      </w:r>
      <w:r>
        <w:rPr>
          <w:rFonts w:eastAsia="inter" w:cs="inter" w:ascii="inter" w:hAnsi="inter"/>
          <w:color w:val="000000"/>
        </w:rPr>
        <w:t xml:space="preserve">: Achieve full ROI realization and establish competitive advantage</w:t>
      </w:r>
      <w:bookmarkStart w:id="57" w:name="fnref1:17"/>
      <w:bookmarkEnd w:id="57"/>
      <w:hyperlink w:anchor="fn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[1]</w:t>
        </w:r>
      </w:hyperlink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Anticipated Executive Q&amp;A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Q: How soon will we see ROI from AI investments?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A: Pilots show &lt;12 month payback on high-velocity use cases like content automation. Infrastructure plays average 24-30 months. TCS's structured approach ensures value realization starts from the POC stage</w:t>
      </w:r>
      <w:bookmarkStart w:id="58" w:name="fnref1:18"/>
      <w:bookmarkEnd w:id="58"/>
      <w:hyperlink w:anchor="fn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[1]</w:t>
        </w:r>
      </w:hyperlink>
      <w:r>
        <w:rPr>
          <w:rFonts w:eastAsia="inter" w:cs="inter" w:ascii="inter" w:hAnsi="inter"/>
          <w:color w:val="000000"/>
        </w:rPr>
        <w:t xml:space="preserve">.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Q: Will AI cut jobs or create new opportunities?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A: Reallocation, not elimination. 20-30% tasks automated, but high-skill roles grow 10-15%. Upskilling budget of 1-2% payroll recommended. New roles emerge: AI-Enhanced Engineers, Prompt Engineers, Learning Architects</w:t>
      </w:r>
      <w:bookmarkStart w:id="59" w:name="fnref1:19"/>
      <w:bookmarkEnd w:id="59"/>
      <w:hyperlink w:anchor="fn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[1]</w:t>
        </w:r>
      </w:hyperlink>
      <w:bookmarkStart w:id="60" w:name="fnref4:8"/>
      <w:bookmarkEnd w:id="60"/>
      <w:hyperlink w:anchor="fn4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[4]</w:t>
        </w:r>
      </w:hyperlink>
      <w:r>
        <w:rPr>
          <w:rFonts w:eastAsia="inter" w:cs="inter" w:ascii="inter" w:hAnsi="inter"/>
          <w:color w:val="000000"/>
        </w:rPr>
        <w:t xml:space="preserve">.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Q: What's our first move to start AI transformation?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A: TCS recommends: 1) Stand up AI governance council in 30 days, 2) Baseline data maturity assessment, 3) Launch 2-3 lighthouse cases tied to P&amp;L, 4) Establish 18-24 month scale roadmap</w:t>
      </w:r>
      <w:bookmarkStart w:id="61" w:name="fnref1:20"/>
      <w:bookmarkEnd w:id="61"/>
      <w:hyperlink w:anchor="fn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[1]</w:t>
        </w:r>
      </w:hyperlink>
      <w:r>
        <w:rPr>
          <w:rFonts w:eastAsia="inter" w:cs="inter" w:ascii="inter" w:hAnsi="inter"/>
          <w:color w:val="000000"/>
        </w:rPr>
        <w:t xml:space="preserve">.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Q: How do we ensure AI implementation aligns with our industry needs?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A: TCS offers industry-specific solutions: Manufacturing AI for Industrials, TCS AI Spectrum for BFSI, telecom-specific solutions. Our 500,000+ AI-trained associates bring deep domain expertise</w:t>
      </w:r>
      <w:bookmarkStart w:id="62" w:name="fnref7:2"/>
      <w:bookmarkEnd w:id="62"/>
      <w:hyperlink w:anchor="fn7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[7]</w:t>
        </w:r>
      </w:hyperlink>
      <w:bookmarkStart w:id="63" w:name="fnref11:2"/>
      <w:bookmarkEnd w:id="63"/>
      <w:hyperlink w:anchor="fn1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[11]</w:t>
        </w:r>
      </w:hyperlink>
      <w:r>
        <w:rPr>
          <w:rFonts w:eastAsia="inter" w:cs="inter" w:ascii="inter" w:hAnsi="inter"/>
          <w:color w:val="000000"/>
        </w:rPr>
        <w:t xml:space="preserve">.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Q: What about data security and compliance in AI implementations?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A: TCS platforms include built-in compliance guardrails, responsible AI principles, and data sovereignty solutions. Our TCS SovereignSecure Cloud and Cyber Defense Suite address enterprise security needs</w:t>
      </w:r>
      <w:bookmarkStart w:id="64" w:name="fnref21"/>
      <w:bookmarkEnd w:id="64"/>
      <w:hyperlink w:anchor="fn2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[21]</w:t>
        </w:r>
      </w:hyperlink>
      <w:r>
        <w:rPr>
          <w:rFonts w:eastAsia="inter" w:cs="inter" w:ascii="inter" w:hAnsi="inter"/>
          <w:color w:val="000000"/>
        </w:rPr>
        <w:t xml:space="preserve">.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Q: How do we measure success of AI initiatives?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A: TCS uses outcome-based metrics: productivity gains, cost reduction, revenue growth, customer satisfaction. We establish KPIs from day one and provide continuous monitoring</w:t>
      </w:r>
      <w:bookmarkStart w:id="65" w:name="fnref1:21"/>
      <w:bookmarkEnd w:id="65"/>
      <w:hyperlink w:anchor="fn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[1]</w:t>
        </w:r>
      </w:hyperlink>
      <w:bookmarkStart w:id="66" w:name="fnref4:9"/>
      <w:bookmarkEnd w:id="66"/>
      <w:hyperlink w:anchor="fn4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[4]</w:t>
        </w:r>
      </w:hyperlink>
      <w:r>
        <w:rPr>
          <w:rFonts w:eastAsia="inter" w:cs="inter" w:ascii="inter" w:hAnsi="inter"/>
          <w:color w:val="000000"/>
        </w:rPr>
        <w:t xml:space="preserve">.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Q: What's different about TCS's approach to AI compared to competitors?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A: TCS combines deep domain expertise with cutting-edge AI platforms. Our 'practice what we preach' approach means we use AI internally first. Strategic partnerships with Microsoft, NVIDIA, and Google provide access to latest technologies</w:t>
      </w:r>
      <w:bookmarkStart w:id="67" w:name="fnref12:2"/>
      <w:bookmarkEnd w:id="67"/>
      <w:hyperlink w:anchor="fn12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[12]</w:t>
        </w:r>
      </w:hyperlink>
      <w:bookmarkStart w:id="68" w:name="fnref22"/>
      <w:bookmarkEnd w:id="68"/>
      <w:hyperlink w:anchor="fn22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[22]</w:t>
        </w:r>
      </w:hyperlink>
      <w:r>
        <w:rPr>
          <w:rFonts w:eastAsia="inter" w:cs="inter" w:ascii="inter" w:hAnsi="inter"/>
          <w:color w:val="000000"/>
        </w:rPr>
        <w:t xml:space="preserve">.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Q: How do we handle change management for AI adoption?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A: TCS provides comprehensive change management: AI Experience Zones for hands-on learning, foundational training programs, collaborative workspaces. We've successfully trained 300,000+ employees</w:t>
      </w:r>
      <w:bookmarkStart w:id="69" w:name="fnref11:3"/>
      <w:bookmarkEnd w:id="69"/>
      <w:hyperlink w:anchor="fn1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[11]</w:t>
        </w:r>
      </w:hyperlink>
      <w:bookmarkStart w:id="70" w:name="fnref12:3"/>
      <w:bookmarkEnd w:id="70"/>
      <w:hyperlink w:anchor="fn12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[12]</w:t>
        </w:r>
      </w:hyperlink>
      <w:r>
        <w:rPr>
          <w:rFonts w:eastAsia="inter" w:cs="inter" w:ascii="inter" w:hAnsi="inter"/>
          <w:color w:val="000000"/>
        </w:rPr>
        <w:t xml:space="preserve">.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Q: What's the long-term vision for AI in our industry?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A: AI becomes the operating system of tomorrow's value chains. Organizations that architect for learning loops, design for human-AI teaming, and measure right KPIs will compound advantages year over year</w:t>
      </w:r>
      <w:bookmarkStart w:id="71" w:name="fnref1:22"/>
      <w:bookmarkEnd w:id="71"/>
      <w:hyperlink w:anchor="fn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[1]</w:t>
        </w:r>
      </w:hyperlink>
      <w:r>
        <w:rPr>
          <w:rFonts w:eastAsia="inter" w:cs="inter" w:ascii="inter" w:hAnsi="inter"/>
          <w:color w:val="000000"/>
        </w:rPr>
        <w:t xml:space="preserve">.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The Choice is Yours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Two paths lie ahead: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Path 1</w:t>
      </w:r>
      <w:r>
        <w:rPr>
          <w:rFonts w:eastAsia="inter" w:cs="inter" w:ascii="inter" w:hAnsi="inter"/>
          <w:color w:val="000000"/>
        </w:rPr>
        <w:t xml:space="preserve">: Keep polishing yesterday's chain while competitors build tomorrow's flywheel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Path 2</w:t>
      </w:r>
      <w:r>
        <w:rPr>
          <w:rFonts w:eastAsia="inter" w:cs="inter" w:ascii="inter" w:hAnsi="inter"/>
          <w:color w:val="000000"/>
        </w:rPr>
        <w:t xml:space="preserve">: Architect for learning loops, design for human-AI teaming, and compound advantages year over year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The question isn't whether AI will transform your industry. The question is: </w:t>
      </w:r>
      <w:r>
        <w:rPr>
          <w:rFonts w:eastAsia="inter" w:cs="inter" w:ascii="inter" w:hAnsi="inter"/>
          <w:b/>
          <w:color w:val="000000"/>
        </w:rPr>
        <w:t xml:space="preserve">Will you lead the transformation or be transformed by it?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AI is no longer a bolt-on—it is the operating system of tomorrow's value chains. Organizations that embrace this transformation will build sustainable competitive advantages. Those that don't risk irrelevance in an AI-first world.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Ready to start your loop? Let's talk.</w:t>
      </w:r>
    </w:p>
    <w:p>
      <w:pPr>
        <w:spacing w:line="360" w:after="210" w:lineRule="auto"/>
      </w:pPr>
      <w:r>
        <w:rPr>
          <w:rFonts w:eastAsia="inter" w:cs="inter" w:ascii="inter" w:hAnsi="inter"/>
          <w:i/>
          <w:color w:val="000000"/>
        </w:rPr>
        <w:t xml:space="preserve">This presentation framework can be customized for specific industries and organizational contexts. TCS's comprehensive AI capabilities, proven track record with 270+ active AI engagements, and strategic partnerships position us as the ideal partner for your AI transformation journey.</w:t>
      </w:r>
    </w:p>
    <w:p>
      <w:pPr>
        <w:spacing w:line="360" w:lineRule="auto"/>
        <w:jc w:val="center"/>
      </w:pPr>
      <w:r>
        <w:rPr>
          <w:rFonts w:eastAsia="inter" w:cs="inter" w:ascii="inter" w:hAnsi="inter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bookmarkStart w:id="72" w:name="fn1"/>
    <w:bookmarkEnd w:id="72"/>
    <w:p>
      <w:pPr>
        <w:numPr>
          <w:ilvl w:val="0"/>
          <w:numId w:val="11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Re-imagining-Value-Chains-in-the-Age-of-AI.docx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73" w:name="fn2"/>
    <w:bookmarkEnd w:id="73"/>
    <w:p>
      <w:pPr>
        <w:numPr>
          <w:ilvl w:val="0"/>
          <w:numId w:val="11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Provide-complete-</w:t>
      </w:r>
      <w:r>
        <w:rPr>
          <w:rFonts w:eastAsia="inter" w:cs="inter" w:ascii="inter" w:hAnsi="inter"/>
          <w:i/>
          <w:color w:val="000000"/>
          <w:sz w:val="18"/>
        </w:rPr>
        <w:t xml:space="preserve">day-in-the-life</w:t>
      </w:r>
      <w:r>
        <w:rPr>
          <w:rFonts w:eastAsia="inter" w:cs="inter" w:ascii="inter" w:hAnsi="inter"/>
          <w:color w:val="000000"/>
          <w:sz w:val="18"/>
        </w:rPr>
        <w:t xml:space="preserve">-narratives-for.docx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74" w:name="fn3"/>
    <w:bookmarkEnd w:id="74"/>
    <w:p>
      <w:pPr>
        <w:numPr>
          <w:ilvl w:val="0"/>
          <w:numId w:val="11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AI-Success-Case-Library-140-Real-World-Examples.docx </w:t>
      </w:r>
    </w:p>
    <w:bookmarkStart w:id="75" w:name="fn4"/>
    <w:bookmarkEnd w:id="75"/>
    <w:p>
      <w:pPr>
        <w:numPr>
          <w:ilvl w:val="0"/>
          <w:numId w:val="11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Current-vs.-Future-Workforce-Composition.docx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76" w:name="fn5"/>
    <w:bookmarkEnd w:id="76"/>
    <w:p>
      <w:pPr>
        <w:numPr>
          <w:ilvl w:val="0"/>
          <w:numId w:val="11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Top-30-Company-Tables-with-Full-Details-for-Each-I.docx </w:t>
      </w:r>
    </w:p>
    <w:bookmarkStart w:id="77" w:name="fn6"/>
    <w:bookmarkEnd w:id="77"/>
    <w:p>
      <w:pPr>
        <w:numPr>
          <w:ilvl w:val="0"/>
          <w:numId w:val="11"/>
        </w:numPr>
        <w:spacing w:line="360" w:after="210" w:lineRule="auto"/>
      </w:pPr>
      <w:hyperlink r:id="rId1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https://www.tcs.com/what-we-do/services/artificial-intelligence/solution/enterprise-generative-ai-adoption-wisdomnext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78" w:name="fn7"/>
    <w:bookmarkEnd w:id="78"/>
    <w:p>
      <w:pPr>
        <w:numPr>
          <w:ilvl w:val="0"/>
          <w:numId w:val="11"/>
        </w:numPr>
        <w:spacing w:line="360" w:after="210" w:lineRule="auto"/>
      </w:pPr>
      <w:hyperlink r:id="rId1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https://manufacturingdigital.com/ai-and-automation/tcs-launches-nvidia-unit-to-drive-ai-transformation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79" w:name="fn8"/>
    <w:bookmarkEnd w:id="79"/>
    <w:p>
      <w:pPr>
        <w:numPr>
          <w:ilvl w:val="0"/>
          <w:numId w:val="11"/>
        </w:numPr>
        <w:spacing w:line="360" w:after="210" w:lineRule="auto"/>
      </w:pPr>
      <w:hyperlink r:id="rId1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https://www.smartcitiesdive.com/press-release/20220913-tcs-ai-powered-decision-intelligence-platform-turns-data-in-intelligent-act/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80" w:name="fn9"/>
    <w:bookmarkEnd w:id="80"/>
    <w:p>
      <w:pPr>
        <w:numPr>
          <w:ilvl w:val="0"/>
          <w:numId w:val="11"/>
        </w:numPr>
        <w:spacing w:line="360" w:after="210" w:lineRule="auto"/>
      </w:pPr>
      <w:hyperlink r:id="rId1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https://www.tcs.com/what-we-do/industries/banking/solution/ai-studio-data-driven-decision-making-innovation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81" w:name="fn10"/>
    <w:bookmarkEnd w:id="81"/>
    <w:p>
      <w:pPr>
        <w:numPr>
          <w:ilvl w:val="0"/>
          <w:numId w:val="11"/>
        </w:numPr>
        <w:spacing w:line="360" w:after="210" w:lineRule="auto"/>
      </w:pPr>
      <w:hyperlink r:id="rId1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https://www.youtube.com/watch?v=KNOACWlaJNo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82" w:name="fn11"/>
    <w:bookmarkEnd w:id="82"/>
    <w:p>
      <w:pPr>
        <w:numPr>
          <w:ilvl w:val="0"/>
          <w:numId w:val="11"/>
        </w:numPr>
        <w:spacing w:line="360" w:after="210" w:lineRule="auto"/>
      </w:pPr>
      <w:hyperlink r:id="rId1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https://www.tcs.com/what-we-do/industries/banking/solution/tcs-conversational-ai-platform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83" w:name="fn12"/>
    <w:bookmarkEnd w:id="83"/>
    <w:p>
      <w:pPr>
        <w:numPr>
          <w:ilvl w:val="0"/>
          <w:numId w:val="11"/>
        </w:numPr>
        <w:spacing w:line="360" w:after="210" w:lineRule="auto"/>
      </w:pPr>
      <w:hyperlink r:id="rId1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https://www.tcs.com/what-we-do/services/artificial-intelligence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84" w:name="fn13"/>
    <w:bookmarkEnd w:id="84"/>
    <w:p>
      <w:pPr>
        <w:numPr>
          <w:ilvl w:val="0"/>
          <w:numId w:val="11"/>
        </w:numPr>
        <w:spacing w:line="360" w:after="210" w:lineRule="auto"/>
      </w:pPr>
      <w:hyperlink r:id="rId1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https://www.businessworld.in/article/tcs-launches-its-generative-ai-offering--477489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85" w:name="fn14"/>
    <w:bookmarkEnd w:id="85"/>
    <w:p>
      <w:pPr>
        <w:numPr>
          <w:ilvl w:val="0"/>
          <w:numId w:val="11"/>
        </w:numPr>
        <w:spacing w:line="360" w:after="210" w:lineRule="auto"/>
      </w:pPr>
      <w:hyperlink r:id="rId1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https://coingeek.com/tcs-unveils-ai-solutions-for-data-sovereignty-cybersecurity/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86" w:name="fn15"/>
    <w:bookmarkEnd w:id="86"/>
    <w:p>
      <w:pPr>
        <w:numPr>
          <w:ilvl w:val="0"/>
          <w:numId w:val="11"/>
        </w:numPr>
        <w:spacing w:line="360" w:after="210" w:lineRule="auto"/>
      </w:pPr>
      <w:hyperlink r:id="rId1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https://www.tcs.com/insights/topics/ai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87" w:name="fn16"/>
    <w:bookmarkEnd w:id="87"/>
    <w:p>
      <w:pPr>
        <w:numPr>
          <w:ilvl w:val="0"/>
          <w:numId w:val="11"/>
        </w:numPr>
        <w:spacing w:line="360" w:after="210" w:lineRule="auto"/>
      </w:pPr>
      <w:hyperlink r:id="rId2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https://www.toolify.ai/ai-news/revolutionize-your-business-with-tcs-generative-ai-solutions-1590061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88" w:name="fn17"/>
    <w:bookmarkEnd w:id="88"/>
    <w:p>
      <w:pPr>
        <w:numPr>
          <w:ilvl w:val="0"/>
          <w:numId w:val="11"/>
        </w:numPr>
        <w:spacing w:line="360" w:after="210" w:lineRule="auto"/>
      </w:pPr>
      <w:hyperlink r:id="rId2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https://www.youtube.com/watch?v=bEMuO3vX7OQ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89" w:name="fn18"/>
    <w:bookmarkEnd w:id="89"/>
    <w:p>
      <w:pPr>
        <w:numPr>
          <w:ilvl w:val="0"/>
          <w:numId w:val="11"/>
        </w:numPr>
        <w:spacing w:line="360" w:after="210" w:lineRule="auto"/>
      </w:pPr>
      <w:hyperlink r:id="rId2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https://www.marketscreener.com/quote/stock/TATA-CONSULTANCY-SERVICES-9743454/news/Tata-Consultancy-Services-Limited-Strengthens-Its-AI-Capabilities-Across-Its-Value-Chain-45730150/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90" w:name="fn19"/>
    <w:bookmarkEnd w:id="90"/>
    <w:p>
      <w:pPr>
        <w:numPr>
          <w:ilvl w:val="0"/>
          <w:numId w:val="11"/>
        </w:numPr>
        <w:spacing w:line="360" w:after="210" w:lineRule="auto"/>
      </w:pPr>
      <w:hyperlink r:id="rId2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https://economictimes.indiatimes.com/tech/technology/tcs-launches-generative-ai-solution-on-google-cloud/articleshow/100419684.cms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91" w:name="fn20"/>
    <w:bookmarkEnd w:id="91"/>
    <w:p>
      <w:pPr>
        <w:numPr>
          <w:ilvl w:val="0"/>
          <w:numId w:val="11"/>
        </w:numPr>
        <w:spacing w:line="360" w:after="210" w:lineRule="auto"/>
      </w:pPr>
      <w:hyperlink r:id="rId2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https://www.youtube.com/watch?v=Kl1JjTvkjTw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92" w:name="fn21"/>
    <w:bookmarkEnd w:id="92"/>
    <w:p>
      <w:pPr>
        <w:numPr>
          <w:ilvl w:val="0"/>
          <w:numId w:val="11"/>
        </w:numPr>
        <w:spacing w:line="360" w:after="210" w:lineRule="auto"/>
      </w:pPr>
      <w:hyperlink r:id="rId2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https://www.republicworld.com/tech/artificial-intelligence/tcs-elevates-ai-capabilities-unveils-cutting-edge-ai-experience-zone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93" w:name="fn22"/>
    <w:bookmarkEnd w:id="93"/>
    <w:p>
      <w:pPr>
        <w:numPr>
          <w:ilvl w:val="0"/>
          <w:numId w:val="11"/>
        </w:numPr>
        <w:spacing w:line="360" w:after="210" w:lineRule="auto"/>
      </w:pPr>
      <w:hyperlink r:id="rId2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https://www.processexcellencenetwork.com/business-transformation/news/microsoft-tcs-to-build-new-ai-led-solutions-for-business-transformation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inter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2">
    <w:multiLevelType w:val="hybridMultilevel"/>
    <w:lvl w:ilvl="0">
      <w:start w:val="4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3">
    <w:multiLevelType w:val="hybridMultilevel"/>
    <w:lvl w:ilvl="0">
      <w:start w:val="6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4">
    <w:multiLevelType w:val="hybridMultilevel"/>
    <w:lvl w:ilvl="0">
      <w:start w:val="8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5">
    <w:multiLevelType w:val="hybridMultilevel"/>
    <w:lvl w:ilvl="0">
      <w:start w:val="10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6">
    <w:multiLevelType w:val="hybridMultilevel"/>
    <w:lvl w:ilvl="0">
      <w:start w:val="13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7">
    <w:multiLevelType w:val="hybridMultilevel"/>
    <w:lvl w:ilvl="0">
      <w:start w:val="15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0">
    <w:multiLevelType w:val="hybridMultilevel"/>
  </w:abstractNum>
  <w:abstractNum w:abstractNumId="11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622223d3086d9f7adad796505b8e113cc55b5004.png" TargetMode="Internal"/><Relationship Id="rId6" Type="http://schemas.openxmlformats.org/officeDocument/2006/relationships/image" Target="media/image-b3179d07a6cd883f572502eda48334f08278d02f.png" TargetMode="Internal"/><Relationship Id="rId7" Type="http://schemas.openxmlformats.org/officeDocument/2006/relationships/image" Target="media/image-122ae083ba2bd298c2243b793853dab3c62fd899.png" TargetMode="Internal"/><Relationship Id="rId8" Type="http://schemas.openxmlformats.org/officeDocument/2006/relationships/image" Target="media/image-d0eddd287a1bc9ae127dec6b1d3e3832fc522312.png" TargetMode="Internal"/><Relationship Id="rId9" Type="http://schemas.openxmlformats.org/officeDocument/2006/relationships/image" Target="media/image-a84d7d61600fa46aa86834234ade7a1eb61caafe.png" TargetMode="Internal"/><Relationship Id="rId10" Type="http://schemas.openxmlformats.org/officeDocument/2006/relationships/hyperlink" Target="https://www.tcs.com/what-we-do/services/artificial-intelligence/solution/enterprise-generative-ai-adoption-wisdomnext" TargetMode="External"/><Relationship Id="rId11" Type="http://schemas.openxmlformats.org/officeDocument/2006/relationships/hyperlink" Target="https://manufacturingdigital.com/ai-and-automation/tcs-launches-nvidia-unit-to-drive-ai-transformation" TargetMode="External"/><Relationship Id="rId12" Type="http://schemas.openxmlformats.org/officeDocument/2006/relationships/hyperlink" Target="https://www.smartcitiesdive.com/press-release/20220913-tcs-ai-powered-decision-intelligence-platform-turns-data-in-intelligent-act/" TargetMode="External"/><Relationship Id="rId13" Type="http://schemas.openxmlformats.org/officeDocument/2006/relationships/hyperlink" Target="https://www.tcs.com/what-we-do/industries/banking/solution/ai-studio-data-driven-decision-making-innovation" TargetMode="External"/><Relationship Id="rId14" Type="http://schemas.openxmlformats.org/officeDocument/2006/relationships/hyperlink" Target="https://www.youtube.com/watch?v=KNOACWlaJNo" TargetMode="External"/><Relationship Id="rId15" Type="http://schemas.openxmlformats.org/officeDocument/2006/relationships/hyperlink" Target="https://www.tcs.com/what-we-do/industries/banking/solution/tcs-conversational-ai-platform" TargetMode="External"/><Relationship Id="rId16" Type="http://schemas.openxmlformats.org/officeDocument/2006/relationships/hyperlink" Target="https://www.tcs.com/what-we-do/services/artificial-intelligence" TargetMode="External"/><Relationship Id="rId17" Type="http://schemas.openxmlformats.org/officeDocument/2006/relationships/hyperlink" Target="https://www.businessworld.in/article/tcs-launches-its-generative-ai-offering--477489" TargetMode="External"/><Relationship Id="rId18" Type="http://schemas.openxmlformats.org/officeDocument/2006/relationships/hyperlink" Target="https://coingeek.com/tcs-unveils-ai-solutions-for-data-sovereignty-cybersecurity/" TargetMode="External"/><Relationship Id="rId19" Type="http://schemas.openxmlformats.org/officeDocument/2006/relationships/hyperlink" Target="https://www.tcs.com/insights/topics/ai" TargetMode="External"/><Relationship Id="rId20" Type="http://schemas.openxmlformats.org/officeDocument/2006/relationships/hyperlink" Target="https://www.toolify.ai/ai-news/revolutionize-your-business-with-tcs-generative-ai-solutions-1590061" TargetMode="External"/><Relationship Id="rId21" Type="http://schemas.openxmlformats.org/officeDocument/2006/relationships/hyperlink" Target="https://www.youtube.com/watch?v=bEMuO3vX7OQ" TargetMode="External"/><Relationship Id="rId22" Type="http://schemas.openxmlformats.org/officeDocument/2006/relationships/hyperlink" Target="https://www.marketscreener.com/quote/stock/TATA-CONSULTANCY-SERVICES-9743454/news/Tata-Consultancy-Services-Limited-Strengthens-Its-AI-Capabilities-Across-Its-Value-Chain-45730150/" TargetMode="External"/><Relationship Id="rId23" Type="http://schemas.openxmlformats.org/officeDocument/2006/relationships/hyperlink" Target="https://economictimes.indiatimes.com/tech/technology/tcs-launches-generative-ai-solution-on-google-cloud/articleshow/100419684.cms" TargetMode="External"/><Relationship Id="rId24" Type="http://schemas.openxmlformats.org/officeDocument/2006/relationships/hyperlink" Target="https://www.youtube.com/watch?v=Kl1JjTvkjTw" TargetMode="External"/><Relationship Id="rId25" Type="http://schemas.openxmlformats.org/officeDocument/2006/relationships/hyperlink" Target="https://www.republicworld.com/tech/artificial-intelligence/tcs-elevates-ai-capabilities-unveils-cutting-edge-ai-experience-zone" TargetMode="External"/><Relationship Id="rId26" Type="http://schemas.openxmlformats.org/officeDocument/2006/relationships/hyperlink" Target="https://www.processexcellencenetwork.com/business-transformation/news/microsoft-tcs-to-build-new-ai-led-solutions-for-business-transformation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2025-07-12T23:41:21.124Z</dcterms:created>
  <dcterms:modified xsi:type="dcterms:W3CDTF">2025-07-12T23:41:21.124Z</dcterms:modified>
</cp:coreProperties>
</file>