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inter" w:cs="inter" w:ascii="inter" w:hAnsi="inter"/>
          <w:color w:val="000000"/>
        </w:rPr>
        <w:drawing>
          <wp:inline distB="0" distL="0" distR="0" distT="0">
            <wp:extent cx="1143000" cy="287909"/>
            <wp:effectExtent b="0" l="0" r="0" t="0"/>
            <wp:docPr id="1" name="image-4368ba442a88509bedb9c734cf6daf98df8b1d11.png"/>
            <a:graphic>
              <a:graphicData uri="http://schemas.openxmlformats.org/drawingml/2006/picture">
                <pic:pic>
                  <pic:nvPicPr>
                    <pic:cNvPr id="1" name="image-4368ba442a88509bedb9c734cf6daf98df8b1d11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2879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r>
        <w:rPr>
          <w:rFonts w:eastAsia="inter" w:cs="inter" w:ascii="inter" w:hAnsi="inter"/>
          <w:b/>
          <w:color w:val="000000"/>
          <w:sz w:val="39"/>
        </w:rPr>
        <w:t xml:space="preserve">Reimagining Value Chains with AI: A 60-Minute Executive Briefing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Industry leaders are turning once-linear value chains into AI-powered learning loops that continuously sense, decide, and adapt. This presentation equips C-suite teams with a cross-industry panorama of the change, vivid journeys that bring it to life, and a clear view of how Tata Consultancy Services (TCS) can accelerate enterprise-scale results.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Agenda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AI’s value-chain shift: from straight lines to self-optimising loops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Seven industries reimagined: headline data, league-table insights, and real-world ROI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Future-of-work snapshots and “day-in-the-life” narratives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One transformation journey per sector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How TCS makes it real: 15 client wins across all industries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Executive Q&amp;A hot-sheet</w:t>
      </w:r>
    </w:p>
    <w:p>
      <w:pPr>
        <w:spacing w:line="360" w:after="0" w:lineRule="auto"/>
        <w:jc w:val="center"/>
      </w:pPr>
      <w:r>
        <w:rPr>
          <w:rFonts w:eastAsia="inter" w:cs="inter" w:ascii="inter" w:hAnsi="inter"/>
          <w:color w:val="000000"/>
        </w:rPr>
        <w:drawing>
          <wp:inline distB="0" distL="0" distR="0" distT="0">
            <wp:extent cx="6038850" cy="4025900"/>
            <wp:effectExtent b="0" l="0" r="0" t="0"/>
            <wp:docPr id="2" name="image-59d07a20992a36faad319a872aed222f44cfccae.png"/>
            <a:graphic>
              <a:graphicData uri="http://schemas.openxmlformats.org/drawingml/2006/picture">
                <pic:pic>
                  <pic:nvPicPr>
                    <pic:cNvPr id="2" name="image-59d07a20992a36faad319a872aed222f44cfccae.png" descr=""/>
                    <pic:cNvPicPr/>
                  </pic:nvPicPr>
                  <pic:blipFill>
                    <a:blip r:embed="rId6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402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NVIDIA’s AI-Driven Semiconductor Workflow: Key KPI Gains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Technology Software &amp; Platforms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How the chain is changing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Data-centric engineering platforms weave code, telemetry, and user feedback into a rapid-release flywheel. GenAI copilots slash raw coding hours 30%, shrinking total engineering seats to 35% of head-count by 2028</w:t>
      </w:r>
      <w:bookmarkStart w:id="0" w:name="fnref1"/>
      <w:bookmarkEnd w:id="0"/>
      <w:hyperlink w:anchor="fn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[1]</w:t>
        </w:r>
      </w:hyperlink>
      <w:r>
        <w:rPr>
          <w:rFonts w:eastAsia="inter" w:cs="inter" w:ascii="inter" w:hAnsi="inter"/>
          <w:color w:val="000000"/>
        </w:rPr>
        <w:t xml:space="preserve">.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Real-world impact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Microsoft Copilot: 55% faster coding cycles, 27% fewer bugs</w:t>
      </w:r>
      <w:bookmarkStart w:id="1" w:name="fnref2"/>
      <w:bookmarkEnd w:id="1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  <w:r>
        <w:rPr>
          <w:rFonts w:eastAsia="inter" w:cs="inter" w:ascii="inter" w:hAnsi="inter"/>
          <w:color w:val="000000"/>
          <w:sz w:val="21"/>
        </w:rPr>
        <w:t xml:space="preserve">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TCS DevOps Autonomy Suite: 40% time-on-call reduction, 85% error cuts (large SaaS client)</w:t>
      </w:r>
      <w:bookmarkStart w:id="2" w:name="fnref3"/>
      <w:bookmarkEnd w:id="2"/>
      <w:hyperlink w:anchor="fn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[3]</w:t>
        </w:r>
      </w:hyperlink>
      <w:bookmarkStart w:id="3" w:name="fnref4"/>
      <w:bookmarkEnd w:id="3"/>
      <w:hyperlink w:anchor="fn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[4]</w:t>
        </w:r>
      </w:hyperlink>
      <w:r>
        <w:rPr>
          <w:rFonts w:eastAsia="inter" w:cs="inter" w:ascii="inter" w:hAnsi="inter"/>
          <w:color w:val="000000"/>
          <w:sz w:val="21"/>
        </w:rPr>
        <w:t xml:space="preserve">.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League-table highlights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Microsoft, Google, Meta top revenue; ServiceNow and Palantir post fastest AI growth</w:t>
      </w:r>
      <w:bookmarkStart w:id="4" w:name="fnref5"/>
      <w:bookmarkEnd w:id="4"/>
      <w:hyperlink w:anchor="fn5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[5]</w:t>
        </w:r>
      </w:hyperlink>
      <w:r>
        <w:rPr>
          <w:rFonts w:eastAsia="inter" w:cs="inter" w:ascii="inter" w:hAnsi="inter"/>
          <w:color w:val="000000"/>
        </w:rPr>
        <w:t xml:space="preserve">.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Future-of-work snapshot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AI-Augmented Engineers dominate; new roles include Prompt Engineers and AI Incident Curators</w:t>
      </w:r>
      <w:bookmarkStart w:id="5" w:name="fnref1:1"/>
      <w:bookmarkEnd w:id="5"/>
      <w:hyperlink w:anchor="fn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[1]</w:t>
        </w:r>
      </w:hyperlink>
      <w:r>
        <w:rPr>
          <w:rFonts w:eastAsia="inter" w:cs="inter" w:ascii="inter" w:hAnsi="inter"/>
          <w:color w:val="000000"/>
        </w:rPr>
        <w:t xml:space="preserve">.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Journey example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A global SaaS firm moved from weekly releases to continuous deployment using TCS AI Studio; deployment failures fell 70%, NPS jumped 8 pts.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Semiconductors &amp; Foundries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Chain reimagined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Design → Fabrication becomes a data fabric where multi-agent optimisers balance yield vs. power in real time</w:t>
      </w:r>
      <w:bookmarkStart w:id="6" w:name="fnref6"/>
      <w:bookmarkEnd w:id="6"/>
      <w:hyperlink w:anchor="fn6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[6]</w:t>
        </w:r>
      </w:hyperlink>
      <w:r>
        <w:rPr>
          <w:rFonts w:eastAsia="inter" w:cs="inter" w:ascii="inter" w:hAnsi="inter"/>
          <w:color w:val="000000"/>
        </w:rPr>
        <w:t xml:space="preserve">.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Real-world impact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NVIDIA’s reinforcement-learning workflow: yield +5 pp, mask re-spin –40%, cycle time –18 days</w:t>
      </w:r>
      <w:bookmarkStart w:id="7" w:name="fnref6:1"/>
      <w:bookmarkEnd w:id="7"/>
      <w:hyperlink w:anchor="fn6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[6]</w:t>
        </w:r>
      </w:hyperlink>
      <w:r>
        <w:rPr>
          <w:rFonts w:eastAsia="inter" w:cs="inter" w:ascii="inter" w:hAnsi="inter"/>
          <w:color w:val="000000"/>
        </w:rPr>
        <w:t xml:space="preserve">.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League-table highlights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NVIDIA, AMD, and TSMC lead AI chip revenue; Synopsys and Cadence dominate EDA AI tools</w:t>
      </w:r>
      <w:bookmarkStart w:id="8" w:name="fnref5:1"/>
      <w:bookmarkEnd w:id="8"/>
      <w:hyperlink w:anchor="fn5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[5]</w:t>
        </w:r>
      </w:hyperlink>
      <w:r>
        <w:rPr>
          <w:rFonts w:eastAsia="inter" w:cs="inter" w:ascii="inter" w:hAnsi="inter"/>
          <w:color w:val="000000"/>
        </w:rPr>
        <w:t xml:space="preserve">.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Future-of-work snapshot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Robot-run fabs cut technician share from 35% to 20%. AI-accelerated design engineers grow to 30%</w:t>
      </w:r>
      <w:bookmarkStart w:id="9" w:name="fnref1:2"/>
      <w:bookmarkEnd w:id="9"/>
      <w:hyperlink w:anchor="fn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[1]</w:t>
        </w:r>
      </w:hyperlink>
      <w:r>
        <w:rPr>
          <w:rFonts w:eastAsia="inter" w:cs="inter" w:ascii="inter" w:hAnsi="inter"/>
          <w:color w:val="000000"/>
        </w:rPr>
        <w:t xml:space="preserve">.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Journey example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TCS-NVIDIA Gen-layout-to-GDSII pilot compressed design cycles from weeks to hours, saving $12 M annual tape-out costs</w:t>
      </w:r>
      <w:bookmarkStart w:id="10" w:name="fnref7"/>
      <w:bookmarkEnd w:id="10"/>
      <w:hyperlink w:anchor="fn7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[7]</w:t>
        </w:r>
      </w:hyperlink>
      <w:bookmarkStart w:id="11" w:name="fnref8"/>
      <w:bookmarkEnd w:id="11"/>
      <w:hyperlink w:anchor="fn8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[8]</w:t>
        </w:r>
      </w:hyperlink>
      <w:r>
        <w:rPr>
          <w:rFonts w:eastAsia="inter" w:cs="inter" w:ascii="inter" w:hAnsi="inter"/>
          <w:color w:val="000000"/>
        </w:rPr>
        <w:t xml:space="preserve">.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Professional Services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Chain reimagined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Manual research replaced by multi-agent “digital juniors,” freeing consultants for strategy</w:t>
      </w:r>
      <w:bookmarkStart w:id="12" w:name="fnref6:2"/>
      <w:bookmarkEnd w:id="12"/>
      <w:hyperlink w:anchor="fn6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[6]</w:t>
        </w:r>
      </w:hyperlink>
      <w:r>
        <w:rPr>
          <w:rFonts w:eastAsia="inter" w:cs="inter" w:ascii="inter" w:hAnsi="inter"/>
          <w:color w:val="000000"/>
        </w:rPr>
        <w:t xml:space="preserve">.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Real-world impact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McKinsey AI Research Fabric: 60% research time saved, $1.2 B AI services revenue</w:t>
      </w:r>
      <w:bookmarkStart w:id="13" w:name="fnref2:1"/>
      <w:bookmarkEnd w:id="13"/>
      <w:hyperlink w:anchor="fn2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[2]</w:t>
        </w:r>
      </w:hyperlink>
      <w:r>
        <w:rPr>
          <w:rFonts w:eastAsia="inter" w:cs="inter" w:ascii="inter" w:hAnsi="inter"/>
          <w:color w:val="000000"/>
        </w:rPr>
        <w:t xml:space="preserve">.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TCS WisdomNext™ at a Big 4 firm: 200% improvement in insight quality, 35% margin uplift</w:t>
      </w:r>
      <w:bookmarkStart w:id="14" w:name="fnref9"/>
      <w:bookmarkEnd w:id="14"/>
      <w:hyperlink w:anchor="fn9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[9]</w:t>
        </w:r>
      </w:hyperlink>
      <w:r>
        <w:rPr>
          <w:rFonts w:eastAsia="inter" w:cs="inter" w:ascii="inter" w:hAnsi="inter"/>
          <w:color w:val="000000"/>
        </w:rPr>
        <w:t xml:space="preserve">.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League-table highlights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McKinsey, Accenture, BCG lead AI revenue; Booz Allen dominates gov-AI niche</w:t>
      </w:r>
      <w:bookmarkStart w:id="15" w:name="fnref5:2"/>
      <w:bookmarkEnd w:id="15"/>
      <w:hyperlink w:anchor="fn5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[5]</w:t>
        </w:r>
      </w:hyperlink>
      <w:r>
        <w:rPr>
          <w:rFonts w:eastAsia="inter" w:cs="inter" w:ascii="inter" w:hAnsi="inter"/>
          <w:color w:val="000000"/>
        </w:rPr>
        <w:t xml:space="preserve">.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Future-of-work snapshot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Staff-consultant layer shrinks to 35%; Prompt Engineers hit 15% share</w:t>
      </w:r>
      <w:bookmarkStart w:id="16" w:name="fnref1:3"/>
      <w:bookmarkEnd w:id="16"/>
      <w:hyperlink w:anchor="fn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[1]</w:t>
        </w:r>
      </w:hyperlink>
      <w:r>
        <w:rPr>
          <w:rFonts w:eastAsia="inter" w:cs="inter" w:ascii="inter" w:hAnsi="inter"/>
          <w:color w:val="000000"/>
        </w:rPr>
        <w:t xml:space="preserve">.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Journey example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A global insurer used TCS Generative Insight Pods to auto-draft board papers; prep time fell from 12 days to 3 hours.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Communications &amp; Telco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Chain reimagined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Zero-touch networks with predictive AI; agentic LLMs handle billing, ops, and CX</w:t>
      </w:r>
      <w:bookmarkStart w:id="17" w:name="fnref6:3"/>
      <w:bookmarkEnd w:id="17"/>
      <w:hyperlink w:anchor="fn6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[6]</w:t>
        </w:r>
      </w:hyperlink>
      <w:r>
        <w:rPr>
          <w:rFonts w:eastAsia="inter" w:cs="inter" w:ascii="inter" w:hAnsi="inter"/>
          <w:color w:val="000000"/>
        </w:rPr>
        <w:t xml:space="preserve">.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Real-world impact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Verizon edge-AI: $40 B capex unlocks 30% opex savings via anomaly prediction</w:t>
      </w:r>
      <w:bookmarkStart w:id="18" w:name="fnref2:2"/>
      <w:bookmarkEnd w:id="18"/>
      <w:hyperlink w:anchor="fn2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[2]</w:t>
        </w:r>
      </w:hyperlink>
      <w:r>
        <w:rPr>
          <w:rFonts w:eastAsia="inter" w:cs="inter" w:ascii="inter" w:hAnsi="inter"/>
          <w:color w:val="000000"/>
        </w:rPr>
        <w:t xml:space="preserve">.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TCS Autonomous Network Anomaly Management: 45% MTTR reduction for Tier-1 APAC telco</w:t>
      </w:r>
      <w:bookmarkStart w:id="19" w:name="fnref7:1"/>
      <w:bookmarkEnd w:id="19"/>
      <w:hyperlink w:anchor="fn7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[7]</w:t>
        </w:r>
      </w:hyperlink>
      <w:bookmarkStart w:id="20" w:name="fnref10"/>
      <w:bookmarkEnd w:id="20"/>
      <w:hyperlink w:anchor="fn10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[10]</w:t>
        </w:r>
      </w:hyperlink>
      <w:bookmarkStart w:id="21" w:name="fnref11"/>
      <w:bookmarkEnd w:id="21"/>
      <w:hyperlink w:anchor="fn1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[11]</w:t>
        </w:r>
      </w:hyperlink>
      <w:r>
        <w:rPr>
          <w:rFonts w:eastAsia="inter" w:cs="inter" w:ascii="inter" w:hAnsi="inter"/>
          <w:color w:val="000000"/>
        </w:rPr>
        <w:t xml:space="preserve">.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League-table highlights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Verizon, AT&amp;T, T-Mobile dominate 5G AI spends; Comcast leads cable AI CX</w:t>
      </w:r>
      <w:bookmarkStart w:id="22" w:name="fnref5:3"/>
      <w:bookmarkEnd w:id="22"/>
      <w:hyperlink w:anchor="fn5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[5]</w:t>
        </w:r>
      </w:hyperlink>
      <w:r>
        <w:rPr>
          <w:rFonts w:eastAsia="inter" w:cs="inter" w:ascii="inter" w:hAnsi="inter"/>
          <w:color w:val="000000"/>
        </w:rPr>
        <w:t xml:space="preserve">.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Future-of-work snapshot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Network-ops share dives from 20% to 8%; Digital &amp; Edge engineers double to 20%</w:t>
      </w:r>
      <w:bookmarkStart w:id="23" w:name="fnref1:4"/>
      <w:bookmarkEnd w:id="23"/>
      <w:hyperlink w:anchor="fn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[1]</w:t>
        </w:r>
      </w:hyperlink>
      <w:r>
        <w:rPr>
          <w:rFonts w:eastAsia="inter" w:cs="inter" w:ascii="inter" w:hAnsi="inter"/>
          <w:color w:val="000000"/>
        </w:rPr>
        <w:t xml:space="preserve">.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Journey example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Telco switched to TCS-NVIDIA digital-twin planning; new-site RF optimisation time ↓ 70%.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Media &amp; Entertainment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Chain reimagined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AI-assisted script writing, virtual production, real-time adaptive streaming</w:t>
      </w:r>
      <w:bookmarkStart w:id="24" w:name="fnref6:4"/>
      <w:bookmarkEnd w:id="24"/>
      <w:hyperlink w:anchor="fn6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[6]</w:t>
        </w:r>
      </w:hyperlink>
      <w:r>
        <w:rPr>
          <w:rFonts w:eastAsia="inter" w:cs="inter" w:ascii="inter" w:hAnsi="inter"/>
          <w:color w:val="000000"/>
        </w:rPr>
        <w:t xml:space="preserve">.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Real-world impact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Netflix recommender AI drives 75% watch-hours; Disney uses AI for park crowd flow</w:t>
      </w:r>
      <w:bookmarkStart w:id="25" w:name="fnref2:3"/>
      <w:bookmarkEnd w:id="25"/>
      <w:hyperlink w:anchor="fn2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[2]</w:t>
        </w:r>
      </w:hyperlink>
      <w:r>
        <w:rPr>
          <w:rFonts w:eastAsia="inter" w:cs="inter" w:ascii="inter" w:hAnsi="inter"/>
          <w:color w:val="000000"/>
        </w:rPr>
        <w:t xml:space="preserve">.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TCS GenAI script analyser for OTT giant boosts green-light accuracy 20%</w:t>
      </w:r>
      <w:bookmarkStart w:id="26" w:name="fnref9:1"/>
      <w:bookmarkEnd w:id="26"/>
      <w:hyperlink w:anchor="fn9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[9]</w:t>
        </w:r>
      </w:hyperlink>
      <w:r>
        <w:rPr>
          <w:rFonts w:eastAsia="inter" w:cs="inter" w:ascii="inter" w:hAnsi="inter"/>
          <w:color w:val="000000"/>
        </w:rPr>
        <w:t xml:space="preserve">.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League-table highlights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Netflix tops subscribers; Disney leads diversified AI portfolio; WBD scales AI post-production</w:t>
      </w:r>
      <w:bookmarkStart w:id="27" w:name="fnref5:4"/>
      <w:bookmarkEnd w:id="27"/>
      <w:hyperlink w:anchor="fn5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[5]</w:t>
        </w:r>
      </w:hyperlink>
      <w:r>
        <w:rPr>
          <w:rFonts w:eastAsia="inter" w:cs="inter" w:ascii="inter" w:hAnsi="inter"/>
          <w:color w:val="000000"/>
        </w:rPr>
        <w:t xml:space="preserve">.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Future-of-work snapshot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AI-augmented creators rise to 30% of head-count; broadcast ops decline to 5%</w:t>
      </w:r>
      <w:bookmarkStart w:id="28" w:name="fnref1:5"/>
      <w:bookmarkEnd w:id="28"/>
      <w:hyperlink w:anchor="fn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[1]</w:t>
        </w:r>
      </w:hyperlink>
      <w:r>
        <w:rPr>
          <w:rFonts w:eastAsia="inter" w:cs="inter" w:ascii="inter" w:hAnsi="inter"/>
          <w:color w:val="000000"/>
        </w:rPr>
        <w:t xml:space="preserve">.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Journey example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Studio adopts TCS Virtual Production Copilot; edit-to-air cycle cut from 10 weeks to 4.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Sports Entertainment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Chain reimagined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Real-time predictive analytics and personalised fan feeds reshape revenue loops</w:t>
      </w:r>
      <w:bookmarkStart w:id="29" w:name="fnref6:5"/>
      <w:bookmarkEnd w:id="29"/>
      <w:hyperlink w:anchor="fn6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[6]</w:t>
        </w:r>
      </w:hyperlink>
      <w:r>
        <w:rPr>
          <w:rFonts w:eastAsia="inter" w:cs="inter" w:ascii="inter" w:hAnsi="inter"/>
          <w:color w:val="000000"/>
        </w:rPr>
        <w:t xml:space="preserve">.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Real-world impact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NFL Next Gen Stats: 30% higher fan-engagement minutes</w:t>
      </w:r>
      <w:bookmarkStart w:id="30" w:name="fnref2:4"/>
      <w:bookmarkEnd w:id="30"/>
      <w:hyperlink w:anchor="fn2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[2]</w:t>
        </w:r>
      </w:hyperlink>
      <w:r>
        <w:rPr>
          <w:rFonts w:eastAsia="inter" w:cs="inter" w:ascii="inter" w:hAnsi="inter"/>
          <w:color w:val="000000"/>
        </w:rPr>
        <w:t xml:space="preserve">.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TCS Player-Health AI for IPL franchise: injury risk –25%, season revenue +12%.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League-table highlights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NFL, NBA, MLB monetise AI data rights fastest; FanDuel and DraftKings scale AI betting</w:t>
      </w:r>
      <w:bookmarkStart w:id="31" w:name="fnref5:5"/>
      <w:bookmarkEnd w:id="31"/>
      <w:hyperlink w:anchor="fn5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[5]</w:t>
        </w:r>
      </w:hyperlink>
      <w:r>
        <w:rPr>
          <w:rFonts w:eastAsia="inter" w:cs="inter" w:ascii="inter" w:hAnsi="inter"/>
          <w:color w:val="000000"/>
        </w:rPr>
        <w:t xml:space="preserve">.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Future-of-work snapshot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Data/Betting/XR talent explodes from 5% to 20% of staff</w:t>
      </w:r>
      <w:bookmarkStart w:id="32" w:name="fnref1:6"/>
      <w:bookmarkEnd w:id="32"/>
      <w:hyperlink w:anchor="fn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[1]</w:t>
        </w:r>
      </w:hyperlink>
      <w:r>
        <w:rPr>
          <w:rFonts w:eastAsia="inter" w:cs="inter" w:ascii="inter" w:hAnsi="inter"/>
          <w:color w:val="000000"/>
        </w:rPr>
        <w:t xml:space="preserve">.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Journey example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Team uses TCS Stadium Twin to optimise concessions; spend per fan +9%.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Education &amp; EdTech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Chain reimagined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Adaptive AI tutors, competency analytics, and phygital campuses</w:t>
      </w:r>
      <w:bookmarkStart w:id="33" w:name="fnref6:6"/>
      <w:bookmarkEnd w:id="33"/>
      <w:hyperlink w:anchor="fn6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[6]</w:t>
        </w:r>
      </w:hyperlink>
      <w:r>
        <w:rPr>
          <w:rFonts w:eastAsia="inter" w:cs="inter" w:ascii="inter" w:hAnsi="inter"/>
          <w:color w:val="000000"/>
        </w:rPr>
        <w:t xml:space="preserve">.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Real-world impact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Khanmigo boosts lesson completion 52%</w:t>
      </w:r>
      <w:bookmarkStart w:id="34" w:name="fnref2:5"/>
      <w:bookmarkEnd w:id="34"/>
      <w:hyperlink w:anchor="fn2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[2]</w:t>
        </w:r>
      </w:hyperlink>
      <w:r>
        <w:rPr>
          <w:rFonts w:eastAsia="inter" w:cs="inter" w:ascii="inter" w:hAnsi="inter"/>
          <w:color w:val="000000"/>
        </w:rPr>
        <w:t xml:space="preserve">.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TCS Digital University enables 200k learners across 15 countries, with 35% cost-per-student drop</w:t>
      </w:r>
      <w:bookmarkStart w:id="35" w:name="fnref12"/>
      <w:bookmarkEnd w:id="35"/>
      <w:hyperlink w:anchor="fn12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[12]</w:t>
        </w:r>
      </w:hyperlink>
      <w:bookmarkStart w:id="36" w:name="fnref13"/>
      <w:bookmarkEnd w:id="36"/>
      <w:hyperlink w:anchor="fn13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[13]</w:t>
        </w:r>
      </w:hyperlink>
      <w:r>
        <w:rPr>
          <w:rFonts w:eastAsia="inter" w:cs="inter" w:ascii="inter" w:hAnsi="inter"/>
          <w:color w:val="000000"/>
        </w:rPr>
        <w:t xml:space="preserve">.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League-table highlights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Khan Academy, Duolingo, Coursera set pace; LinkedIn Learning leads corporate AI</w:t>
      </w:r>
      <w:bookmarkStart w:id="37" w:name="fnref5:6"/>
      <w:bookmarkEnd w:id="37"/>
      <w:hyperlink w:anchor="fn5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[5]</w:t>
        </w:r>
      </w:hyperlink>
      <w:r>
        <w:rPr>
          <w:rFonts w:eastAsia="inter" w:cs="inter" w:ascii="inter" w:hAnsi="inter"/>
          <w:color w:val="000000"/>
        </w:rPr>
        <w:t xml:space="preserve">.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Future-of-work snapshot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Learning Architects climb to 15%; AI Coach Mentors to 15%</w:t>
      </w:r>
      <w:bookmarkStart w:id="38" w:name="fnref1:7"/>
      <w:bookmarkEnd w:id="38"/>
      <w:hyperlink w:anchor="fn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[1]</w:t>
        </w:r>
      </w:hyperlink>
      <w:r>
        <w:rPr>
          <w:rFonts w:eastAsia="inter" w:cs="inter" w:ascii="inter" w:hAnsi="inter"/>
          <w:color w:val="000000"/>
        </w:rPr>
        <w:t xml:space="preserve">.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Journey example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University rolled out TCS iON AI Learning Experience; drop-out rate fell 18% in year 1</w:t>
      </w:r>
      <w:bookmarkStart w:id="39" w:name="fnref14"/>
      <w:bookmarkEnd w:id="39"/>
      <w:hyperlink w:anchor="fn14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[14]</w:t>
        </w:r>
      </w:hyperlink>
      <w:r>
        <w:rPr>
          <w:rFonts w:eastAsia="inter" w:cs="inter" w:ascii="inter" w:hAnsi="inter"/>
          <w:color w:val="000000"/>
        </w:rPr>
        <w:t xml:space="preserve">.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Future of Work: Cross-Industry Patterns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902"/>
        <w:gridCol w:w="1902"/>
        <w:gridCol w:w="1902"/>
        <w:gridCol w:w="1902"/>
        <w:gridCol w:w="1902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Metric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2024 Baseline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2028 AI-First Target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Delta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Source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Routine Tasks Automated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25%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+25 pp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w:anchor="fn1">
              <w:r>
                <w:rPr>
                  <w:rFonts w:eastAsia="inter" w:cs="inter" w:ascii="inter" w:hAnsi="inter"/>
                  <w:color w:val="#000"/>
                  <w:sz w:val="17"/>
                  <w:u w:val="single"/>
                  <w:vertAlign w:val="superscript"/>
                </w:rPr>
                <w:t xml:space="preserve">[1]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High-Skill Roles Growth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+12% head-count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+12%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w:anchor="fn6">
              <w:r>
                <w:rPr>
                  <w:rFonts w:eastAsia="inter" w:cs="inter" w:ascii="inter" w:hAnsi="inter"/>
                  <w:color w:val="#000"/>
                  <w:sz w:val="17"/>
                  <w:u w:val="single"/>
                  <w:vertAlign w:val="superscript"/>
                </w:rPr>
                <w:t xml:space="preserve">[6]</w:t>
              </w:r>
            </w:hyperlink>
            <w:hyperlink w:anchor="fn1">
              <w:r>
                <w:rPr>
                  <w:rFonts w:eastAsia="inter" w:cs="inter" w:ascii="inter" w:hAnsi="inter"/>
                  <w:color w:val="#000"/>
                  <w:sz w:val="17"/>
                  <w:u w:val="single"/>
                  <w:vertAlign w:val="superscript"/>
                </w:rPr>
                <w:t xml:space="preserve">[1]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Average Time Saved per FTE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40-60%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40-60%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w:anchor="fn3">
              <w:r>
                <w:rPr>
                  <w:rFonts w:eastAsia="inter" w:cs="inter" w:ascii="inter" w:hAnsi="inter"/>
                  <w:color w:val="#000"/>
                  <w:sz w:val="17"/>
                  <w:u w:val="single"/>
                  <w:vertAlign w:val="superscript"/>
                </w:rPr>
                <w:t xml:space="preserve">[3]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Job Satisfaction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Index 100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Index 230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+130%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w:anchor="fn3">
              <w:r>
                <w:rPr>
                  <w:rFonts w:eastAsia="inter" w:cs="inter" w:ascii="inter" w:hAnsi="inter"/>
                  <w:color w:val="#000"/>
                  <w:sz w:val="17"/>
                  <w:u w:val="single"/>
                  <w:vertAlign w:val="superscript"/>
                </w:rPr>
                <w:t xml:space="preserve">[3]</w:t>
              </w:r>
            </w:hyperlink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Narratives from DevOps, Chip-Design, Consultant, NOC, Content Director, Sports Analyst, and Curriculum Designer personas illustrate stress reduction 50-70% and strategic-work time up to 4 ×</w:t>
      </w:r>
      <w:bookmarkStart w:id="40" w:name="fnref3:3"/>
      <w:bookmarkEnd w:id="40"/>
      <w:hyperlink w:anchor="fn3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[3]</w:t>
        </w:r>
      </w:hyperlink>
      <w:bookmarkStart w:id="41" w:name="fnref1:10"/>
      <w:bookmarkEnd w:id="41"/>
      <w:hyperlink w:anchor="fn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[1]</w:t>
        </w:r>
      </w:hyperlink>
      <w:r>
        <w:rPr>
          <w:rFonts w:eastAsia="inter" w:cs="inter" w:ascii="inter" w:hAnsi="inter"/>
          <w:color w:val="000000"/>
        </w:rPr>
        <w:t xml:space="preserve">.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How TCS Accelerates Your AI Value-Chain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Platforms &amp; Practices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WisdomNext™ GenAI factory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Connected Intelligence data fabric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AI Studio low-code model hub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100k+ AWS GenAI-certified talent</w:t>
      </w:r>
      <w:bookmarkStart w:id="42" w:name="fnref15"/>
      <w:bookmarkEnd w:id="42"/>
      <w:hyperlink w:anchor="fn15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[15]</w:t>
        </w:r>
      </w:hyperlink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Scale &amp; Skills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580 active AI engagements, $1.5 B pipeline</w:t>
      </w:r>
      <w:bookmarkStart w:id="43" w:name="fnref16"/>
      <w:bookmarkEnd w:id="43"/>
      <w:hyperlink w:anchor="fn16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[16]</w:t>
        </w:r>
      </w:hyperlink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710 AI patents filed; 282 granted</w:t>
      </w:r>
      <w:bookmarkStart w:id="44" w:name="fnref17"/>
      <w:bookmarkEnd w:id="44"/>
      <w:hyperlink w:anchor="fn17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[17]</w:t>
        </w:r>
      </w:hyperlink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15 TCS Wins Across All Sectors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SaaS DevOps Autonomy (Tech) – 40% incident cut</w:t>
      </w:r>
      <w:bookmarkStart w:id="45" w:name="fnref4:1"/>
      <w:bookmarkEnd w:id="45"/>
      <w:hyperlink w:anchor="fn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[4]</w:t>
        </w:r>
      </w:hyperlink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Gen-Layout-to-GDSII (Semi) – design cycle –90%</w:t>
      </w:r>
      <w:bookmarkStart w:id="46" w:name="fnref7:2"/>
      <w:bookmarkEnd w:id="46"/>
      <w:hyperlink w:anchor="fn7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[7]</w:t>
        </w:r>
      </w:hyperlink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Consulting Insight Copilot (Pro Svc) – 35% margin lift</w:t>
      </w:r>
      <w:bookmarkStart w:id="47" w:name="fnref9:2"/>
      <w:bookmarkEnd w:id="47"/>
      <w:hyperlink w:anchor="fn9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[9]</w:t>
        </w:r>
      </w:hyperlink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Telco Anomaly Management – MTTR –45%</w:t>
      </w:r>
      <w:bookmarkStart w:id="48" w:name="fnref10:1"/>
      <w:bookmarkEnd w:id="48"/>
      <w:hyperlink w:anchor="fn10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[10]</w:t>
        </w:r>
      </w:hyperlink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RF Digital Twin Planning – rollout time –70%</w:t>
      </w:r>
      <w:bookmarkStart w:id="49" w:name="fnref8:1"/>
      <w:bookmarkEnd w:id="49"/>
      <w:hyperlink w:anchor="fn8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[8]</w:t>
        </w:r>
      </w:hyperlink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Retail Optumera™ price optimisation – gross-margin +2 pts</w:t>
      </w:r>
      <w:bookmarkStart w:id="50" w:name="fnref18"/>
      <w:bookmarkEnd w:id="50"/>
      <w:hyperlink w:anchor="fn18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[18]</w:t>
        </w:r>
      </w:hyperlink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SCO AI shrink-loss solution – loss –30%</w:t>
      </w:r>
      <w:bookmarkStart w:id="51" w:name="fnref19"/>
      <w:bookmarkEnd w:id="51"/>
      <w:hyperlink w:anchor="fn19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[19]</w:t>
        </w:r>
      </w:hyperlink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OTT GenAI script analyser – green-light accuracy +20%</w:t>
      </w:r>
      <w:bookmarkStart w:id="52" w:name="fnref9:3"/>
      <w:bookmarkEnd w:id="52"/>
      <w:hyperlink w:anchor="fn9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[9]</w:t>
        </w:r>
      </w:hyperlink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Stadium Twin (Sports) – per-cap spend +9%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Player-Health AI (Sports) – injury risk –25%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TCS Digital University – cost/student –35%</w:t>
      </w:r>
      <w:bookmarkStart w:id="53" w:name="fnref12:1"/>
      <w:bookmarkEnd w:id="53"/>
      <w:hyperlink w:anchor="fn1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[12]</w:t>
        </w:r>
      </w:hyperlink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iON AI Learning Platform – drop-out –18%</w:t>
      </w:r>
      <w:bookmarkStart w:id="54" w:name="fnref14:1"/>
      <w:bookmarkEnd w:id="54"/>
      <w:hyperlink w:anchor="fn1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[14]</w:t>
        </w:r>
      </w:hyperlink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Manufacturing GenAI copilot – design defect detection +87%</w:t>
      </w:r>
      <w:bookmarkStart w:id="55" w:name="fnref20"/>
      <w:bookmarkEnd w:id="55"/>
      <w:hyperlink w:anchor="fn20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[20]</w:t>
        </w:r>
      </w:hyperlink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Edge Analytics for OEM – predictive maintenance –40% downtime</w:t>
      </w:r>
      <w:bookmarkStart w:id="56" w:name="fnref21"/>
      <w:bookmarkEnd w:id="56"/>
      <w:hyperlink w:anchor="fn2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[21]</w:t>
        </w:r>
      </w:hyperlink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goIT GenAI Pathway – 350k students upskilled, CSR impact</w:t>
      </w:r>
      <w:bookmarkStart w:id="57" w:name="fnref22"/>
      <w:bookmarkEnd w:id="57"/>
      <w:hyperlink w:anchor="fn2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[22]</w:t>
        </w:r>
      </w:hyperlink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Anticipated Executive Q&amp;A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Question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Concise Answer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When will we see ROI?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High-velocity use cases (content, DevOps, anomaly management) pay back in &lt;12 months; data-fabric plays average 24-30 months.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Will AI cut jobs?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It reallocates work: 25% task automation but 10-15% net growth in expert roles; plan 1-2% payroll for upskilling</w:t>
            </w:r>
            <w:hyperlink w:anchor="fn1">
              <w:r>
                <w:rPr>
                  <w:rFonts w:eastAsia="inter" w:cs="inter" w:ascii="inter" w:hAnsi="inter"/>
                  <w:color w:val="#000"/>
                  <w:sz w:val="17"/>
                  <w:u w:val="single"/>
                  <w:vertAlign w:val="superscript"/>
                </w:rPr>
                <w:t xml:space="preserve">[1]</w:t>
              </w:r>
            </w:hyperlink>
            <w:r>
              <w:rPr>
                <w:rFonts w:eastAsia="inter" w:cs="inter" w:ascii="inter" w:hAnsi="inter"/>
                <w:color w:val="000000"/>
                <w:sz w:val="17"/>
              </w:rPr>
              <w:t xml:space="preserve">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First step?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Form AI governance council in 30 days, baseline data maturity, launch 2-3 lighthouse projects with P&amp;L tie-ins.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How to ensure industry fit?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TCS offers sector-specific accelerators (e.g., AI Native Telco suite, Optumera™, Digital University).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What about security &amp; compliance?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Built-in guardrails, sovereign cloud options, model-risk testing, and Responsible-AI charter baked into TCS platforms.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How do we measure success?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Outcome metrics: productivity, cost, revenue, CX. TCS dashboards embed these KPIs from day one.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Differentiator vs. competitors?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TCS combines deep domain talent, platform IP, and first-hand AI deployment at scale across 7 sectors.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Change management approach?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AI Experience Zones, bootcamps, CoPs; 300k+ staff reskilled in prior programs.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Long-term vision?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AI becomes the operating system of your value chain; early movers compound advantages each learning cycle.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Closing Thought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In an AI-first world, value chains aren’t lines—they’re learning loops. The only question is whether you will lead the loop or be priced out by it. TCS stands ready to co-engineer your flywheel.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Ready to start? Let’s talk.</w:t>
      </w:r>
    </w:p>
    <w:p>
      <w:pPr>
        <w:spacing w:line="360" w:lineRule="auto"/>
        <w:jc w:val="center"/>
      </w:pPr>
      <w:r>
        <w:rPr>
          <w:rFonts w:eastAsia="inter" w:cs="inter" w:ascii="inter" w:hAnsi="inter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bookmarkStart w:id="58" w:name="fn1"/>
    <w:bookmarkEnd w:id="58"/>
    <w:p>
      <w:pPr>
        <w:numPr>
          <w:ilvl w:val="0"/>
          <w:numId w:val="7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Current-vs.-Future-Workforce-Composition.docx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9" w:name="fn2"/>
    <w:bookmarkEnd w:id="59"/>
    <w:p>
      <w:pPr>
        <w:numPr>
          <w:ilvl w:val="0"/>
          <w:numId w:val="7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AI-Success-Case-Library-140-Real-World-Examples.docx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0" w:name="fn3"/>
    <w:bookmarkEnd w:id="60"/>
    <w:p>
      <w:pPr>
        <w:numPr>
          <w:ilvl w:val="0"/>
          <w:numId w:val="7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Provide-complete-</w:t>
      </w:r>
      <w:r>
        <w:rPr>
          <w:rFonts w:eastAsia="inter" w:cs="inter" w:ascii="inter" w:hAnsi="inter"/>
          <w:i/>
          <w:color w:val="000000"/>
          <w:sz w:val="18"/>
        </w:rPr>
        <w:t xml:space="preserve">day-in-the-life</w:t>
      </w:r>
      <w:r>
        <w:rPr>
          <w:rFonts w:eastAsia="inter" w:cs="inter" w:ascii="inter" w:hAnsi="inter"/>
          <w:color w:val="000000"/>
          <w:sz w:val="18"/>
        </w:rPr>
        <w:t xml:space="preserve">-narratives-for.docx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1" w:name="fn4"/>
    <w:bookmarkEnd w:id="61"/>
    <w:p>
      <w:pPr>
        <w:numPr>
          <w:ilvl w:val="0"/>
          <w:numId w:val="7"/>
        </w:numPr>
        <w:spacing w:line="360" w:after="210" w:lineRule="auto"/>
      </w:pPr>
      <w:hyperlink r:id="rId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https://aiexpert.network/ai-at-tcs/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2" w:name="fn5"/>
    <w:bookmarkEnd w:id="62"/>
    <w:p>
      <w:pPr>
        <w:numPr>
          <w:ilvl w:val="0"/>
          <w:numId w:val="7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Top-30-Company-Tables-with-Full-Details-for-Each-I.docx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3" w:name="fn6"/>
    <w:bookmarkEnd w:id="63"/>
    <w:p>
      <w:pPr>
        <w:numPr>
          <w:ilvl w:val="0"/>
          <w:numId w:val="7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Re-imagining-Value-Chains-in-the-Age-of-AI.docx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4" w:name="fn7"/>
    <w:bookmarkEnd w:id="64"/>
    <w:p>
      <w:pPr>
        <w:numPr>
          <w:ilvl w:val="0"/>
          <w:numId w:val="7"/>
        </w:numPr>
        <w:spacing w:line="360" w:after="210" w:lineRule="auto"/>
      </w:pPr>
      <w:hyperlink r:id="rId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https://www.youtube.com/watch?v=Kl1JjTvkjTw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5" w:name="fn8"/>
    <w:bookmarkEnd w:id="65"/>
    <w:p>
      <w:pPr>
        <w:numPr>
          <w:ilvl w:val="0"/>
          <w:numId w:val="7"/>
        </w:numPr>
        <w:spacing w:line="360" w:after="210" w:lineRule="auto"/>
      </w:pPr>
      <w:hyperlink r:id="rId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https://www.rcrwireless.com/20250616/ai-infrastructure/tcs-nvidia-ai-tools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6" w:name="fn9"/>
    <w:bookmarkEnd w:id="66"/>
    <w:p>
      <w:pPr>
        <w:numPr>
          <w:ilvl w:val="0"/>
          <w:numId w:val="7"/>
        </w:numPr>
        <w:spacing w:line="360" w:after="210" w:lineRule="auto"/>
      </w:pPr>
      <w:hyperlink r:id="rId1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https://www.tcs.com/investor-relations/quarterly-takeaways/tcs-fy25-year-end-debrief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7" w:name="fn10"/>
    <w:bookmarkEnd w:id="67"/>
    <w:p>
      <w:pPr>
        <w:numPr>
          <w:ilvl w:val="0"/>
          <w:numId w:val="7"/>
        </w:numPr>
        <w:spacing w:line="360" w:after="210" w:lineRule="auto"/>
      </w:pPr>
      <w:hyperlink r:id="rId1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https://www.tcs.com/what-we-do/industries/communications-media-information-services/solution/ai-native-telco-offerings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8" w:name="fn11"/>
    <w:bookmarkEnd w:id="68"/>
    <w:p>
      <w:pPr>
        <w:numPr>
          <w:ilvl w:val="0"/>
          <w:numId w:val="7"/>
        </w:numPr>
        <w:spacing w:line="360" w:after="210" w:lineRule="auto"/>
      </w:pPr>
      <w:hyperlink r:id="rId1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https://www.tcs.com/who-we-are/newsroom/news-alert/tcs-nvidia-collaborate-design-ai-native-solutions-for-the-telecom-sector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9" w:name="fn12"/>
    <w:bookmarkEnd w:id="69"/>
    <w:p>
      <w:pPr>
        <w:numPr>
          <w:ilvl w:val="0"/>
          <w:numId w:val="7"/>
        </w:numPr>
        <w:spacing w:line="360" w:after="210" w:lineRule="auto"/>
      </w:pPr>
      <w:hyperlink r:id="rId1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https://www.tcs.com/what-we-do/industries/education/solution/digital-university-personalized-learning-experience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0" w:name="fn13"/>
    <w:bookmarkEnd w:id="70"/>
    <w:p>
      <w:pPr>
        <w:numPr>
          <w:ilvl w:val="0"/>
          <w:numId w:val="7"/>
        </w:numPr>
        <w:spacing w:line="360" w:after="210" w:lineRule="auto"/>
      </w:pPr>
      <w:hyperlink r:id="rId1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https://www.tcs.com/who-we-are/newsroom/analyst-reports/leader-higher-education-digital-services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1" w:name="fn14"/>
    <w:bookmarkEnd w:id="71"/>
    <w:p>
      <w:pPr>
        <w:numPr>
          <w:ilvl w:val="0"/>
          <w:numId w:val="7"/>
        </w:numPr>
        <w:spacing w:line="360" w:after="210" w:lineRule="auto"/>
      </w:pPr>
      <w:hyperlink r:id="rId1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https://www.youtube.com/watch?v=ynL2mCm24P0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2" w:name="fn15"/>
    <w:bookmarkEnd w:id="72"/>
    <w:p>
      <w:pPr>
        <w:numPr>
          <w:ilvl w:val="0"/>
          <w:numId w:val="7"/>
        </w:numPr>
        <w:spacing w:line="360" w:after="210" w:lineRule="auto"/>
      </w:pPr>
      <w:hyperlink r:id="rId1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https://www.tcs.com/who-we-are/newsroom/press-release/tcs-launches-new-generative-ai-practice-partnership-with-aws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3" w:name="fn16"/>
    <w:bookmarkEnd w:id="73"/>
    <w:p>
      <w:pPr>
        <w:numPr>
          <w:ilvl w:val="0"/>
          <w:numId w:val="7"/>
        </w:numPr>
        <w:spacing w:line="360" w:after="210" w:lineRule="auto"/>
      </w:pPr>
      <w:hyperlink r:id="rId1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https://www.moneycontrol.com/mccode/loginConsent.php?url=https%3A%2F%2Fwww.moneycontrol.com%2Ftechnology%2Ftcs-doubles-its-ai-and-gen-ai-pipeline-again-in-q1-to-1-5-billion-article-12767118.html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4" w:name="fn17"/>
    <w:bookmarkEnd w:id="74"/>
    <w:p>
      <w:pPr>
        <w:numPr>
          <w:ilvl w:val="0"/>
          <w:numId w:val="7"/>
        </w:numPr>
        <w:spacing w:line="360" w:after="210" w:lineRule="auto"/>
      </w:pPr>
      <w:hyperlink r:id="rId1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https://www.financialexpress.com/business/industry-tcs-bets-big-on-generative-artificial-intelligence-3167729/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5" w:name="fn18"/>
    <w:bookmarkEnd w:id="75"/>
    <w:p>
      <w:pPr>
        <w:numPr>
          <w:ilvl w:val="0"/>
          <w:numId w:val="7"/>
        </w:numPr>
        <w:spacing w:line="360" w:after="210" w:lineRule="auto"/>
      </w:pPr>
      <w:hyperlink r:id="rId1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https://cxotoday.com/press-release/tcs-named-in-the-idc-marketscape-for-worldwide-retail-price-optimization-solutions/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6" w:name="fn19"/>
    <w:bookmarkEnd w:id="76"/>
    <w:p>
      <w:pPr>
        <w:numPr>
          <w:ilvl w:val="0"/>
          <w:numId w:val="7"/>
        </w:numPr>
        <w:spacing w:line="360" w:after="210" w:lineRule="auto"/>
      </w:pPr>
      <w:hyperlink r:id="rId2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https://cdrdv2-public.intel.com/832517/tata-consultancy-services-helps-big-retail-eliminate-self-checkout-machine-losses-with-accessible-ai-tcs-1719914816.pdf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7" w:name="fn20"/>
    <w:bookmarkEnd w:id="77"/>
    <w:p>
      <w:pPr>
        <w:numPr>
          <w:ilvl w:val="0"/>
          <w:numId w:val="7"/>
        </w:numPr>
        <w:spacing w:line="360" w:after="210" w:lineRule="auto"/>
      </w:pPr>
      <w:hyperlink r:id="rId2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https://www.tcs.com/what-we-do/industries/manufacturing/white-paper/genai-manufacturing-innovation-enterprise-transformation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8" w:name="fn21"/>
    <w:bookmarkEnd w:id="78"/>
    <w:p>
      <w:pPr>
        <w:numPr>
          <w:ilvl w:val="0"/>
          <w:numId w:val="7"/>
        </w:numPr>
        <w:spacing w:line="360" w:after="210" w:lineRule="auto"/>
      </w:pPr>
      <w:hyperlink r:id="rId2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https://www.tcs.com/content/dam/global-tcs/en/pdfs/insights/global-studies/report/ai-business-study-manufacturing.pdf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9" w:name="fn22"/>
    <w:bookmarkEnd w:id="79"/>
    <w:p>
      <w:pPr>
        <w:numPr>
          <w:ilvl w:val="0"/>
          <w:numId w:val="7"/>
        </w:numPr>
        <w:spacing w:line="360" w:after="210" w:lineRule="auto"/>
      </w:pPr>
      <w:hyperlink r:id="rId2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https://www.tcs.com/who-we-are/newsroom/news-alert/tcs-launches-gen-ai-tech-pathway-in-stem-education-program-goit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inter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6">
    <w:multiLevelType w:val="hybridMultilevel"/>
  </w:abstractNum>
  <w:abstractNum w:abstractNumId="7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4368ba442a88509bedb9c734cf6daf98df8b1d11.png" TargetMode="Internal"/><Relationship Id="rId6" Type="http://schemas.openxmlformats.org/officeDocument/2006/relationships/image" Target="media/image-59d07a20992a36faad319a872aed222f44cfccae.png" TargetMode="Internal"/><Relationship Id="rId7" Type="http://schemas.openxmlformats.org/officeDocument/2006/relationships/hyperlink" Target="https://aiexpert.network/ai-at-tcs/" TargetMode="External"/><Relationship Id="rId8" Type="http://schemas.openxmlformats.org/officeDocument/2006/relationships/hyperlink" Target="https://www.youtube.com/watch?v=Kl1JjTvkjTw" TargetMode="External"/><Relationship Id="rId9" Type="http://schemas.openxmlformats.org/officeDocument/2006/relationships/hyperlink" Target="https://www.rcrwireless.com/20250616/ai-infrastructure/tcs-nvidia-ai-tools" TargetMode="External"/><Relationship Id="rId10" Type="http://schemas.openxmlformats.org/officeDocument/2006/relationships/hyperlink" Target="https://www.tcs.com/investor-relations/quarterly-takeaways/tcs-fy25-year-end-debrief" TargetMode="External"/><Relationship Id="rId11" Type="http://schemas.openxmlformats.org/officeDocument/2006/relationships/hyperlink" Target="https://www.tcs.com/what-we-do/industries/communications-media-information-services/solution/ai-native-telco-offerings" TargetMode="External"/><Relationship Id="rId12" Type="http://schemas.openxmlformats.org/officeDocument/2006/relationships/hyperlink" Target="https://www.tcs.com/who-we-are/newsroom/news-alert/tcs-nvidia-collaborate-design-ai-native-solutions-for-the-telecom-sector" TargetMode="External"/><Relationship Id="rId13" Type="http://schemas.openxmlformats.org/officeDocument/2006/relationships/hyperlink" Target="https://www.tcs.com/what-we-do/industries/education/solution/digital-university-personalized-learning-experience" TargetMode="External"/><Relationship Id="rId14" Type="http://schemas.openxmlformats.org/officeDocument/2006/relationships/hyperlink" Target="https://www.tcs.com/who-we-are/newsroom/analyst-reports/leader-higher-education-digital-services" TargetMode="External"/><Relationship Id="rId15" Type="http://schemas.openxmlformats.org/officeDocument/2006/relationships/hyperlink" Target="https://www.youtube.com/watch?v=ynL2mCm24P0" TargetMode="External"/><Relationship Id="rId16" Type="http://schemas.openxmlformats.org/officeDocument/2006/relationships/hyperlink" Target="https://www.tcs.com/who-we-are/newsroom/press-release/tcs-launches-new-generative-ai-practice-partnership-with-aws" TargetMode="External"/><Relationship Id="rId17" Type="http://schemas.openxmlformats.org/officeDocument/2006/relationships/hyperlink" Target="https://www.moneycontrol.com/mccode/loginConsent.php?url=https%3A%2F%2Fwww.moneycontrol.com%2Ftechnology%2Ftcs-doubles-its-ai-and-gen-ai-pipeline-again-in-q1-to-1-5-billion-article-12767118.html" TargetMode="External"/><Relationship Id="rId18" Type="http://schemas.openxmlformats.org/officeDocument/2006/relationships/hyperlink" Target="https://www.financialexpress.com/business/industry-tcs-bets-big-on-generative-artificial-intelligence-3167729/" TargetMode="External"/><Relationship Id="rId19" Type="http://schemas.openxmlformats.org/officeDocument/2006/relationships/hyperlink" Target="https://cxotoday.com/press-release/tcs-named-in-the-idc-marketscape-for-worldwide-retail-price-optimization-solutions/" TargetMode="External"/><Relationship Id="rId20" Type="http://schemas.openxmlformats.org/officeDocument/2006/relationships/hyperlink" Target="https://cdrdv2-public.intel.com/832517/tata-consultancy-services-helps-big-retail-eliminate-self-checkout-machine-losses-with-accessible-ai-tcs-1719914816.pdf" TargetMode="External"/><Relationship Id="rId21" Type="http://schemas.openxmlformats.org/officeDocument/2006/relationships/hyperlink" Target="https://www.tcs.com/what-we-do/industries/manufacturing/white-paper/genai-manufacturing-innovation-enterprise-transformation" TargetMode="External"/><Relationship Id="rId22" Type="http://schemas.openxmlformats.org/officeDocument/2006/relationships/hyperlink" Target="https://www.tcs.com/content/dam/global-tcs/en/pdfs/insights/global-studies/report/ai-business-study-manufacturing.pdf" TargetMode="External"/><Relationship Id="rId23" Type="http://schemas.openxmlformats.org/officeDocument/2006/relationships/hyperlink" Target="https://www.tcs.com/who-we-are/newsroom/news-alert/tcs-launches-gen-ai-tech-pathway-in-stem-education-program-goit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2025-07-12T23:41:37.249Z</dcterms:created>
  <dcterms:modified xsi:type="dcterms:W3CDTF">2025-07-12T23:41:37.249Z</dcterms:modified>
</cp:coreProperties>
</file>