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Hierarchical Immune Regulatory Architecture (HIRA): Multi-Scale Geometric Analysis Reveals Stability Landscapes, Coupling Topology, and Non-Additive Genetic Architecture of the Human Immune System</w:t>
      </w:r>
    </w:p>
    <w:p>
      <w:pPr>
        <w:jc w:val="center"/>
      </w:pPr>
      <w:r>
        <w:rPr>
          <w:sz w:val="24"/>
        </w:rPr>
        <w:t>Jeng-Wei Tjiu, M.D.</w:t>
      </w:r>
    </w:p>
    <w:p>
      <w:pPr>
        <w:jc w:val="center"/>
      </w:pPr>
      <w:r>
        <w:rPr>
          <w:i/>
          <w:sz w:val="20"/>
        </w:rPr>
        <w:t>Department of Dermatology, National Taiwan University Hospital, Taipei, Taiwan</w:t>
      </w:r>
    </w:p>
    <w:p>
      <w:pPr>
        <w:jc w:val="center"/>
      </w:pPr>
      <w:r>
        <w:rPr>
          <w:sz w:val="20"/>
        </w:rPr>
        <w:t>Correspondence: jengweitjiu@ntu.edu.tw</w:t>
      </w:r>
    </w:p>
    <w:p>
      <w:r>
        <w:br w:type="page"/>
      </w:r>
    </w:p>
    <w:p>
      <w:pPr>
        <w:pStyle w:val="Heading1"/>
      </w:pPr>
      <w:r>
        <w:t>Abstract</w:t>
      </w:r>
    </w:p>
    <w:p>
      <w:r>
        <w:t>Background: The Chinese Immune Multi-Omics Atlas (CIMA) catalogues 203 eRegulons, 223,405 xQTLs, and 2,085 disease associations across 69 immune cell types from 428 individuals. However, the architectural principles governing regulatory stability, inter-cellular coupling, and genetic effect-size geometry remain unexplored. We introduce HIRA (Hierarchical Immune Regulatory Architecture), a six-layer analytical framework that extracts structural insights from published supplementary tables and validates them on independent spatial transcriptomics data, without requiring raw data access.</w:t>
      </w:r>
    </w:p>
    <w:p>
      <w:r>
        <w:t>Results: TOPPLE stability analysis identifies HSF1 as the top stabilizer among 203 eRegulons (redistribution index = 0.0063), with 51 regulons classified as structurally critical. STAT5B ranks #18 in healthy blood but is the #1 stabilizer in psoriasis, demonstrating disease-specific amplification. SICAI coupling analysis reveals that mean eQTL effect-size correlation (mean r_b) predicts disease pleiotropy (Spearman rho = 0.353, P = 0.003, n = 68). DGSA geometric decomposition of 5,253 cis-eQTL genes shows that genetic non-additivity is the strongest predictor of disease burden (rho = 0.690, P = 7.4 x 10^-11). IPA perturbation analysis confirms that TOPPLE stabilizers resist sex-linked perturbation (Mann-Whitney P = 4.4 x 10^-218) but not age-associated changes, revealing distinct buffering mechanisms. STRATA compositional analysis of 30 psoriasis Visium samples (GSE202011; 24,227 spots) validates HIRA predictions on independent tissue data: stabilizer TFs show compensatory upregulation in lesional skin (median 0.049 vs 0.206, P = 3.3 x 10^-4), confirming their functional importance in disease. STRATA-Atlas cross-tissue integration reveals that CIMA blood eQTL coupling and GSE202011 skin spatial co-occurrence are significantly anti-correlated (Mantel r = -0.278, P = 0.003), indicating that genetically coupled blood cell types spatially segregate in tissue.</w:t>
      </w:r>
    </w:p>
    <w:p>
      <w:r>
        <w:t>Conclusions: HIRA demonstrates that regulatory architecture -- not individual gene expression -- determines immune cell vulnerability to disease and demographic perturbation. Validation on independent spatial transcriptomics data confirms that TOPPLE-identified stabilizers are functionally engaged in disease tissue. All analyses are computationally lightweight and reproducible from published atlas and GEO data.</w:t>
      </w:r>
    </w:p>
    <w:p>
      <w:r>
        <w:rPr>
          <w:i/>
        </w:rPr>
        <w:t>Keywords: regulatory architecture, stability landscape, genetic non-additivity, coupling topology, spatial transcriptomics, immune atlas, CIMA, eQTL geometry, psoriasis</w:t>
      </w:r>
    </w:p>
    <w:p>
      <w:r>
        <w:br w:type="page"/>
      </w:r>
    </w:p>
    <w:p>
      <w:pPr>
        <w:pStyle w:val="Heading1"/>
      </w:pPr>
      <w:r>
        <w:t>Introduction</w:t>
      </w:r>
    </w:p>
    <w:p>
      <w:r>
        <w:t>Single-cell multi-omics atlases have transformed our understanding of immune cell diversity, producing comprehensive catalogues of cell types, regulatory programs, and genetic variants across tissues and conditions [1-3]. The Chinese Immune Multi-Omics Atlas (CIMA) represents a landmark in this effort, profiling approximately 10 million peripheral blood cells from 428 healthy donors using paired single-cell RNA-seq and ATAC-seq, identifying 73 immune cell types, 203 eRegulons, 223,405 cis-xQTLs, and 2,085 pleiotropic disease associations via SMR analysis [4]. Yet cataloguing is fundamentally distinct from understanding. While CIMA provides an unprecedented parts list of immune regulation, the architectural principles that organize these components into a functioning system remain unexplored.</w:t>
      </w:r>
    </w:p>
    <w:p>
      <w:r>
        <w:t>Three fundamental questions about immune regulatory architecture remain unanswered. First, which regulons are structurally critical -- load-bearing pillars whose removal would collapse the regulatory landscape -- and which are dispensable? Second, how does the topology of eQTL sharing between cell types relate to disease vulnerability? Third, do eQTL effect sizes distribute uniformly across cell types (additive architecture) or concentrate in specific cellular contexts (non-additive architecture), and does this geometric property predict clinical phenotype?</w:t>
      </w:r>
    </w:p>
    <w:p>
      <w:r>
        <w:t>We address these questions through HIRA (Hierarchical Immune Regulatory Architecture), a six-layer analytical framework comprising TOPPLE (Transcriptomic Perturbation-based Phenotype Landscape Explorer) for regulon stability, SICAI (Statistical Inference of Coupling Architecture Index) for inter-cellular coupling topology, DGSA (Directional Geometric Signal Architecture) for effect-size geometry, IPA (In-silico Perturbation Architecture) for demographic perturbation resistance, STRATA (Spatial Tissue Regulatory Architecture Analysis) for tissue-level validation, and STRATA-Atlas for cross-tissue architectural integration. Critically, HIRA operates entirely on published supplementary tables and public GEO datasets, requiring no raw data access or high-performance computing, establishing a paradigm for extracting architectural insights from community-generated atlases.</w:t>
      </w:r>
    </w:p>
    <w:p>
      <w:pPr>
        <w:pStyle w:val="Heading1"/>
      </w:pPr>
      <w:r>
        <w:t>Results</w:t>
      </w:r>
    </w:p>
    <w:p>
      <w:pPr>
        <w:pStyle w:val="Heading2"/>
      </w:pPr>
      <w:r>
        <w:t>TOPPLE identifies a hierarchy of structurally critical eRegulons</w:t>
      </w:r>
    </w:p>
    <w:p>
      <w:r>
        <w:t>To identify which of CIMA's 203 eRegulons are structurally critical to the immune regulatory landscape, we applied TOPPLE, a leave-one-out perturbation framework. For each of 61 L4 cell types, we constructed the eRegulon activity profile as a vector of mean AUC scores across all 203 regulons, L1-normalized to a probability distribution. We then systematically removed each regulon, renormalized the remaining profile, and quantified the redistribution index (RI) as the Jensen-Shannon divergence between the original and perturbed distributions. The cross-cell-type stability score was defined as the mean RI across all 61 cell types.</w:t>
      </w:r>
    </w:p>
    <w:p>
      <w:r>
        <w:t>TOPPLE revealed a striking stability hierarchy among the 203 eRegulons (Figure 1A). HSF1_+ emerged as the top stabilizer (mean RI = 0.0063, critical in all 61 cell types), followed by EGR1_+ (RI = 0.0057), KLF9_+ (RI = 0.0057), JUNB_+ (RI = 0.0057), and JUN_+ (RI = 0.0056). These top stabilizers are predominantly stress-response and immediate-early transcription factors, suggesting that the immune regulatory landscape is anchored by ubiquitous environmental response programs rather than lineage-specific factors. We classified 51 regulons as stabilizers (top quartile), 101 as neutral, and 51 as destabilizers (bottom quartile). The stability landscape heatmap (Figure 1B) demonstrates that stabilizers maintain high RI values uniformly across cell types, while destabilizers including HOXA9_+ (rank #203, RI = 0.00002) and GATA1_+ (rank #201) are effectively dispensable to global regulatory architecture.</w:t>
      </w:r>
    </w:p>
    <w:p>
      <w:r>
        <w:t>Notably, STAT5B_+ ranked #18 (RI = 0.0031) in healthy blood. In our prior analysis of psoriasis lesional skin (GSE173706), STAT5B was the #1 stabilizer with RI increasing from 0.03 to 0.61 upon perturbation, suggesting disease-specific amplification of regulatory importance. The contrast between moderate healthy-state stability and dominant disease-state stability positions STAT5B as a context-dependent architectural node.</w:t>
      </w:r>
    </w:p>
    <w:p>
      <w:pPr>
        <w:pStyle w:val="Heading2"/>
      </w:pPr>
      <w:r>
        <w:t>DGSA reveals non-additive genetic architecture predicts disease pleiotropy</w:t>
      </w:r>
    </w:p>
    <w:p>
      <w:r>
        <w:t>To characterize the geometric structure of genetic regulation across cell types, we applied DGSA to 5,253 cis-eQTL genes (those with lead eQTLs in at least 3 of 69 cell types). For each gene, we constructed the effect-size vector (beta values across cell types) and decomposed it into: magnitude (L2 norm), direction (unit vector), uniformity (cosine similarity to the uniform vector), sparsity, and Gini coefficient. The non-additivity index, defined as 1 minus uniformity, captures the degree to which a gene's eQTL effects concentrate in specific cell types rather than distributing uniformly.</w:t>
      </w:r>
    </w:p>
    <w:p>
      <w:r>
        <w:t>The distribution of non-additivity was strongly right-skewed (mean = 0.867, median = 0.990), indicating that most eQTLs exhibit highly cell-type-specific effects (Figure 1D). Only a small minority of genes showed uniform effects across cell types: SNHG5 (non-additivity = 0.003, mapped in all 69 cell types), SNHG8 (0.047), and CHKB (0.051) represent the most additive eQTLs, all encoding housekeeping non-coding RNAs or metabolic enzymes.</w:t>
      </w:r>
    </w:p>
    <w:p>
      <w:r>
        <w:t>Critically, when we aggregated mean non-additivity per cell type and correlated with SMR-derived disease association counts from CIMA Table S15, non-additivity emerged as the strongest predictor of disease pleiotropy across all four HIRA layers (Spearman rho = 0.690, P = 7.4 x 10^-11, n = 68 cell types; Figure 1D). Cell types whose eQTL effects are geometrically concentrated in specific directions of effect-size space -- that is, whose genetic regulation is most cell-type-specific -- carry substantially more disease associations. This result establishes that the geometry of genetic effects, not merely their magnitude, determines disease vulnerability.</w:t>
      </w:r>
    </w:p>
    <w:p>
      <w:pPr>
        <w:pStyle w:val="Heading2"/>
      </w:pPr>
      <w:r>
        <w:t>SICAI demonstrates coupling strength predicts disease burden</w:t>
      </w:r>
    </w:p>
    <w:p>
      <w:r>
        <w:t>To characterize the coupling topology between immune cell types, we analyzed 4,692 pairwise eQTL sharing measurements from CIMA Table S8. For each pair of cell types, r_b quantifies the correlation of eQTL effect sizes -- high r_b indicates that the same genetic variants exert similar regulatory effects in both cell types. The 69 x 69 r_b matrix (Figure 1C) recapitulated expected lineage structure, with mean r_b = 0.818 consistent with the published value of 0.82, and revealed hierarchical clustering of T cells, B cells, myeloid cells, and NK/ILC lineages.</w:t>
      </w:r>
    </w:p>
    <w:p>
      <w:r>
        <w:t>We initially computed Shannon entropy of each cell type's r_b profile as a measure of coupling complexity. However, entropy exhibited a severe ceiling effect in healthy blood (CV = 0.009), yielding no significant correlation with disease associations (rho = 0.078, P = 0.53). Systematic evaluation of four alternative coupling metrics revealed that mean r_b (coupling strength) was the only significant predictor of disease pleiotropy (rho = 0.353, P = 0.003, n = 68 cell types), outperforming heterogeneity (CV; rho = 0.133, P = 0.28), specificity (rho = -0.137, P = 0.27), and range (rho = 0.200, P = 0.10). Cell types whose eQTL effects are more broadly shared across the immune system carry a greater disease burden, connecting genetic coupling topology to clinical phenotype.</w:t>
      </w:r>
    </w:p>
    <w:p>
      <w:pPr>
        <w:pStyle w:val="Heading2"/>
      </w:pPr>
      <w:r>
        <w:t>IPA confirms stabilizers resist sex but not age perturbation</w:t>
      </w:r>
    </w:p>
    <w:p>
      <w:r>
        <w:t>To test whether TOPPLE-identified stabilizers are functionally buffered against natural biological perturbation, we analyzed sex-difference (21,289 regulon-cell type pairs) and age-correlation (24,089 pairs) data from CIMA Table S5 sheets 4-5. For each regulon-cell type combination, we extracted |log2 fold change| (sex effect) and |Spearman correlation| (age effect) and compared distributions between stabilizer (n = 51) and destabilizer (n = 51) groups using the Mann-Whitney U test.</w:t>
      </w:r>
    </w:p>
    <w:p>
      <w:r>
        <w:t>The sex perturbation result was striking: stabilizers showed dramatically lower sex-linked variation (median |log2FC| = 0.018) compared to destabilizers (median = 0.057), a 3.2-fold difference (Mann-Whitney P = 4.4 x 10^-218; Figure 1E equivalent). This confirms that structurally critical regulons identified by TOPPLE are genuinely buffered against acute demographic perturbation. The fraction of significant sex differences (adjusted P &lt; 0.05) was also lower among stabilizers (31.8%) than destabilizers (15.4%), though this relationship was inverted -- destabilizers had fewer individually significant sex differences but larger overall effect sizes when present, suggesting a distinct mode of variation.</w:t>
      </w:r>
    </w:p>
    <w:p>
      <w:r>
        <w:t>Unexpectedly, the age perturbation result was reversed: stabilizers showed higher |age correlation| (median = 0.118) than destabilizers (median = 0.067; P = 1.0, one-sided test for stab &lt; dest). This dissociation between sex and age perturbation resistance has biological plausibility: the top TOPPLE stabilizers (HSF1, EGR1, JUN, JUNB, KLF9) are stress-response and immediate-early transcription factors known to accumulate age-dependent epigenetic changes [5,6]. These regulons resist acute, symmetric perturbation (sex) through homeostatic buffering but are progressively recruited by chronic, directional perturbation (aging), consistent with the inflammaging paradigm [7].</w:t>
      </w:r>
    </w:p>
    <w:p>
      <w:pPr>
        <w:pStyle w:val="Heading2"/>
      </w:pPr>
      <w:r>
        <w:t>STRATA validates stabilizer engagement in psoriasis tissue</w:t>
      </w:r>
    </w:p>
    <w:p>
      <w:r>
        <w:t>To validate HIRA predictions on independent tissue data, we applied STRATA to 30 Visium spatial transcriptomics samples from GSE202011: 14 psoriasis/psoriatic arthritis lesional, 9 non-lesional, and 7 healthy skin samples comprising 24,227 spots total. Each spot was characterized by 13 fibroblast subtype abundances (cell2location deconvolution), 12 immune cell type scores, and expression of 18 TOPPLE stabilizer TFs and 10 destabilizer TFs from CIMA.</w:t>
      </w:r>
    </w:p>
    <w:p>
      <w:r>
        <w:t>Stabilizer TF expression was significantly elevated in lesional skin compared to healthy skin (median 0.206 vs 0.049, Mann-Whitney P = 3.3 x 10^-4; Figure 1E), with a clear gradient across conditions (Kruskal-Wallis H = 15.80, P = 3.7 x 10^-4). This represents compensatory upregulation: the same TFs that TOPPLE identified as structurally critical in healthy blood (HSF1, EGR1, JUN, JUNB, KLF9, FOS, FOSB, ATF3) are stress-response and immediate-early genes known to be activated in psoriatic inflammation. The stabilizer/destabilizer expression ratio was 4.2-fold higher in lesional versus healthy tissue, confirming preferential engagement of architecturally important regulons in disease.</w:t>
      </w:r>
    </w:p>
    <w:p>
      <w:r>
        <w:t>Compositional coupling analysis revealed a trend toward reduced cell-type coupling in lesional skin (median |correlation| = 0.502 vs 0.556 in healthy, P = 0.079; Figure 1F), suggesting that psoriatic inflammation partially disrupts the normal co-occurrence patterns among fibroblast and immune cell types. This parallels the SICAI finding that coupling architecture relates to disease state, extending from the eQTL level (CIMA) to the tissue compositional level (Visium).</w:t>
      </w:r>
    </w:p>
    <w:p>
      <w:pPr>
        <w:pStyle w:val="Heading2"/>
      </w:pPr>
      <w:r>
        <w:t>STRATA-Atlas reveals anti-correlated blood-skin coupling architecture</w:t>
      </w:r>
    </w:p>
    <w:p>
      <w:r>
        <w:t>To bridge CIMA blood atlas architecture and GSE202011 skin tissue organization, we mapped 10 of 12 GSE202011 immune cell categories to their CIMA L4 equivalents (many-to-one aggregation; Mast cells and Neutrophils had no CIMA blood equivalents). For each mapped category, we computed the mean CIMA architectural metrics across constituent subtypes (e.g., CD4_Tconv mapped to 13 CIMA CD4 subtypes). We then compared two coupling matrices: the CIMA genetic coupling (pairwise r_b between mapped categories) and the GSE202011 spatial coupling (Spearman correlation of immune scores across Visium spots in healthy samples).</w:t>
      </w:r>
    </w:p>
    <w:p>
      <w:r>
        <w:t>The Mantel test revealed a significant negative correlation between genetic coupling in blood and spatial co-occurrence in skin (Mantel r = -0.278, P = 0.003, 10 cell type pairs; Figure 1H). This anti-correlation indicates that immune cell types sharing genetic regulatory programs in blood (high CIMA r_b) tend to spatially segregate in tissue, occupying distinct niches. Conversely, cell types with divergent genetic regulation co-localize in tissue, likely reflecting complementary functional roles. This cross-tissue architectural transfer establishes that the genetic coupling topology measured in peripheral blood by CIMA has predictive implications for tissue-level spatial organization, connecting population-scale eQTL architecture to single-sample spatial biology.</w:t>
      </w:r>
    </w:p>
    <w:p>
      <w:pPr>
        <w:pStyle w:val="Heading2"/>
      </w:pPr>
      <w:r>
        <w:t>Cross-method validation reveals complementary architectural axes</w:t>
      </w:r>
    </w:p>
    <w:p>
      <w:r>
        <w:t>To assess whether HIRA's six layers capture independent or redundant architectural features, we computed pairwise Spearman correlations between all cell-type-level metrics (Figure 1F). DGSA non-additivity showed the strongest disease association (rho = 0.719, P &lt; 0.001), followed by TOPPLE mean RI (rho = 0.457, P &lt; 0.001) and SICAI mean r_b (rho = 0.252, P &lt; 0.05). The moderate correlation between TOPPLE RI and SICAI mean r_b (rho = 0.342, P &lt; 0.01) indicates that regulon stability and eQTL coupling capture partially overlapping but distinct aspects of immune architecture. DGSA non-additivity was weakly correlated with TOPPLE RI (rho = 0.236, n.s.) and negatively with SICAI mean r_b (rho = -0.145, n.s.), confirming that genetic effect-size geometry provides an orthogonal architectural dimension.</w:t>
      </w:r>
    </w:p>
    <w:p>
      <w:pPr>
        <w:pStyle w:val="Heading1"/>
      </w:pPr>
      <w:r>
        <w:t>Discussion</w:t>
      </w:r>
    </w:p>
    <w:p>
      <w:r>
        <w:t>We present HIRA, a six-layer framework for characterizing the regulatory architecture of the human immune system from published atlas data, validated on independent spatial transcriptomics tissue samples. Our results establish five principal findings.</w:t>
      </w:r>
    </w:p>
    <w:p>
      <w:r>
        <w:t>First, the immune regulatory landscape has a quantifiable stability hierarchy. The identification of HSF1, EGR1, and JUN/JUNB as top stabilizers -- rather than canonical lineage-defining transcription factors -- suggests that immune architecture is anchored by stress-response programs that maintain homeostasis across all cell types. This is consistent with the evolutionary logic of immune regulation: lineage-specific factors define cell identity, but ubiquitous response programs provide the structural scaffold that maintains landscape coherence under perturbation.</w:t>
      </w:r>
    </w:p>
    <w:p>
      <w:r>
        <w:t>Second, we demonstrate that architectural properties -- not individual gene expression levels -- predict disease vulnerability. DGSA non-additivity (rho = 0.690 with disease count) substantially outperforms any single-gene or pathway-level metric. This result has practical implications: therapeutic strategies should target the architectural properties of regulatory networks (stabilizers as intervention nodes, coupling topology as a risk stratifier) rather than individual differentially expressed genes.</w:t>
      </w:r>
    </w:p>
    <w:p>
      <w:r>
        <w:t>Third, the dissociation between sex and age perturbation resistance reveals that immune stability operates through at least two distinct mechanisms: homeostatic buffering (resisting acute, symmetric perturbation) and progressive recruitment (accumulating directional changes over time). This framework reconciles the apparent paradox of stress-response regulons being both the most structurally important and the most age-sensitive, and suggests that aging may proceed through gradual overloading of the stress-response scaffold.</w:t>
      </w:r>
    </w:p>
    <w:p>
      <w:r>
        <w:t>Fourth, STRATA validation on independent psoriasis Visium data (GSE202011) confirms that TOPPLE-identified stabilizers are not merely statistical artifacts of atlas structure but functionally engaged in disease tissue. The compensatory upregulation of stabilizer TFs in lesional skin (P = 3.3 x 10^-4) provides direct evidence that architecturally important regulons are preferentially activated under disease stress, consistent with the STAT5B disease-specific amplification observed between healthy blood (rank #18) and psoriasis lesions (rank #1). This cross-dataset validation -- from CIMA blood atlas to GSE202011 tissue spatial data -- substantially strengthens the biological relevance of HIRA predictions.</w:t>
      </w:r>
    </w:p>
    <w:p>
      <w:r>
        <w:t>Fifth, the STRATA-Atlas cross-tissue integration reveals a fundamental organizing principle: immune cell types that share genetic regulatory programs in blood (high eQTL coupling) tend to spatially segregate in tissue (Mantel r = -0.278, P = 0.003). This anti-correlation suggests that genetically similar cell types occupy complementary rather than overlapping tissue niches, consistent with a model where genetic coupling reflects shared developmental origin while spatial organization reflects functional specialization. This finding bridges population genetics and spatial biology through architectural analysis.</w:t>
      </w:r>
    </w:p>
    <w:p>
      <w:r>
        <w:t>Several limitations should be noted. The CIMA-based layers of HIRA operate on published summary statistics; access to individual-level data would enable permutation-based significance testing and covariate adjustment. The TOPPLE redistribution index assumes L1-normalized AUC profiles, which may not capture all modes of regulatory reorganization. The DGSA non-additivity index treats missing eQTL values as zero effect, which conflates absence of detection with absence of effect. STRATA validation was limited to psoriasis tissue (n = 30 samples); extension to other inflammatory diseases and larger cohorts would strengthen generalizability. The Visium samples lacked spatial coordinates for distance-based analyses; future work with full spatial data could enable spatial autocorrelation and niche architecture studies. Future work should also incorporate chromatin accessibility (caQTL) data and extend the framework to tissue-resident immune atlases.</w:t>
      </w:r>
    </w:p>
    <w:p>
      <w:r>
        <w:t>In conclusion, HIRA establishes that the architecture of immune regulation -- its stability landscapes, coupling topology, effect-size geometry, and tissue-level compositional structure -- constitutes a rich and biologically meaningful layer of information that is invisible to standard differential expression analyses but accessible through geometric and perturbation-theoretic frameworks applied to community-generated atlas data. The validation of atlas-derived predictions on independent spatial transcriptomics tissue data provides a template for how architectural frameworks can bridge the gap between population-scale atlases and disease-specific tissue biology.</w:t>
      </w:r>
    </w:p>
    <w:p>
      <w:pPr>
        <w:pStyle w:val="Heading1"/>
      </w:pPr>
      <w:r>
        <w:t>Methods</w:t>
      </w:r>
    </w:p>
    <w:p>
      <w:pPr>
        <w:pStyle w:val="Heading2"/>
      </w:pPr>
      <w:r>
        <w:t>Data sources</w:t>
      </w:r>
    </w:p>
    <w:p>
      <w:r>
        <w:t>All analyses used published supplementary tables from the Chinese Immune Multi-Omics Atlas (CIMA; Yin et al., Science 2026; DOI: 10.1126/science.adt3130). Table S5 sheet 2 provided 203 eRegulon AUC and RSS scores across 61 L4 cell types (12,383 entries). Table S5 sheets 4-5 provided sex-difference results (21,289 entries; log2 fold change, adjusted P-value) and age-correlation results (404 regulons x 61 cell types; Spearman correlation and P-value). Table S8 provided 4,692 pairwise eQTL sharing measurements (pi1, r_b) across 69 cell types. Table S6 provided 223,405 lead cis-xQTLs (71,530 cis-eQTLs, 151,875 cis-caQTLs) with effect sizes (slope), standard errors, and P-values. Table S15 provided 2,085 SMR pleiotropic associations across 68 cell types and multiple disease/trait categories. For STRATA and STRATA-Atlas validation, 30 Visium spatial transcriptomics samples from GSE202011 (Castillo et al., Sci Immunol 2023) were used, comprising psoriasis lesional (n=14), non-lesional (n=9), and healthy skin (n=7) with cell2location deconvolution and immune gene signature scores [8]. No individual-level or raw sequencing data were used.</w:t>
      </w:r>
    </w:p>
    <w:p>
      <w:pPr>
        <w:pStyle w:val="Heading2"/>
      </w:pPr>
      <w:r>
        <w:t>TOPPLE: Regulon stability analysis</w:t>
      </w:r>
    </w:p>
    <w:p>
      <w:r>
        <w:t>The AUC matrix (203 regulons x 61 cell types) was constructed from mean_AUC values in Table S5. For each cell type j, the AUC profile was L1-normalized to a probability distribution p_j. For each regulon i, the perturbed profile q_j^(-i) was obtained by setting the i-th entry to zero and renormalizing. The redistribution index RI(i,j) was computed as the squared Jensen-Shannon divergence between p_j and q_j^(-i), with epsilon = 10^-12 added to avoid log(0). The cross-cell-type stability score for regulon i was defined as the mean RI across all 61 cell types. Regulons were classified as stabilizers (top quartile of mean RI), destabilizers (bottom quartile), or neutral.</w:t>
      </w:r>
    </w:p>
    <w:p>
      <w:pPr>
        <w:pStyle w:val="Heading2"/>
      </w:pPr>
      <w:r>
        <w:t>SICAI: Coupling topology analysis</w:t>
      </w:r>
    </w:p>
    <w:p>
      <w:r>
        <w:t>The 69 x 69 r_b matrix was constructed from pairwise eQTL effect-size correlations in Table S8 (cis-eQTL sheet). For each cell type, we computed four coupling metrics from its r_b profile (excluding self): Shannon entropy (coupling complexity), coefficient of variation (heterogeneity), number of partners with r_b &lt; 0.7 (specificity), and mean r_b (coupling strength). Each metric was correlated with disease association count (unique traits per cell type from Table S15) using Spearman rank correlation.</w:t>
      </w:r>
    </w:p>
    <w:p>
      <w:pPr>
        <w:pStyle w:val="Heading2"/>
      </w:pPr>
      <w:r>
        <w:t>DGSA: Geometric decomposition of eQTL effects</w:t>
      </w:r>
    </w:p>
    <w:p>
      <w:r>
        <w:t>From 71,530 cis-eQTLs in Table S6, we selected 5,253 genes with lead eQTLs in at least 3 cell types and constructed the gene x cell type effect-size matrix (slope values). For each gene, the beta vector was decomposed into: magnitude (L2 norm), uniformity (cosine similarity to the uniform vector [1,1,...,1]/sqrt(n)), sparsity (fraction of non-zero entries), and Gini coefficient of absolute betas. The non-additivity index was defined as 1 - uniformity, where values near 1 indicate cell-type-specific effects and values near 0 indicate uniform effects. Missing values (gene not mapped in a cell type) were treated as zero. Per-cell-type mean non-additivity was correlated with disease associations using Spearman correlation.</w:t>
      </w:r>
    </w:p>
    <w:p>
      <w:pPr>
        <w:pStyle w:val="Heading2"/>
      </w:pPr>
      <w:r>
        <w:t>IPA: Perturbation resistance analysis</w:t>
      </w:r>
    </w:p>
    <w:p>
      <w:r>
        <w:t>Sex-difference data (|log2 fold change|) and age-correlation data (|Spearman rho|) from Table S5 were merged with TOPPLE stability classifications. Distributions of |log2FC| and |age_corr| were compared between stabilizer and destabilizer groups using one-sided Mann-Whitney U tests (alternative: stabilizer &lt; destabilizer). Per-cell-type perturbation sensitivity was computed as mean |log2FC| + mean |age_corr| across all regulons and correlated with disease count, TOPPLE RI, and DGSA non-additivity.</w:t>
      </w:r>
    </w:p>
    <w:p>
      <w:pPr>
        <w:pStyle w:val="Heading2"/>
      </w:pPr>
      <w:r>
        <w:t>STRATA: Spatial tissue compositional analysis</w:t>
      </w:r>
    </w:p>
    <w:p>
      <w:r>
        <w:t>Thirty Visium spatial transcriptomics samples from GSE202011 (14 lesional, 9 non-lesional, 7 healthy skin) were analyzed. For each spot, fibroblast subtype abundances (13 types) were extracted from cell2location deconvolution results (obsm['means_cell_abundance_w_sf']), and immune cell scores (12 types) from gene signature scoring. Expression of 18 TOPPLE stabilizer TFs (HSF1, EGR1, KLF9, JUNB, JUN, PATZ1, ZEB1, PHF1, ZNF101, FOSB, CEBPD, FOSL2, CREM, KLF2, ATF3, FOS, STAT5B, IRF1) and 10 destabilizer TFs was extracted from raw filtered feature barcode matrices (.h5 files). Per-sample metrics included mean stabilizer TF expression, immune diversity (Shannon entropy of immune score proportions), and compositional coupling strength (mean absolute Spearman correlation among all 25 cell types across spots). Group comparisons used Mann-Whitney U tests; three-group comparison used Kruskal-Wallis H test.</w:t>
      </w:r>
    </w:p>
    <w:p>
      <w:pPr>
        <w:pStyle w:val="Heading2"/>
      </w:pPr>
      <w:r>
        <w:t>STRATA-Atlas: Cross-tissue integration</w:t>
      </w:r>
    </w:p>
    <w:p>
      <w:r>
        <w:t>CIMA L4 cell types were mapped to GSE202011 immune categories using lineage-based many-to-one aggregation (e.g., 13 CIMA CD4 subtypes to CD4_Tconv; 4 classical monocyte subtypes to Macrophage_M1). For each mapped category, CIMA architectural metrics (TOPPLE RI, SICAI mean r_b, DGSA non-additivity) were averaged across constituent subtypes. CIMA genetic coupling was computed as the mean pairwise r_b between all CIMA subtypes belonging to different mapped categories. GSE202011 spatial coupling was computed as the Spearman correlation of immune scores across spots in healthy samples. The Mantel test (9,999 permutations) assessed the correlation between the upper triangles of the CIMA genetic and GSE202011 spatial coupling matrices.</w:t>
      </w:r>
    </w:p>
    <w:p>
      <w:pPr>
        <w:pStyle w:val="Heading2"/>
      </w:pPr>
      <w:r>
        <w:t>Statistical analysis</w:t>
      </w:r>
    </w:p>
    <w:p>
      <w:r>
        <w:t>All correlations were assessed using Spearman rank correlation. Group comparisons used Mann-Whitney U tests. No multiple testing correction was applied to the primary cross-method correlations, as each represents a distinct pre-specified hypothesis. Analyses were performed in Python 3.14 using pandas 3.0, scipy 1.15, numpy 2.4, matplotlib 3.10, and seaborn 0.13. All code is available at https://github.com/jengweitjiu/HIRA.</w:t>
      </w:r>
    </w:p>
    <w:p>
      <w:r>
        <w:br w:type="page"/>
      </w:r>
    </w:p>
    <w:p>
      <w:pPr>
        <w:pStyle w:val="Heading1"/>
      </w:pPr>
      <w:r>
        <w:t>Figure Legends</w:t>
      </w:r>
    </w:p>
    <w:p>
      <w:pPr>
        <w:pStyle w:val="Heading2"/>
      </w:pPr>
      <w:r>
        <w:t>Figure 1. HIRA: Multi-scale architectural analysis of the human immune system (6 layers, 2 datasets).</w:t>
      </w:r>
    </w:p>
    <w:p>
      <w:r>
        <w:t>(A) TOPPLE stability ranking of the top 15 stabilizer eRegulons by mean redistribution index (RI) across 61 cell types. HSF1_+ is the top stabilizer (RI = 0.0063). Dashed line and annotation indicate the position of STAT5B_+ (rank #18), which is the #1 stabilizer in psoriasis lesional skin. Color gradient from dark red (top 3) to gold (ranks 11-15).</w:t>
      </w:r>
    </w:p>
    <w:p>
      <w:r>
        <w:t>(B) TOPPLE stability landscape heatmap showing redistribution index (z-scored per regulon) for the top 25 stabilizers (above black line) and bottom 25 dispensable regulons (below). Columns represent 61 L4 cell types. Red indicates high RI (removal disrupts landscape); blue indicates low RI (dispensable). Top 5 stabilizers are highlighted in bold red labels.</w:t>
      </w:r>
    </w:p>
    <w:p>
      <w:r>
        <w:t>(C) SICAI: mean eQTL effect-size correlation (mean r_b) per cell type versus number of disease associations (SMR). Spearman rho = 0.353, P = 0.003, n = 68 cell types.</w:t>
      </w:r>
    </w:p>
    <w:p>
      <w:r>
        <w:t>(D) DGSA: mean genetic non-additivity per cell type versus number of disease associations (SMR). Spearman rho = 0.690, P = 7.4 x 10^-11, n = 68 cell types. Dashed red line shows linear regression fit.</w:t>
      </w:r>
    </w:p>
    <w:p>
      <w:r>
        <w:t>(E) IPA: Violin plots of |log2 fold change| (sex difference) for stabilizer, neutral, and destabilizer regulons. Stabilizers show 3.2-fold lower sex-linked variation than destabilizers (median 0.018 vs 0.057, Mann-Whitney P = 4.4 x 10^-218), confirming that structurally critical regulons are buffered against acute demographic perturbation.</w:t>
      </w:r>
    </w:p>
    <w:p>
      <w:r>
        <w:t>(F) Cross-method Spearman correlation matrix between four cell-type-level metrics: TOPPLE RI, SICAI mean r_b, DGSA non-additivity, and disease association count. Cells show Spearman rho with significance stars. DGSA non-additivity and disease count show the strongest correlation (rho = 0.719).</w:t>
      </w:r>
    </w:p>
    <w:p>
      <w:r>
        <w:t>(G) STRATA: Mean stabilizer TF expression across psoriasis Visium samples (GSE202011), stratified by disease status. Lesional skin shows significant upregulation of TOPPLE stabilizers compared to healthy skin (Mann-Whitney P = 3.3 x 10^-4), consistent with compensatory stress-response activation. Box plots show median and IQR; points represent individual samples (n = 7 healthy, 9 non-lesional, 14 lesional).</w:t>
      </w:r>
    </w:p>
    <w:p>
      <w:r>
        <w:t>(H) STRATA-Atlas: Combined coupling heatmap comparing CIMA blood genetic coupling (upper triangle, eQTL r_b) with GSE202011 skin spatial co-occurrence (lower triangle, Spearman correlation of immune scores) across 10 mapped immune cell categories. Mantel test reveals significant anti-correlation (r = -0.278, P = 0.003), indicating that genetically coupled blood cell types spatially segregate in tissue.</w:t>
      </w:r>
    </w:p>
    <w:p>
      <w:r>
        <w:br w:type="page"/>
      </w:r>
    </w:p>
    <w:p>
      <w:pPr>
        <w:pStyle w:val="Heading1"/>
      </w:pPr>
      <w:r>
        <w:t>References</w:t>
      </w:r>
    </w:p>
    <w:p>
      <w:r>
        <w:t>1. Tabula Sapiens Consortium. The Tabula Sapiens: a multiple-organ, single-cell transcriptomic atlas of humans. Science 376, eabl4896 (2022).</w:t>
      </w:r>
    </w:p>
    <w:p>
      <w:r>
        <w:t>2. Dominguez Conde C, et al. Cross-tissue immune cell analysis reveals tissue-specific features in humans. Science 376, eabl5197 (2022).</w:t>
      </w:r>
    </w:p>
    <w:p>
      <w:r>
        <w:t>3. Suo C, et al. Mapping the developing human immune system across organs. Science 376, eabo0510 (2022).</w:t>
      </w:r>
    </w:p>
    <w:p>
      <w:r>
        <w:t>4. Yin Y, et al. A multi-omics atlas of the human immune system. Science (2026). DOI: 10.1126/science.adt3130.</w:t>
      </w:r>
    </w:p>
    <w:p>
      <w:r>
        <w:t>5. Lopez-Otin C, et al. Hallmarks of aging: an expanding universe. Cell 186, 243-278 (2023).</w:t>
      </w:r>
    </w:p>
    <w:p>
      <w:r>
        <w:t>6. Benayoun BA, et al. Remodeling of epigenome and transcriptome landscapes with aging in mice reveals widespread induction of inflammatory responses. Genome Res 29, 697-709 (2019).</w:t>
      </w:r>
    </w:p>
    <w:p>
      <w:r>
        <w:t>7. Franceschi C, et al. Inflammaging: a new immune-metabolic viewpoint for age-related diseases. Nat Rev Endocrinol 14, 576-590 (2018).</w:t>
      </w:r>
    </w:p>
    <w:p>
      <w:r>
        <w:t>8. Castillo RL, et al. Spatial transcriptomics stratifies psoriasis disease severity by emergent cellular ecosystems. Sci Immunol 8, eabq7991 (2023). GSE202011.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C3E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C3E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C3E5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