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2D8B"/>
          <w:sz w:val="22"/>
        </w:rPr>
        <w:t>PLUMTREE SERVICES</w:t>
      </w:r>
    </w:p>
    <w:p>
      <w:pPr>
        <w:jc w:val="left"/>
      </w:pPr>
      <w:r>
        <w:rPr>
          <w:b/>
          <w:color w:val="6B2D8B"/>
          <w:sz w:val="44"/>
        </w:rPr>
        <w:t>Future of Work Weekly Research Brief</w:t>
      </w:r>
    </w:p>
    <w:p>
      <w:pPr>
        <w:jc w:val="left"/>
      </w:pPr>
      <w:r>
        <w:rPr>
          <w:b/>
          <w:color w:val="6B2D8B"/>
          <w:sz w:val="26"/>
        </w:rPr>
        <w:t>Week Ending April 6, 2026</w:t>
      </w:r>
    </w:p>
    <w:p>
      <w:pPr>
        <w:jc w:val="left"/>
      </w:pPr>
      <w:r>
        <w:rPr>
          <w:i/>
          <w:color w:val="333333"/>
          <w:sz w:val="20"/>
        </w:rPr>
        <w:t>Each week, Plumtree curates substantive research on the future of work — filtered for relevance to transformation inside life sciences and pharmaceutical R&amp;D organizations. This brief is written for practitioners: direct, plain-language, and grounded in evidence.</w:t>
      </w:r>
    </w:p>
    <w:p>
      <w:pPr>
        <w:jc w:val="left"/>
      </w:pPr>
      <w:r>
        <w:rPr>
          <w:color w:val="6B2D8B"/>
          <w:sz w:val="12"/>
        </w:rPr>
        <w:t>────────────────────────────────────────────────────────────────────────────────</w:t>
      </w:r>
    </w:p>
    <w:p>
      <w:pPr>
        <w:jc w:val="left"/>
      </w:pPr>
      <w:r>
        <w:rPr>
          <w:b/>
          <w:color w:val="6B2D8B"/>
          <w:sz w:val="32"/>
        </w:rPr>
        <w:t>1. TEAMS AND TEAMING</w:t>
      </w:r>
    </w:p>
    <w:p>
      <w:pPr>
        <w:jc w:val="left"/>
      </w:pPr>
      <w:r>
        <w:rPr>
          <w:color w:val="6B2D8B"/>
          <w:sz w:val="12"/>
        </w:rPr>
        <w:t>────────────────────────────────────────────────────────────────────────────────</w:t>
      </w:r>
    </w:p>
    <w:p>
      <w:pPr>
        <w:jc w:val="left"/>
      </w:pPr>
      <w:r>
        <w:rPr>
          <w:color w:val="333333"/>
          <w:sz w:val="22"/>
        </w:rPr>
        <w:t>## Teams and Teaming Research Brief</w:t>
      </w:r>
    </w:p>
    <w:p>
      <w:pPr>
        <w:jc w:val="left"/>
      </w:pPr>
      <w:r>
        <w:rPr>
          <w:color w:val="333333"/>
          <w:sz w:val="22"/>
        </w:rPr>
        <w:t>This week produced several substantive pieces on team dynamics, with particular focus on how AI is reshaping collaboration patterns in organizations.</w:t>
      </w:r>
    </w:p>
    <w:p>
      <w:pPr>
        <w:jc w:val="left"/>
      </w:pPr>
      <w:r>
        <w:rPr>
          <w:color w:val="333333"/>
          <w:sz w:val="22"/>
        </w:rPr>
        <w:t>---</w:t>
      </w:r>
    </w:p>
    <w:p>
      <w:pPr>
        <w:jc w:val="left"/>
      </w:pPr>
      <w:r>
        <w:rPr>
          <w:b/>
          <w:color w:val="333333"/>
          <w:sz w:val="22"/>
        </w:rPr>
        <w:t>Human capabilities are at the heart of high-performing teams</w:t>
      </w:r>
    </w:p>
    <w:p>
      <w:pPr>
        <w:jc w:val="left"/>
      </w:pPr>
      <w:r>
        <w:rPr>
          <w:color w:val="333333"/>
          <w:sz w:val="22"/>
        </w:rPr>
        <w:t>*Deloitte Insights*</w:t>
      </w:r>
    </w:p>
    <w:p>
      <w:pPr>
        <w:jc w:val="left"/>
      </w:pPr>
      <w:r>
        <w:rPr>
          <w:color w:val="333333"/>
          <w:sz w:val="22"/>
        </w:rPr>
        <w:t>https://www.deloitte.com/us/en/insights/topics/talent/building-high-performing-teams.html</w:t>
      </w:r>
    </w:p>
    <w:p>
      <w:pPr>
        <w:jc w:val="left"/>
      </w:pPr>
      <w:r>
        <w:rPr>
          <w:color w:val="333333"/>
          <w:sz w:val="22"/>
        </w:rPr>
        <w:t>*January 2026*</w:t>
      </w:r>
    </w:p>
    <w:p>
      <w:pPr>
        <w:jc w:val="left"/>
      </w:pPr>
      <w:r>
        <w:rPr>
          <w:b/>
          <w:color w:val="333333"/>
          <w:sz w:val="22"/>
        </w:rPr>
        <w:t>Key insights:</w:t>
      </w:r>
      <w:r>
        <w:rPr>
          <w:color w:val="333333"/>
          <w:sz w:val="22"/>
        </w:rPr>
        <w:t xml:space="preserve"> Deloitte's study of 1,394 employees identifies six human capabilities that distinguish high-performing teams: curiosity, resilience, divergent thinking, informed agility, connected teaming, and emotional and social intelligence. Counter to common assumptions, these high-performing teams actually use AI more frequently than their peers, but they deploy it strategically to enhance human strengths rather than replace human judgment. The performance gaps are substantial—high-performing teams report 93% efficiency gains versus 77% for others, with similar advantages in problem-solving and collaboration.</w:t>
      </w:r>
    </w:p>
    <w:p>
      <w:pPr>
        <w:jc w:val="left"/>
      </w:pPr>
      <w:r>
        <w:rPr>
          <w:b/>
          <w:color w:val="333333"/>
          <w:sz w:val="22"/>
        </w:rPr>
        <w:t>Relevance to Plumtree:</w:t>
      </w:r>
      <w:r>
        <w:rPr>
          <w:color w:val="333333"/>
          <w:sz w:val="22"/>
        </w:rPr>
        <w:t xml:space="preserve"> Life sciences R&amp;D teams often struggle with AI adoption because they focus on the technology rather than the human capabilities needed to work effectively alongside it. This research suggests that transformation efforts should prioritize developing emotional intelligence and connected teaming skills before introducing new AI tools, as these human foundations determine whether teams can actually benefit from technological augmentation.</w:t>
      </w:r>
    </w:p>
    <w:p>
      <w:pPr>
        <w:jc w:val="left"/>
      </w:pPr>
      <w:r>
        <w:rPr>
          <w:color w:val="333333"/>
          <w:sz w:val="22"/>
        </w:rPr>
        <w:t>---</w:t>
      </w:r>
    </w:p>
    <w:p>
      <w:pPr>
        <w:jc w:val="left"/>
      </w:pPr>
      <w:r>
        <w:rPr>
          <w:b/>
          <w:color w:val="333333"/>
          <w:sz w:val="22"/>
        </w:rPr>
        <w:t>Flubber teams: The emergence of dynamic platform-enabled teams in business organizations</w:t>
      </w:r>
    </w:p>
    <w:p>
      <w:pPr>
        <w:jc w:val="left"/>
      </w:pPr>
      <w:r>
        <w:rPr>
          <w:color w:val="333333"/>
          <w:sz w:val="22"/>
        </w:rPr>
        <w:t>*Journal of Business Research*</w:t>
      </w:r>
    </w:p>
    <w:p>
      <w:pPr>
        <w:jc w:val="left"/>
      </w:pPr>
      <w:r>
        <w:rPr>
          <w:color w:val="333333"/>
          <w:sz w:val="22"/>
        </w:rPr>
        <w:t>https://www.sciencedirect.com/science/article/pii/S0148296325006186</w:t>
      </w:r>
    </w:p>
    <w:p>
      <w:pPr>
        <w:jc w:val="left"/>
      </w:pPr>
      <w:r>
        <w:rPr>
          <w:color w:val="333333"/>
          <w:sz w:val="22"/>
        </w:rPr>
        <w:t>*Date not specified in search results*</w:t>
      </w:r>
    </w:p>
    <w:p>
      <w:pPr>
        <w:jc w:val="left"/>
      </w:pPr>
      <w:r>
        <w:rPr>
          <w:b/>
          <w:color w:val="333333"/>
          <w:sz w:val="22"/>
        </w:rPr>
        <w:t>Key insights:</w:t>
      </w:r>
      <w:r>
        <w:rPr>
          <w:color w:val="333333"/>
          <w:sz w:val="22"/>
        </w:rPr>
        <w:t xml:space="preserve"> This academic paper introduces the concept of "flubber teaming"—teams that can rapidly change their structure, hierarchy, and composition in response to project demands, much like the shape-shifting material from the movie. Digital platforms enable this fluidity by making it easier to identify, assemble, and dissolve teams based on specific skill requirements rather than traditional organizational boundaries. The research examines how large organizations are moving away from static org charts toward more dynamic, project-based team configurations.</w:t>
      </w:r>
    </w:p>
    <w:p>
      <w:pPr>
        <w:jc w:val="left"/>
      </w:pPr>
      <w:r>
        <w:rPr>
          <w:b/>
          <w:color w:val="333333"/>
          <w:sz w:val="22"/>
        </w:rPr>
        <w:t>Relevance to Plumtree:</w:t>
      </w:r>
      <w:r>
        <w:rPr>
          <w:color w:val="333333"/>
          <w:sz w:val="22"/>
        </w:rPr>
        <w:t xml:space="preserve"> Pharmaceutical R&amp;D projects often require diverse expertise that doesn't align with traditional departmental structures—think drug discovery teams that need chemists, biologists, clinicians, and regulatory specialists working together temporarily. The flubber teaming model could help life sciences organizations form more effective cross-functional teams for specific research initiatives, then reconfigure when projects evolve or conclude.</w:t>
      </w:r>
    </w:p>
    <w:p>
      <w:pPr>
        <w:jc w:val="left"/>
      </w:pPr>
      <w:r>
        <w:rPr>
          <w:color w:val="333333"/>
          <w:sz w:val="22"/>
        </w:rPr>
        <w:t>---</w:t>
      </w:r>
    </w:p>
    <w:p>
      <w:pPr>
        <w:jc w:val="left"/>
      </w:pPr>
      <w:r>
        <w:rPr>
          <w:b/>
          <w:color w:val="333333"/>
          <w:sz w:val="22"/>
        </w:rPr>
        <w:t>AI-teaming: Redefining collaboration in the digital era</w:t>
      </w:r>
    </w:p>
    <w:p>
      <w:pPr>
        <w:jc w:val="left"/>
      </w:pPr>
      <w:r>
        <w:rPr>
          <w:color w:val="333333"/>
          <w:sz w:val="22"/>
        </w:rPr>
        <w:t>*Current Opinion in Psychology*</w:t>
      </w:r>
    </w:p>
    <w:p>
      <w:pPr>
        <w:jc w:val="left"/>
      </w:pPr>
      <w:r>
        <w:rPr>
          <w:color w:val="333333"/>
          <w:sz w:val="22"/>
        </w:rPr>
        <w:t>https://www.sciencedirect.com/science/article/pii/S2352250X24000502</w:t>
      </w:r>
    </w:p>
    <w:p>
      <w:pPr>
        <w:jc w:val="left"/>
      </w:pPr>
      <w:r>
        <w:rPr>
          <w:color w:val="333333"/>
          <w:sz w:val="22"/>
        </w:rPr>
        <w:t>*Date not specified in search results*</w:t>
      </w:r>
    </w:p>
    <w:p>
      <w:pPr>
        <w:jc w:val="left"/>
      </w:pPr>
      <w:r>
        <w:rPr>
          <w:b/>
          <w:color w:val="333333"/>
          <w:sz w:val="22"/>
        </w:rPr>
        <w:t>Key insights:</w:t>
      </w:r>
      <w:r>
        <w:rPr>
          <w:color w:val="333333"/>
          <w:sz w:val="22"/>
        </w:rPr>
        <w:t xml:space="preserve"> Human-AI teams consistently underperform expectations because we apply traditional team science frameworks to fundamentally different collaboration scenarios. The paper argues that when one "team member" is a machine, standard approaches to role definition, communication, and shared mental models break down. Effective human-AI collaboration requires new frameworks that account for how humans and machines process information differently and how they can develop mutual understanding despite these differences.</w:t>
      </w:r>
    </w:p>
    <w:p>
      <w:pPr>
        <w:jc w:val="left"/>
      </w:pPr>
      <w:r>
        <w:rPr>
          <w:b/>
          <w:color w:val="333333"/>
          <w:sz w:val="22"/>
        </w:rPr>
        <w:t>Relevance to Plumtree:</w:t>
      </w:r>
      <w:r>
        <w:rPr>
          <w:color w:val="333333"/>
          <w:sz w:val="22"/>
        </w:rPr>
        <w:t xml:space="preserve"> As life sciences organizations integrate AI into research workflows—from drug discovery algorithms to clinical trial design—they need new approaches to team formation and management. Traditional team-building exercises and communication protocols won't work when part of the team operates through APIs and algorithms rather than meetings and emails.</w:t>
      </w:r>
    </w:p>
    <w:p/>
    <w:p>
      <w:pPr>
        <w:jc w:val="left"/>
      </w:pPr>
      <w:r>
        <w:rPr>
          <w:b/>
          <w:color w:val="6B2D8B"/>
          <w:sz w:val="32"/>
        </w:rPr>
        <w:t>2. ORGANIZATION SYSTEMS</w:t>
      </w:r>
    </w:p>
    <w:p>
      <w:pPr>
        <w:jc w:val="left"/>
      </w:pPr>
      <w:r>
        <w:rPr>
          <w:color w:val="6B2D8B"/>
          <w:sz w:val="12"/>
        </w:rPr>
        <w:t>────────────────────────────────────────────────────────────────────────────────</w:t>
      </w:r>
    </w:p>
    <w:p>
      <w:pPr>
        <w:jc w:val="left"/>
      </w:pPr>
      <w:r>
        <w:rPr>
          <w:color w:val="333333"/>
          <w:sz w:val="22"/>
        </w:rPr>
        <w:t>## Organization Systems Research Brief</w:t>
      </w:r>
    </w:p>
    <w:p>
      <w:pPr>
        <w:jc w:val="left"/>
      </w:pPr>
      <w:r>
        <w:rPr>
          <w:color w:val="333333"/>
          <w:sz w:val="22"/>
        </w:rPr>
        <w:t>This week yielded several substantive pieces on organizational transformation in life sciences, with particularly strong coverage from McKinsey on biopharma restructuring and a relevant HBR case study on managing transformation uncertainty.</w:t>
      </w:r>
    </w:p>
    <w:p>
      <w:pPr>
        <w:jc w:val="left"/>
      </w:pPr>
      <w:r>
        <w:rPr>
          <w:b/>
          <w:color w:val="333333"/>
          <w:sz w:val="22"/>
        </w:rPr>
        <w:t>How One Company Achieved a Bold Transformation Despite Major Unknowns</w:t>
      </w:r>
    </w:p>
    <w:p>
      <w:pPr>
        <w:jc w:val="left"/>
      </w:pPr>
      <w:r>
        <w:rPr>
          <w:color w:val="333333"/>
          <w:sz w:val="22"/>
        </w:rPr>
        <w:t>Harvard Business Review, 2026</w:t>
      </w:r>
    </w:p>
    <w:p>
      <w:pPr>
        <w:jc w:val="left"/>
      </w:pPr>
      <w:r>
        <w:rPr>
          <w:color w:val="333333"/>
          <w:sz w:val="22"/>
        </w:rPr>
        <w:t>https://hbr.org/2026/01/how-one-company-achieved-a-bold-transformation-despite-major-unknowns</w:t>
      </w:r>
    </w:p>
    <w:p>
      <w:pPr>
        <w:jc w:val="left"/>
      </w:pPr>
      <w:r>
        <w:rPr>
          <w:b/>
          <w:color w:val="333333"/>
          <w:sz w:val="22"/>
        </w:rPr>
        <w:t>Key insights:</w:t>
      </w:r>
      <w:r>
        <w:rPr>
          <w:color w:val="333333"/>
          <w:sz w:val="22"/>
        </w:rPr>
        <w:t xml:space="preserve"> This case study challenges the conventional wisdom that successful transformations require detailed upfront planning and risk mitigation. The featured company succeeded by accepting uncertainty as inevitable rather than trying to eliminate it before taking action. Leaders built adaptive capacity into their organization and used iterative learning cycles to navigate ambiguous situations. The approach emphasizes experimentation and rapid adjustment over comprehensive planning.</w:t>
      </w:r>
    </w:p>
    <w:p>
      <w:pPr>
        <w:jc w:val="left"/>
      </w:pPr>
      <w:r>
        <w:rPr>
          <w:b/>
          <w:color w:val="333333"/>
          <w:sz w:val="22"/>
        </w:rPr>
        <w:t>Relevance to Plumtree:</w:t>
      </w:r>
      <w:r>
        <w:rPr>
          <w:color w:val="333333"/>
          <w:sz w:val="22"/>
        </w:rPr>
        <w:t xml:space="preserve"> Life sciences R&amp;D organizations face inherent uncertainty in drug development timelines, regulatory changes, and scientific breakthroughs. This case provides a practical framework for transformation leaders who must act despite incomplete information about future market conditions or technological developments. The emphasis on building adaptive capacity rather than perfect plans aligns well with the iterative nature of scientific work.</w:t>
      </w:r>
    </w:p>
    <w:p>
      <w:pPr>
        <w:jc w:val="left"/>
      </w:pPr>
      <w:r>
        <w:rPr>
          <w:color w:val="333333"/>
          <w:sz w:val="22"/>
        </w:rPr>
        <w:t>---</w:t>
      </w:r>
    </w:p>
    <w:p>
      <w:pPr>
        <w:jc w:val="left"/>
      </w:pPr>
      <w:r>
        <w:rPr>
          <w:b/>
          <w:color w:val="333333"/>
          <w:sz w:val="22"/>
        </w:rPr>
        <w:t>Against the odds: How life sciences companies excel in large transformations</w:t>
      </w:r>
    </w:p>
    <w:p>
      <w:pPr>
        <w:jc w:val="left"/>
      </w:pPr>
      <w:r>
        <w:rPr>
          <w:color w:val="333333"/>
          <w:sz w:val="22"/>
        </w:rPr>
        <w:t>McKinsey &amp; Company, 2026</w:t>
      </w:r>
    </w:p>
    <w:p>
      <w:pPr>
        <w:jc w:val="left"/>
      </w:pPr>
      <w:r>
        <w:rPr>
          <w:color w:val="333333"/>
          <w:sz w:val="22"/>
        </w:rPr>
        <w:t>https://www.mckinsey.com/industries/life-sciences/our-insights/against-the-odds-how-life-sciences-companies-excel-in-large-transformations</w:t>
      </w:r>
    </w:p>
    <w:p>
      <w:pPr>
        <w:jc w:val="left"/>
      </w:pPr>
      <w:r>
        <w:rPr>
          <w:b/>
          <w:color w:val="333333"/>
          <w:sz w:val="22"/>
        </w:rPr>
        <w:t>Key insights:</w:t>
      </w:r>
      <w:r>
        <w:rPr>
          <w:color w:val="333333"/>
          <w:sz w:val="22"/>
        </w:rPr>
        <w:t xml:space="preserve"> The scale of transformation activity in pharma is remarkable—26 of the 30 largest global pharmaceutical companies have announced major transformations in the past five years. These efforts typically involve restructuring organizations, overhauling operations, and streamlining business units. The piece identifies specific factors that differentiate successful transformations from failures in the life sciences context. The high frequency of transformation attempts suggests both the urgent need for change and the difficulty of executing it effectively.</w:t>
      </w:r>
    </w:p>
    <w:p>
      <w:pPr>
        <w:jc w:val="left"/>
      </w:pPr>
      <w:r>
        <w:rPr>
          <w:b/>
          <w:color w:val="333333"/>
          <w:sz w:val="22"/>
        </w:rPr>
        <w:t>Relevance to Plumtree:</w:t>
      </w:r>
      <w:r>
        <w:rPr>
          <w:color w:val="333333"/>
          <w:sz w:val="22"/>
        </w:rPr>
        <w:t xml:space="preserve"> With nearly 90% of major pharma companies actively transforming, understanding what separates success from failure becomes critical for any R&amp;D transformation work. The industry-specific insights can help Plumtree clients avoid common pitfalls and adopt practices that have proven effective in similar scientific organizations. The prevalence of transformation activity also indicates that clients are likely operating in environments where multiple change initiatives may be competing for attention and resources.</w:t>
      </w:r>
    </w:p>
    <w:p>
      <w:pPr>
        <w:jc w:val="left"/>
      </w:pPr>
      <w:r>
        <w:rPr>
          <w:color w:val="333333"/>
          <w:sz w:val="22"/>
        </w:rPr>
        <w:t>---</w:t>
      </w:r>
    </w:p>
    <w:p>
      <w:pPr>
        <w:jc w:val="left"/>
      </w:pPr>
      <w:r>
        <w:rPr>
          <w:b/>
          <w:color w:val="333333"/>
          <w:sz w:val="22"/>
        </w:rPr>
        <w:t>Simplification for success: Rewiring the biopharma operating model</w:t>
      </w:r>
    </w:p>
    <w:p>
      <w:pPr>
        <w:jc w:val="left"/>
      </w:pPr>
      <w:r>
        <w:rPr>
          <w:color w:val="333333"/>
          <w:sz w:val="22"/>
        </w:rPr>
        <w:t>McKinsey &amp; Company, 2026</w:t>
      </w:r>
    </w:p>
    <w:p>
      <w:pPr>
        <w:jc w:val="left"/>
      </w:pPr>
      <w:r>
        <w:rPr>
          <w:color w:val="333333"/>
          <w:sz w:val="22"/>
        </w:rPr>
        <w:t>https://www.mckinsey.com/industries/life-sciences/our-insights/simplification-for-success-rewiring-the-biopharma-operating-model</w:t>
      </w:r>
    </w:p>
    <w:p>
      <w:pPr>
        <w:jc w:val="left"/>
      </w:pPr>
      <w:r>
        <w:rPr>
          <w:b/>
          <w:color w:val="333333"/>
          <w:sz w:val="22"/>
        </w:rPr>
        <w:t>Key insights:</w:t>
      </w:r>
      <w:r>
        <w:rPr>
          <w:color w:val="333333"/>
          <w:sz w:val="22"/>
        </w:rPr>
        <w:t xml:space="preserve"> Some biopharma companies are achieving significant improvements by eliminating organizational duplication between global, regional, and local layers. One example company consolidated from multiple regions to just two—international and US—using an "above-market vs. in-market" structure. This approach brought decision-making closer to customers, reduced bureaucratic overhead, and gave employees clearer role definitions. The simplification strategy directly addresses the complexity that often slows down pharmaceutical organizations.</w:t>
      </w:r>
    </w:p>
    <w:p>
      <w:pPr>
        <w:jc w:val="left"/>
      </w:pPr>
      <w:r>
        <w:rPr>
          <w:b/>
          <w:color w:val="333333"/>
          <w:sz w:val="22"/>
        </w:rPr>
        <w:t>Relevance to Plumtree:</w:t>
      </w:r>
      <w:r>
        <w:rPr>
          <w:color w:val="333333"/>
          <w:sz w:val="22"/>
        </w:rPr>
        <w:t xml:space="preserve"> Many life sciences R&amp;D organizations struggle with matrix structures and unclear decision rights that slow scientific progress. This concrete example of successful simplification provides a template for reducing organizational complexity without losing necessary coordination. The focus on bringing decisions closer to the work—in this case, customers—parallels the need to bring R&amp;D decisions closer to the scientists doing the actual research.</w:t>
      </w:r>
    </w:p>
    <w:p>
      <w:pPr>
        <w:jc w:val="left"/>
      </w:pPr>
      <w:r>
        <w:rPr>
          <w:color w:val="333333"/>
          <w:sz w:val="22"/>
        </w:rPr>
        <w:t>---</w:t>
      </w:r>
    </w:p>
    <w:p>
      <w:pPr>
        <w:jc w:val="left"/>
      </w:pPr>
      <w:r>
        <w:rPr>
          <w:b/>
          <w:color w:val="333333"/>
          <w:sz w:val="22"/>
        </w:rPr>
        <w:t>2026 Life sciences outlook</w:t>
      </w:r>
    </w:p>
    <w:p>
      <w:pPr>
        <w:jc w:val="left"/>
      </w:pPr>
      <w:r>
        <w:rPr>
          <w:color w:val="333333"/>
          <w:sz w:val="22"/>
        </w:rPr>
        <w:t>Deloitte Insights, 2026</w:t>
      </w:r>
    </w:p>
    <w:p>
      <w:pPr>
        <w:jc w:val="left"/>
      </w:pPr>
      <w:r>
        <w:rPr>
          <w:color w:val="333333"/>
          <w:sz w:val="22"/>
        </w:rPr>
        <w:t>https://www.deloitte.com/us/en/insights/industry/health-care/life-sciences-and-health-care-industry-outlooks/2026-life-sciences-executive-outlook.html</w:t>
      </w:r>
    </w:p>
    <w:p>
      <w:pPr>
        <w:jc w:val="left"/>
      </w:pPr>
      <w:r>
        <w:rPr>
          <w:b/>
          <w:color w:val="333333"/>
          <w:sz w:val="22"/>
        </w:rPr>
        <w:t>Key insights:</w:t>
      </w:r>
      <w:r>
        <w:rPr>
          <w:color w:val="333333"/>
          <w:sz w:val="22"/>
        </w:rPr>
        <w:t xml:space="preserve"> Digital transformation has become a top priority, with 48% of life sciences leaders identifying it as having substantial impact in 2026—a significant increase from 2025. However, there's a notable gap between ambition and execution: only 22% have successfully scaled AI initiatives, and just 9% report achieving significant returns from AI investments. Despite transformation challenges, 75% of biopharma and medtech executives remain confident about their organizations' financial outlook, though only 41% are optimistic about the broader economy.</w:t>
      </w:r>
    </w:p>
    <w:p>
      <w:pPr>
        <w:jc w:val="left"/>
      </w:pPr>
      <w:r>
        <w:rPr>
          <w:b/>
          <w:color w:val="333333"/>
          <w:sz w:val="22"/>
        </w:rPr>
        <w:t>Relevance to Plumtree:</w:t>
      </w:r>
      <w:r>
        <w:rPr>
          <w:color w:val="333333"/>
          <w:sz w:val="22"/>
        </w:rPr>
        <w:t xml:space="preserve"> The data reveals a classic transformation challenge—high executive enthusiasm for digital change coupled with low success rates in implementation. This gap suggests that life sciences organizations need better approaches to scaling new technologies and measuring their impact. The disconnect between confidence in digital transformation and actual results indicates opportunities for more effective change management approaches in R&amp;D settings.</w:t>
      </w:r>
    </w:p>
    <w:p/>
    <w:p>
      <w:pPr>
        <w:jc w:val="left"/>
      </w:pPr>
      <w:r>
        <w:rPr>
          <w:b/>
          <w:color w:val="6B2D8B"/>
          <w:sz w:val="32"/>
        </w:rPr>
        <w:t>3. CULTURE</w:t>
      </w:r>
    </w:p>
    <w:p>
      <w:pPr>
        <w:jc w:val="left"/>
      </w:pPr>
      <w:r>
        <w:rPr>
          <w:color w:val="6B2D8B"/>
          <w:sz w:val="12"/>
        </w:rPr>
        <w:t>────────────────────────────────────────────────────────────────────────────────</w:t>
      </w:r>
    </w:p>
    <w:p>
      <w:pPr>
        <w:jc w:val="left"/>
      </w:pPr>
      <w:r>
        <w:rPr>
          <w:color w:val="333333"/>
          <w:sz w:val="22"/>
        </w:rPr>
        <w:t>## Culture Research Brief - Week of [Current Date]</w:t>
      </w:r>
    </w:p>
    <w:p>
      <w:pPr>
        <w:jc w:val="left"/>
      </w:pPr>
      <w:r>
        <w:rPr>
          <w:color w:val="333333"/>
          <w:sz w:val="22"/>
        </w:rPr>
        <w:t>This week yielded several substantive pieces on organizational culture, with particularly relevant insights for life sciences R&amp;D transformation work.</w:t>
      </w:r>
    </w:p>
    <w:p>
      <w:pPr>
        <w:jc w:val="left"/>
      </w:pPr>
      <w:r>
        <w:rPr>
          <w:color w:val="333333"/>
          <w:sz w:val="22"/>
        </w:rPr>
        <w:t>---</w:t>
      </w:r>
    </w:p>
    <w:p>
      <w:pPr>
        <w:jc w:val="left"/>
      </w:pPr>
      <w:r>
        <w:rPr>
          <w:b/>
          <w:color w:val="333333"/>
          <w:sz w:val="22"/>
        </w:rPr>
        <w:t>To Change Company Culture, Start with One High-Impact Behavior</w:t>
      </w:r>
    </w:p>
    <w:p>
      <w:pPr>
        <w:jc w:val="left"/>
      </w:pPr>
      <w:r>
        <w:rPr>
          <w:color w:val="333333"/>
          <w:sz w:val="22"/>
        </w:rPr>
        <w:t>Harvard Business Review</w:t>
      </w:r>
    </w:p>
    <w:p>
      <w:pPr>
        <w:jc w:val="left"/>
      </w:pPr>
      <w:r>
        <w:rPr>
          <w:color w:val="333333"/>
          <w:sz w:val="22"/>
        </w:rPr>
        <w:t>https://hbr.org/2026/01/to-change-company-culture-start-with-one-high-impact-behavior</w:t>
      </w:r>
    </w:p>
    <w:p>
      <w:pPr>
        <w:jc w:val="left"/>
      </w:pPr>
      <w:r>
        <w:rPr>
          <w:b/>
          <w:color w:val="333333"/>
          <w:sz w:val="22"/>
        </w:rPr>
        <w:t>Key insights:</w:t>
      </w:r>
      <w:r>
        <w:rPr>
          <w:color w:val="333333"/>
          <w:sz w:val="22"/>
        </w:rPr>
        <w:t xml:space="preserve"> Rather than attempting broad cultural overhauls, effective change starts by identifying a single behavior that creates ripple effects throughout the organization. The piece argues that behavior drives culture more than values statements or leadership speeches. When leaders focus on one specific, observable action and consistently model it, that behavior spreads organically and shifts underlying cultural patterns. This approach works because it gives people something concrete to practice rather than abstract concepts to embrace.</w:t>
      </w:r>
    </w:p>
    <w:p>
      <w:pPr>
        <w:jc w:val="left"/>
      </w:pPr>
      <w:r>
        <w:rPr>
          <w:b/>
          <w:color w:val="333333"/>
          <w:sz w:val="22"/>
        </w:rPr>
        <w:t>Relevance to Plumtree:</w:t>
      </w:r>
      <w:r>
        <w:rPr>
          <w:color w:val="333333"/>
          <w:sz w:val="22"/>
        </w:rPr>
        <w:t xml:space="preserve"> This directly supports our human-centric approach to R&amp;D transformation. Scientists respond better to specific behavioral changes they can observe and practice than to broad cultural mandates. For example, changing how research teams share preliminary findings or how they handle failed experiments can cascade into broader shifts toward collaboration and learning. This behavioral focus aligns with how scientists naturally think—through observable, measurable changes rather than aspirational frameworks.</w:t>
      </w:r>
    </w:p>
    <w:p>
      <w:pPr>
        <w:jc w:val="left"/>
      </w:pPr>
      <w:r>
        <w:rPr>
          <w:color w:val="333333"/>
          <w:sz w:val="22"/>
        </w:rPr>
        <w:t>---</w:t>
      </w:r>
    </w:p>
    <w:p>
      <w:pPr>
        <w:jc w:val="left"/>
      </w:pPr>
      <w:r>
        <w:rPr>
          <w:b/>
          <w:color w:val="333333"/>
          <w:sz w:val="22"/>
        </w:rPr>
        <w:t>How Leaders Can Build a High-Agency Culture</w:t>
      </w:r>
    </w:p>
    <w:p>
      <w:pPr>
        <w:jc w:val="left"/>
      </w:pPr>
      <w:r>
        <w:rPr>
          <w:color w:val="333333"/>
          <w:sz w:val="22"/>
        </w:rPr>
        <w:t>Harvard Business Review</w:t>
      </w:r>
    </w:p>
    <w:p>
      <w:pPr>
        <w:jc w:val="left"/>
      </w:pPr>
      <w:r>
        <w:rPr>
          <w:color w:val="333333"/>
          <w:sz w:val="22"/>
        </w:rPr>
        <w:t>https://hbr.org/2026/03/how-leaders-can-build-a-high-agency-culture</w:t>
      </w:r>
    </w:p>
    <w:p>
      <w:pPr>
        <w:jc w:val="left"/>
      </w:pPr>
      <w:r>
        <w:rPr>
          <w:b/>
          <w:color w:val="333333"/>
          <w:sz w:val="22"/>
        </w:rPr>
        <w:t>Key insights:</w:t>
      </w:r>
      <w:r>
        <w:rPr>
          <w:color w:val="333333"/>
          <w:sz w:val="22"/>
        </w:rPr>
        <w:t xml:space="preserve"> High-agency cultures enable people to act effectively despite uncertainty by helping them choose beliefs that expand their perception of what's possible. The article contrasts this with blame-oriented cultures where people feel helpless when facing ambiguous challenges. Leaders build agency by encouraging experimentation, reframing setbacks as learning opportunities, and helping teams focus on what they can control rather than external constraints. The framework emphasizes that agency is learnable and can be systematically developed across organizations.</w:t>
      </w:r>
    </w:p>
    <w:p>
      <w:pPr>
        <w:jc w:val="left"/>
      </w:pPr>
      <w:r>
        <w:rPr>
          <w:b/>
          <w:color w:val="333333"/>
          <w:sz w:val="22"/>
        </w:rPr>
        <w:t>Relevance to Plumtree:</w:t>
      </w:r>
      <w:r>
        <w:rPr>
          <w:color w:val="333333"/>
          <w:sz w:val="22"/>
        </w:rPr>
        <w:t xml:space="preserve"> R&amp;D environments are inherently uncertain, making high agency essential for scientific innovation. Many life sciences organizations struggle with risk-averse cultures that punish failure, which directly undermines the experimental mindset needed for breakthrough research. This framework offers practical tools for helping research teams maintain momentum when facing regulatory hurdles, failed trials, or unclear market signals—common challenges that can paralyze R&amp;D organizations if not handled well.</w:t>
      </w:r>
    </w:p>
    <w:p>
      <w:pPr>
        <w:jc w:val="left"/>
      </w:pPr>
      <w:r>
        <w:rPr>
          <w:color w:val="333333"/>
          <w:sz w:val="22"/>
        </w:rPr>
        <w:t>---</w:t>
      </w:r>
    </w:p>
    <w:p>
      <w:pPr>
        <w:jc w:val="left"/>
      </w:pPr>
      <w:r>
        <w:rPr>
          <w:b/>
          <w:color w:val="333333"/>
          <w:sz w:val="22"/>
        </w:rPr>
        <w:t>Agentic organizations: Turning AI into business value</w:t>
      </w:r>
    </w:p>
    <w:p>
      <w:pPr>
        <w:jc w:val="left"/>
      </w:pPr>
      <w:r>
        <w:rPr>
          <w:color w:val="333333"/>
          <w:sz w:val="22"/>
        </w:rPr>
        <w:t>McKinsey &amp; Company</w:t>
      </w:r>
    </w:p>
    <w:p>
      <w:pPr>
        <w:jc w:val="left"/>
      </w:pPr>
      <w:r>
        <w:rPr>
          <w:color w:val="333333"/>
          <w:sz w:val="22"/>
        </w:rPr>
        <w:t>https://www.mckinsey.com/capabilities/people-and-organizational-performance/our-insights/ai-is-everywhere-the-agentic-organization-isnt-yet</w:t>
      </w:r>
    </w:p>
    <w:p>
      <w:pPr>
        <w:jc w:val="left"/>
      </w:pPr>
      <w:r>
        <w:rPr>
          <w:b/>
          <w:color w:val="333333"/>
          <w:sz w:val="22"/>
        </w:rPr>
        <w:t>Key insights:</w:t>
      </w:r>
      <w:r>
        <w:rPr>
          <w:color w:val="333333"/>
          <w:sz w:val="22"/>
        </w:rPr>
        <w:t xml:space="preserve"> Life sciences companies are exploring how AI agents can accelerate R&amp;D processes while researchers remain central to innovation work. The piece examines how organizations are building cultures that integrate AI agents as collaborative tools rather than replacements for human expertise. Success requires rethinking decision-making processes, trust in data, and how teams coordinate when some members are AI systems. The cultural challenge isn't technical adoption but creating new norms for human-AI collaboration.</w:t>
      </w:r>
    </w:p>
    <w:p>
      <w:pPr>
        <w:jc w:val="left"/>
      </w:pPr>
      <w:r>
        <w:rPr>
          <w:b/>
          <w:color w:val="333333"/>
          <w:sz w:val="22"/>
        </w:rPr>
        <w:t>Relevance to Plumtree:</w:t>
      </w:r>
      <w:r>
        <w:rPr>
          <w:color w:val="333333"/>
          <w:sz w:val="22"/>
        </w:rPr>
        <w:t xml:space="preserve"> This speaks directly to current transformation challenges in life sciences R&amp;D, where AI adoption often stalls due to cultural resistance rather than technical limitations. Scientists need new ways of working that preserve their expertise while incorporating AI capabilities. The cultural integration challenge—helping research teams develop trust in AI-generated insights while maintaining scientific rigor—is exactly the type of human-centric transformation work our clients face as they modernize their R&amp;D processes.</w:t>
      </w:r>
    </w:p>
    <w:p>
      <w:pPr>
        <w:jc w:val="left"/>
      </w:pPr>
      <w:r>
        <w:rPr>
          <w:color w:val="333333"/>
          <w:sz w:val="22"/>
        </w:rPr>
        <w:t>---</w:t>
      </w:r>
    </w:p>
    <w:p>
      <w:pPr>
        <w:jc w:val="left"/>
      </w:pPr>
      <w:r>
        <w:rPr>
          <w:b/>
          <w:color w:val="333333"/>
          <w:sz w:val="22"/>
        </w:rPr>
        <w:t>Note:</w:t>
      </w:r>
      <w:r>
        <w:rPr>
          <w:color w:val="333333"/>
          <w:sz w:val="22"/>
        </w:rPr>
        <w:t xml:space="preserve"> The Deloitte Global Human Capital Trends report was mentioned in search results but appears to contain primarily high-level observations about human-machine collaboration without sufficient depth for inclusion in this brief.</w:t>
      </w:r>
    </w:p>
    <w:p/>
    <w:p>
      <w:pPr>
        <w:jc w:val="left"/>
      </w:pPr>
      <w:r>
        <w:rPr>
          <w:b/>
          <w:color w:val="6B2D8B"/>
          <w:sz w:val="32"/>
        </w:rPr>
        <w:t>4. LEADERSHIP</w:t>
      </w:r>
    </w:p>
    <w:p>
      <w:pPr>
        <w:jc w:val="left"/>
      </w:pPr>
      <w:r>
        <w:rPr>
          <w:color w:val="6B2D8B"/>
          <w:sz w:val="12"/>
        </w:rPr>
        <w:t>────────────────────────────────────────────────────────────────────────────────</w:t>
      </w:r>
    </w:p>
    <w:p>
      <w:pPr>
        <w:jc w:val="left"/>
      </w:pPr>
      <w:r>
        <w:rPr>
          <w:color w:val="333333"/>
          <w:sz w:val="22"/>
        </w:rPr>
        <w:t>## Leadership Research Brief - Week of [Date]</w:t>
      </w:r>
    </w:p>
    <w:p>
      <w:pPr>
        <w:jc w:val="left"/>
      </w:pPr>
      <w:r>
        <w:rPr>
          <w:color w:val="333333"/>
          <w:sz w:val="22"/>
        </w:rPr>
        <w:t>This week's leadership research offers mixed quality. While we have some substantive pieces from reputable sources, the overall selection is lighter than ideal, with several articles leaning toward trend-focused content rather than deep insights.</w:t>
      </w:r>
    </w:p>
    <w:p>
      <w:pPr>
        <w:jc w:val="left"/>
      </w:pPr>
      <w:r>
        <w:rPr>
          <w:color w:val="333333"/>
          <w:sz w:val="22"/>
        </w:rPr>
        <w:t>---</w:t>
      </w:r>
    </w:p>
    <w:p>
      <w:pPr>
        <w:jc w:val="left"/>
      </w:pPr>
      <w:r>
        <w:rPr>
          <w:b/>
          <w:color w:val="333333"/>
          <w:sz w:val="22"/>
        </w:rPr>
        <w:t>How Leaders Face the Future of Work</w:t>
      </w:r>
    </w:p>
    <w:p>
      <w:pPr>
        <w:jc w:val="left"/>
      </w:pPr>
      <w:r>
        <w:rPr>
          <w:color w:val="333333"/>
          <w:sz w:val="22"/>
        </w:rPr>
        <w:t>*Author: Lynda Gratton*</w:t>
      </w:r>
    </w:p>
    <w:p>
      <w:pPr>
        <w:jc w:val="left"/>
      </w:pPr>
      <w:r>
        <w:rPr>
          <w:color w:val="333333"/>
          <w:sz w:val="22"/>
        </w:rPr>
        <w:t>*MIT Sloan Management Review, [Date]*</w:t>
      </w:r>
    </w:p>
    <w:p>
      <w:pPr>
        <w:jc w:val="left"/>
      </w:pPr>
      <w:r>
        <w:rPr>
          <w:color w:val="333333"/>
          <w:sz w:val="22"/>
        </w:rPr>
        <w:t>*Source: https://sloanreview.mit.edu/article/how-leaders-face-the-future-of-work/*</w:t>
      </w:r>
    </w:p>
    <w:p>
      <w:pPr>
        <w:jc w:val="left"/>
      </w:pPr>
      <w:r>
        <w:rPr>
          <w:b/>
          <w:color w:val="333333"/>
          <w:sz w:val="22"/>
        </w:rPr>
        <w:t>Key insights:</w:t>
      </w:r>
      <w:r>
        <w:rPr>
          <w:color w:val="333333"/>
          <w:sz w:val="22"/>
        </w:rPr>
        <w:t xml:space="preserve"> Gratton argues that leaders must treat decision-making as a strategic discipline rather than an ad-hoc process. The piece emphasizes the critical need to intentionally design how humans and AI share judgment and accountability, particularly as AI capabilities expand. The focus is on maintaining trust and protecting human agency while integrating new technologies into decision-making processes.</w:t>
      </w:r>
    </w:p>
    <w:p>
      <w:pPr>
        <w:jc w:val="left"/>
      </w:pPr>
      <w:r>
        <w:rPr>
          <w:b/>
          <w:color w:val="333333"/>
          <w:sz w:val="22"/>
        </w:rPr>
        <w:t>Relevance to Plumtree:</w:t>
      </w:r>
      <w:r>
        <w:rPr>
          <w:color w:val="333333"/>
          <w:sz w:val="22"/>
        </w:rPr>
        <w:t xml:space="preserve"> This directly applies to R&amp;D transformation work where scientists and doctors are increasingly working alongside AI tools for research design, data analysis, and clinical decision-making. The emphasis on intentional design of human-AI collaboration is particularly relevant for life sciences organizations navigating how to integrate AI while preserving the critical thinking and judgment that drives scientific innovation.</w:t>
      </w:r>
    </w:p>
    <w:p>
      <w:pPr>
        <w:jc w:val="left"/>
      </w:pPr>
      <w:r>
        <w:rPr>
          <w:color w:val="333333"/>
          <w:sz w:val="22"/>
        </w:rPr>
        <w:t>---</w:t>
      </w:r>
    </w:p>
    <w:p>
      <w:pPr>
        <w:jc w:val="left"/>
      </w:pPr>
      <w:r>
        <w:rPr>
          <w:b/>
          <w:color w:val="333333"/>
          <w:sz w:val="22"/>
        </w:rPr>
        <w:t>Why Digital Dexterity Is Key to Transformation</w:t>
      </w:r>
    </w:p>
    <w:p>
      <w:pPr>
        <w:jc w:val="left"/>
      </w:pPr>
      <w:r>
        <w:rPr>
          <w:color w:val="333333"/>
          <w:sz w:val="22"/>
        </w:rPr>
        <w:t>*Author: [Not specified in search results]*</w:t>
      </w:r>
    </w:p>
    <w:p>
      <w:pPr>
        <w:jc w:val="left"/>
      </w:pPr>
      <w:r>
        <w:rPr>
          <w:color w:val="333333"/>
          <w:sz w:val="22"/>
        </w:rPr>
        <w:t>*MIT Sloan Management Review, [Date]*</w:t>
      </w:r>
    </w:p>
    <w:p>
      <w:pPr>
        <w:jc w:val="left"/>
      </w:pPr>
      <w:r>
        <w:rPr>
          <w:color w:val="333333"/>
          <w:sz w:val="22"/>
        </w:rPr>
        <w:t>*Source: https://sloanreview.mit.edu/article/why-digital-dexterity-is-key-to-transformation/*</w:t>
      </w:r>
    </w:p>
    <w:p>
      <w:pPr>
        <w:jc w:val="left"/>
      </w:pPr>
      <w:r>
        <w:rPr>
          <w:b/>
          <w:color w:val="333333"/>
          <w:sz w:val="22"/>
        </w:rPr>
        <w:t>Key insights:</w:t>
      </w:r>
      <w:r>
        <w:rPr>
          <w:color w:val="333333"/>
          <w:sz w:val="22"/>
        </w:rPr>
        <w:t xml:space="preserve"> The article introduces the concept of "digital dexterity" - the combination of willingness and ability to adopt new technologies like generative AI for innovative solutions. It argues that learning must be integrated into daily work processes rather than treated as separate training events. This approach is positioned as essential for creating true learning organizations that can adapt to technological change.</w:t>
      </w:r>
    </w:p>
    <w:p>
      <w:pPr>
        <w:jc w:val="left"/>
      </w:pPr>
      <w:r>
        <w:rPr>
          <w:b/>
          <w:color w:val="333333"/>
          <w:sz w:val="22"/>
        </w:rPr>
        <w:t>Relevance to Plumtree:</w:t>
      </w:r>
      <w:r>
        <w:rPr>
          <w:color w:val="333333"/>
          <w:sz w:val="22"/>
        </w:rPr>
        <w:t xml:space="preserve"> R&amp;D organizations face constant pressure to adopt new digital tools and methodologies, from AI-assisted drug discovery to advanced data analytics platforms. The concept of embedding learning into daily work aligns well with how scientists naturally operate - through experimentation and iteration - and could inform how transformation initiatives are designed to feel more natural to research teams.</w:t>
      </w:r>
    </w:p>
    <w:p>
      <w:pPr>
        <w:jc w:val="left"/>
      </w:pPr>
      <w:r>
        <w:rPr>
          <w:color w:val="333333"/>
          <w:sz w:val="22"/>
        </w:rPr>
        <w:t>---</w:t>
      </w:r>
    </w:p>
    <w:p>
      <w:pPr>
        <w:jc w:val="left"/>
      </w:pPr>
      <w:r>
        <w:rPr>
          <w:b/>
          <w:color w:val="333333"/>
          <w:sz w:val="22"/>
        </w:rPr>
        <w:t>Note on remaining sources:</w:t>
      </w:r>
      <w:r>
        <w:rPr>
          <w:color w:val="333333"/>
          <w:sz w:val="22"/>
        </w:rPr>
        <w:t xml:space="preserve"> The Harvard Business Review piece on 2026 trends and the McKinsey article on "leadership factories" both lean heavily toward trend forecasting and corporate buzzwords rather than substantive insights. While they come from reputable sources, they offer more speculation than actionable research for transformation practitioners.</w:t>
      </w:r>
    </w:p>
    <w:p/>
    <w:p>
      <w:pPr>
        <w:jc w:val="left"/>
      </w:pPr>
      <w:r>
        <w:rPr>
          <w:b/>
          <w:color w:val="6B2D8B"/>
          <w:sz w:val="32"/>
        </w:rPr>
        <w:t>5. AI AND THE FUTURE OF WORK</w:t>
      </w:r>
    </w:p>
    <w:p>
      <w:pPr>
        <w:jc w:val="left"/>
      </w:pPr>
      <w:r>
        <w:rPr>
          <w:color w:val="6B2D8B"/>
          <w:sz w:val="12"/>
        </w:rPr>
        <w:t>────────────────────────────────────────────────────────────────────────────────</w:t>
      </w:r>
    </w:p>
    <w:p>
      <w:pPr>
        <w:jc w:val="left"/>
      </w:pPr>
      <w:r>
        <w:rPr>
          <w:color w:val="333333"/>
          <w:sz w:val="22"/>
        </w:rPr>
        <w:t>## AI and the Future of Work - Weekly Research Brief</w:t>
      </w:r>
    </w:p>
    <w:p>
      <w:pPr>
        <w:jc w:val="left"/>
      </w:pPr>
      <w:r>
        <w:rPr>
          <w:color w:val="333333"/>
          <w:sz w:val="22"/>
        </w:rPr>
        <w:t>This week's search results focus heavily on AI applications in pharmaceutical R&amp;D, with limited broader "future of work" content. The quality is mixed - two substantial industry reports and one academic paper, plus one generic McKinsey piece.</w:t>
      </w:r>
    </w:p>
    <w:p>
      <w:pPr>
        <w:jc w:val="left"/>
      </w:pPr>
      <w:r>
        <w:rPr>
          <w:color w:val="333333"/>
          <w:sz w:val="22"/>
        </w:rPr>
        <w:t>### Selected Articles</w:t>
      </w:r>
    </w:p>
    <w:p>
      <w:pPr>
        <w:jc w:val="left"/>
      </w:pPr>
      <w:r>
        <w:rPr>
          <w:b/>
          <w:color w:val="333333"/>
          <w:sz w:val="22"/>
        </w:rPr>
        <w:t>The future of pharmaceuticals: Artificial intelligence in drug discovery and development</w:t>
      </w:r>
    </w:p>
    <w:p>
      <w:pPr>
        <w:jc w:val="left"/>
      </w:pPr>
      <w:r>
        <w:rPr>
          <w:color w:val="333333"/>
          <w:sz w:val="22"/>
        </w:rPr>
        <w:t>*Author not specified*</w:t>
      </w:r>
    </w:p>
    <w:p>
      <w:pPr>
        <w:jc w:val="left"/>
      </w:pPr>
      <w:r>
        <w:rPr>
          <w:color w:val="333333"/>
          <w:sz w:val="22"/>
        </w:rPr>
        <w:t>ScienceDirect, 2025</w:t>
      </w:r>
    </w:p>
    <w:p>
      <w:pPr>
        <w:jc w:val="left"/>
      </w:pPr>
      <w:r>
        <w:rPr>
          <w:color w:val="333333"/>
          <w:sz w:val="22"/>
        </w:rPr>
        <w:t>https://www.sciencedirect.com/science/article/pii/S2095177925000656</w:t>
      </w:r>
    </w:p>
    <w:p>
      <w:pPr>
        <w:jc w:val="left"/>
      </w:pPr>
      <w:r>
        <w:rPr>
          <w:b/>
          <w:color w:val="333333"/>
          <w:sz w:val="22"/>
        </w:rPr>
        <w:t>Key insights:</w:t>
      </w:r>
      <w:r>
        <w:rPr>
          <w:color w:val="333333"/>
          <w:sz w:val="22"/>
        </w:rPr>
        <w:t xml:space="preserve"> This academic review examines how AI, machine learning, and deep learning are changing drug discovery workflows. The paper documents specific advances in drug characterization, target identification, small molecule design, and clinical trial processes. The authors argue that AI is moving beyond efficiency gains to fundamentally alter how pharmaceutical research is conducted, with measurable improvements in success rates and timeline compression.</w:t>
      </w:r>
    </w:p>
    <w:p>
      <w:pPr>
        <w:jc w:val="left"/>
      </w:pPr>
      <w:r>
        <w:rPr>
          <w:b/>
          <w:color w:val="333333"/>
          <w:sz w:val="22"/>
        </w:rPr>
        <w:t>Relevance to Plumtree:</w:t>
      </w:r>
      <w:r>
        <w:rPr>
          <w:color w:val="333333"/>
          <w:sz w:val="22"/>
        </w:rPr>
        <w:t xml:space="preserve"> Life sciences R&amp;D teams are grappling with how to integrate these AI capabilities into existing research workflows without breaking productive collaborations. The technical advances described here will require significant organizational change management as scientists adapt their daily practices and decision-making processes.</w:t>
      </w:r>
    </w:p>
    <w:p>
      <w:pPr>
        <w:jc w:val="left"/>
      </w:pPr>
      <w:r>
        <w:rPr>
          <w:color w:val="333333"/>
          <w:sz w:val="22"/>
        </w:rPr>
        <w:t>---</w:t>
      </w:r>
    </w:p>
    <w:p>
      <w:pPr>
        <w:jc w:val="left"/>
      </w:pPr>
      <w:r>
        <w:rPr>
          <w:b/>
          <w:color w:val="333333"/>
          <w:sz w:val="22"/>
        </w:rPr>
        <w:t>Generative AI in the pharmaceutical industry: Moving from hype to reality</w:t>
      </w:r>
    </w:p>
    <w:p>
      <w:pPr>
        <w:jc w:val="left"/>
      </w:pPr>
      <w:r>
        <w:rPr>
          <w:color w:val="333333"/>
          <w:sz w:val="22"/>
        </w:rPr>
        <w:t>*Author not specified*</w:t>
      </w:r>
    </w:p>
    <w:p>
      <w:pPr>
        <w:jc w:val="left"/>
      </w:pPr>
      <w:r>
        <w:rPr>
          <w:color w:val="333333"/>
          <w:sz w:val="22"/>
        </w:rPr>
        <w:t>McKinsey &amp; Company, 2024</w:t>
      </w:r>
    </w:p>
    <w:p>
      <w:pPr>
        <w:jc w:val="left"/>
      </w:pPr>
      <w:r>
        <w:rPr>
          <w:color w:val="333333"/>
          <w:sz w:val="22"/>
        </w:rPr>
        <w:t>https://www.mckinsey.com/industries/life-sciences/our-insights/generative-ai-in-the-pharmaceutical-industry-moving-from-hype-to-reality</w:t>
      </w:r>
    </w:p>
    <w:p>
      <w:pPr>
        <w:jc w:val="left"/>
      </w:pPr>
      <w:r>
        <w:rPr>
          <w:b/>
          <w:color w:val="333333"/>
          <w:sz w:val="22"/>
        </w:rPr>
        <w:t>Key insights:</w:t>
      </w:r>
      <w:r>
        <w:rPr>
          <w:color w:val="333333"/>
          <w:sz w:val="22"/>
        </w:rPr>
        <w:t xml:space="preserve"> McKinsey estimates generative AI could create $5-7 billion in value for life sciences, with pharma R&amp;D representing 30-40% of that potential. The report emphasizes that the industry is shifting from experimentation to "purposeful transformation" where organizations must balance innovation with operational discipline. The analysis suggests that successful implementation requires strategic focus rather than broad adoption across all functions.</w:t>
      </w:r>
    </w:p>
    <w:p>
      <w:pPr>
        <w:jc w:val="left"/>
      </w:pPr>
      <w:r>
        <w:rPr>
          <w:b/>
          <w:color w:val="333333"/>
          <w:sz w:val="22"/>
        </w:rPr>
        <w:t>Relevance to Plumtree:</w:t>
      </w:r>
      <w:r>
        <w:rPr>
          <w:color w:val="333333"/>
          <w:sz w:val="22"/>
        </w:rPr>
        <w:t xml:space="preserve"> This quantified value proposition will likely drive executive pressure for AI adoption in R&amp;D organizations. However, the emphasis on "discipline and innovation coexisting" aligns with Plumtree's human-centric approach - successful transformation will depend on how well organizations manage the cultural and workflow changes, not just the technology deployment.</w:t>
      </w:r>
    </w:p>
    <w:p>
      <w:pPr>
        <w:jc w:val="left"/>
      </w:pPr>
      <w:r>
        <w:rPr>
          <w:color w:val="333333"/>
          <w:sz w:val="22"/>
        </w:rPr>
        <w:t>---</w:t>
      </w:r>
    </w:p>
    <w:p>
      <w:pPr>
        <w:jc w:val="left"/>
      </w:pPr>
      <w:r>
        <w:rPr>
          <w:b/>
          <w:color w:val="333333"/>
          <w:sz w:val="22"/>
        </w:rPr>
        <w:t>Generative AI to Reshape the Future of Life Sciences</w:t>
      </w:r>
    </w:p>
    <w:p>
      <w:pPr>
        <w:jc w:val="left"/>
      </w:pPr>
      <w:r>
        <w:rPr>
          <w:color w:val="333333"/>
          <w:sz w:val="22"/>
        </w:rPr>
        <w:t>*Author not specified*</w:t>
      </w:r>
    </w:p>
    <w:p>
      <w:pPr>
        <w:jc w:val="left"/>
      </w:pPr>
      <w:r>
        <w:rPr>
          <w:color w:val="333333"/>
          <w:sz w:val="22"/>
        </w:rPr>
        <w:t>Deloitte, 2024</w:t>
      </w:r>
    </w:p>
    <w:p>
      <w:pPr>
        <w:jc w:val="left"/>
      </w:pPr>
      <w:r>
        <w:rPr>
          <w:color w:val="333333"/>
          <w:sz w:val="22"/>
        </w:rPr>
        <w:t>https://www.deloitte.com/us/en/Industries/life-sciences-health-care/articles/value-of-genai-in-pharma.html</w:t>
      </w:r>
    </w:p>
    <w:p>
      <w:pPr>
        <w:jc w:val="left"/>
      </w:pPr>
      <w:r>
        <w:rPr>
          <w:b/>
          <w:color w:val="333333"/>
          <w:sz w:val="22"/>
        </w:rPr>
        <w:t>Key insights:</w:t>
      </w:r>
      <w:r>
        <w:rPr>
          <w:color w:val="333333"/>
          <w:sz w:val="22"/>
        </w:rPr>
        <w:t xml:space="preserve"> Despite widespread enthusiasm, only 22% of life sciences organizations have successfully scaled AI implementations, and just 9% report significant returns on investment. The report identifies a gap between executive expectations and operational reality. Thirty percent of industry leaders cite "agentic AI" as a key trend for 2026, suggesting autonomous AI systems will become more prominent in research workflows.</w:t>
      </w:r>
    </w:p>
    <w:p>
      <w:pPr>
        <w:jc w:val="left"/>
      </w:pPr>
      <w:r>
        <w:rPr>
          <w:b/>
          <w:color w:val="333333"/>
          <w:sz w:val="22"/>
        </w:rPr>
        <w:t>Relevance to Plumtree:</w:t>
      </w:r>
      <w:r>
        <w:rPr>
          <w:color w:val="333333"/>
          <w:sz w:val="22"/>
        </w:rPr>
        <w:t xml:space="preserve"> The low success rates for AI scaling reflect the organizational challenges that Plumtree addresses - technology adoption fails when human factors are ignored. The 78% of organizations struggling to scale AI likely need transformation support focused on change management, team dynamics, and workflow redesign rather than additional technology investment.</w:t>
      </w:r>
    </w:p>
    <w:p>
      <w:pPr>
        <w:jc w:val="left"/>
      </w:pPr>
      <w:r>
        <w:rPr>
          <w:color w:val="333333"/>
          <w:sz w:val="22"/>
        </w:rPr>
        <w:t>---</w:t>
      </w:r>
    </w:p>
    <w:p>
      <w:pPr>
        <w:jc w:val="left"/>
      </w:pPr>
      <w:r>
        <w:rPr>
          <w:color w:val="333333"/>
          <w:sz w:val="22"/>
        </w:rPr>
        <w:t>### Assessment</w:t>
      </w:r>
    </w:p>
    <w:p>
      <w:pPr>
        <w:jc w:val="left"/>
      </w:pPr>
      <w:r>
        <w:rPr>
          <w:color w:val="333333"/>
          <w:sz w:val="22"/>
        </w:rPr>
        <w:t>The search results this week are thin on broader "future of work" insights, concentrating instead on AI applications specific to pharmaceutical R&amp;D. The McKinsey learning and development piece was too generic to include. The three selected articles provide useful data points about AI adoption challenges in life sciences but lack depth on the human and organizational factors that drive successful transformation.</w:t>
      </w:r>
    </w:p>
    <w:p/>
    <w:p>
      <w:pPr>
        <w:jc w:val="left"/>
      </w:pPr>
      <w:r>
        <w:rPr>
          <w:b/>
          <w:color w:val="6B2D8B"/>
          <w:sz w:val="32"/>
        </w:rPr>
        <w:t>THE SO WHAT THIS WEEK</w:t>
      </w:r>
    </w:p>
    <w:p>
      <w:pPr>
        <w:jc w:val="left"/>
      </w:pPr>
      <w:r>
        <w:rPr>
          <w:color w:val="6B2D8B"/>
          <w:sz w:val="12"/>
        </w:rPr>
        <w:t>────────────────────────────────────────────────────────────────────────────────</w:t>
      </w:r>
    </w:p>
    <w:p>
      <w:r>
        <w:rPr>
          <w:color w:val="333333"/>
          <w:sz w:val="22"/>
        </w:rPr>
        <w:t>## The So What This Week</w:t>
        <w:br/>
        <w:br/>
        <w:t>The research this week reveals a fundamental mismatch between how organizations are approaching AI transformation and what actually makes it work. While life sciences companies are pouring resources into AI tools—with McKinsey estimating $5-7 billion in potential value—78% are failing to scale these implementations successfully. The disconnect isn't technical; it's human. Deloitte's team research shows that high-performing teams actually use AI more than their peers, but they deploy it to enhance human capabilities like emotional intelligence and connected teaming, not replace them. Meanwhile, the culture and leadership research emphasizes starting with single, observable behaviors rather than broad transformation mandates. The pattern is clear: organizations are leading with technology and following with people, when successful transformation requires the opposite sequence—building human capabilities first, then adding AI as an amplifier.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