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B80E" w14:textId="77777777" w:rsidR="00DC0632" w:rsidRDefault="00000000">
      <w:pPr>
        <w:pStyle w:val="Heading2"/>
      </w:pPr>
      <w:bookmarkStart w:id="0" w:name="Xe501ad738c75893527d196ab9bbae0dbb047b9a"/>
      <w:r>
        <w:t xml:space="preserve">The Influence of Maternal Social Deprivation </w:t>
      </w:r>
      <w:proofErr w:type="gramStart"/>
      <w:r>
        <w:t>On</w:t>
      </w:r>
      <w:proofErr w:type="gramEnd"/>
      <w:r>
        <w:t xml:space="preserve"> Undernutrition In Children Under 5 Years In Northern And Southern Nigeria.</w:t>
      </w:r>
    </w:p>
    <w:p w14:paraId="2A5EE321" w14:textId="77777777" w:rsidR="00DC0632" w:rsidRDefault="00000000">
      <w:pPr>
        <w:pStyle w:val="Heading5"/>
      </w:pPr>
      <w:bookmarkStart w:id="1" w:name="X57ea135b3bffbdf761fb8daf7e937d5e6717724"/>
      <w:r>
        <w:t>Keywords: Nutrition, Social Deprivation, Nigeria, Youth</w:t>
      </w:r>
    </w:p>
    <w:p w14:paraId="153C2E26" w14:textId="77777777" w:rsidR="00DC0632" w:rsidRDefault="00000000">
      <w:pPr>
        <w:pStyle w:val="Heading5"/>
      </w:pPr>
      <w:bookmarkStart w:id="2" w:name="Xea4ac9971b2b6ad1ec30496a82811fb4fb3dabd"/>
      <w:bookmarkEnd w:id="1"/>
      <w:proofErr w:type="spellStart"/>
      <w:r>
        <w:t>Nkiru</w:t>
      </w:r>
      <w:proofErr w:type="spellEnd"/>
      <w:r>
        <w:t xml:space="preserve"> J. Obi, M.D, MPH</w:t>
      </w:r>
      <m:oMath>
        <m:sSup>
          <m:sSupPr>
            <m:ctrlPr>
              <w:rPr>
                <w:rFonts w:ascii="Cambria Math" w:hAnsi="Cambria Math"/>
              </w:rPr>
            </m:ctrlPr>
          </m:sSupPr>
          <m:e>
            <m:r>
              <w:rPr>
                <w:rFonts w:ascii="Cambria Math" w:hAnsi="Cambria Math"/>
              </w:rPr>
              <m:t>​</m:t>
            </m:r>
          </m:e>
          <m:sup>
            <m:r>
              <w:rPr>
                <w:rFonts w:ascii="Cambria Math" w:hAnsi="Cambria Math"/>
              </w:rPr>
              <m:t>1</m:t>
            </m:r>
          </m:sup>
        </m:sSup>
      </m:oMath>
      <w:r>
        <w:t>*; Jenine K. Harris, PhD</w:t>
      </w:r>
      <m:oMath>
        <m:sSup>
          <m:sSupPr>
            <m:ctrlPr>
              <w:rPr>
                <w:rFonts w:ascii="Cambria Math" w:hAnsi="Cambria Math"/>
              </w:rPr>
            </m:ctrlPr>
          </m:sSupPr>
          <m:e>
            <m:r>
              <w:rPr>
                <w:rFonts w:ascii="Cambria Math" w:hAnsi="Cambria Math"/>
              </w:rPr>
              <m:t>​</m:t>
            </m:r>
          </m:e>
          <m:sup>
            <m:r>
              <w:rPr>
                <w:rFonts w:ascii="Cambria Math" w:hAnsi="Cambria Math"/>
              </w:rPr>
              <m:t>2</m:t>
            </m:r>
          </m:sup>
        </m:sSup>
      </m:oMath>
    </w:p>
    <w:bookmarkStart w:id="3" w:name="X3a429a441dbb8fafb388f342bdf7250df11ecad"/>
    <w:bookmarkEnd w:id="2"/>
    <w:p w14:paraId="40C33462" w14:textId="77777777" w:rsidR="00DC0632" w:rsidRDefault="00000000">
      <w:pPr>
        <w:pStyle w:val="Heading5"/>
      </w:pPr>
      <m:oMath>
        <m:sSup>
          <m:sSupPr>
            <m:ctrlPr>
              <w:rPr>
                <w:rFonts w:ascii="Cambria Math" w:hAnsi="Cambria Math"/>
              </w:rPr>
            </m:ctrlPr>
          </m:sSupPr>
          <m:e>
            <m:r>
              <w:rPr>
                <w:rFonts w:ascii="Cambria Math" w:hAnsi="Cambria Math"/>
              </w:rPr>
              <m:t>​</m:t>
            </m:r>
          </m:e>
          <m:sup>
            <m:r>
              <w:rPr>
                <w:rFonts w:ascii="Cambria Math" w:hAnsi="Cambria Math"/>
              </w:rPr>
              <m:t>1</m:t>
            </m:r>
          </m:sup>
        </m:sSup>
      </m:oMath>
      <w:r>
        <w:t>Graduate, Brown School, Washington University in St. Louis, St. Louis, Missouri, United States of America</w:t>
      </w:r>
    </w:p>
    <w:bookmarkStart w:id="4" w:name="Xcedadb111066e8982ee42f726da19446305ac58"/>
    <w:bookmarkEnd w:id="3"/>
    <w:p w14:paraId="1BBD5F82" w14:textId="77777777" w:rsidR="00DC0632" w:rsidRDefault="00000000">
      <w:pPr>
        <w:pStyle w:val="Heading5"/>
      </w:pPr>
      <m:oMath>
        <m:sSup>
          <m:sSupPr>
            <m:ctrlPr>
              <w:rPr>
                <w:rFonts w:ascii="Cambria Math" w:hAnsi="Cambria Math"/>
              </w:rPr>
            </m:ctrlPr>
          </m:sSupPr>
          <m:e>
            <m:r>
              <w:rPr>
                <w:rFonts w:ascii="Cambria Math" w:hAnsi="Cambria Math"/>
              </w:rPr>
              <m:t>​</m:t>
            </m:r>
          </m:e>
          <m:sup>
            <m:r>
              <w:rPr>
                <w:rFonts w:ascii="Cambria Math" w:hAnsi="Cambria Math"/>
              </w:rPr>
              <m:t>2</m:t>
            </m:r>
          </m:sup>
        </m:sSup>
      </m:oMath>
      <w:r>
        <w:t>Professor, Brown School, Washington University in St. Louis, St. Louis, Missouri, United States of America</w:t>
      </w:r>
    </w:p>
    <w:p w14:paraId="4B05B1C7" w14:textId="77777777" w:rsidR="00DC0632" w:rsidRDefault="00000000">
      <w:pPr>
        <w:pStyle w:val="Heading5"/>
      </w:pPr>
      <w:bookmarkStart w:id="5" w:name="corresponding-author"/>
      <w:bookmarkEnd w:id="4"/>
      <w:r>
        <w:t>*Corresponding author</w:t>
      </w:r>
    </w:p>
    <w:p w14:paraId="3481F7EF" w14:textId="77777777" w:rsidR="00DC0632" w:rsidRDefault="00000000">
      <w:pPr>
        <w:pStyle w:val="Heading5"/>
      </w:pPr>
      <w:bookmarkStart w:id="6" w:name="Xd0edb90b0699c1d7b6e7a7d35573c64c1c84455"/>
      <w:bookmarkEnd w:id="5"/>
      <w:proofErr w:type="spellStart"/>
      <w:r>
        <w:t>Nkiru</w:t>
      </w:r>
      <w:proofErr w:type="spellEnd"/>
      <w:r>
        <w:t xml:space="preserve"> J. Obi, M.D, </w:t>
      </w:r>
      <w:proofErr w:type="spellStart"/>
      <w:proofErr w:type="gramStart"/>
      <w:r>
        <w:t>MPH;Washington</w:t>
      </w:r>
      <w:proofErr w:type="spellEnd"/>
      <w:proofErr w:type="gramEnd"/>
      <w:r>
        <w:t xml:space="preserve"> University in St. Louis, 1 Brookings Drive, St. Louis, Missouri; </w:t>
      </w:r>
      <w:hyperlink r:id="rId7">
        <w:r>
          <w:rPr>
            <w:rStyle w:val="Hyperlink"/>
          </w:rPr>
          <w:t>n.obi@wustl.edu</w:t>
        </w:r>
      </w:hyperlink>
    </w:p>
    <w:p w14:paraId="79116117" w14:textId="77777777" w:rsidR="00DC0632" w:rsidRDefault="00000000">
      <w:pPr>
        <w:pStyle w:val="Heading5"/>
      </w:pPr>
      <w:bookmarkStart w:id="7" w:name="word-count"/>
      <w:bookmarkEnd w:id="6"/>
      <w:r>
        <w:t>Word count:</w:t>
      </w:r>
    </w:p>
    <w:p w14:paraId="2AC6A452" w14:textId="77777777" w:rsidR="00DC0632" w:rsidRDefault="00000000">
      <w:pPr>
        <w:pStyle w:val="Heading5"/>
      </w:pPr>
      <w:bookmarkStart w:id="8" w:name="number-of-tables"/>
      <w:bookmarkEnd w:id="7"/>
      <w:r>
        <w:lastRenderedPageBreak/>
        <w:t>Number of tables:</w:t>
      </w:r>
    </w:p>
    <w:p w14:paraId="219AA619" w14:textId="77777777" w:rsidR="00DC0632" w:rsidRDefault="00000000">
      <w:pPr>
        <w:pStyle w:val="Heading5"/>
      </w:pPr>
      <w:bookmarkStart w:id="9" w:name="number-of-figures"/>
      <w:bookmarkEnd w:id="8"/>
      <w:r>
        <w:t>Number of figures:</w:t>
      </w:r>
    </w:p>
    <w:p w14:paraId="44E2CB6C" w14:textId="77777777" w:rsidR="00DC0632" w:rsidRDefault="00000000">
      <w:pPr>
        <w:pStyle w:val="Heading6"/>
      </w:pPr>
      <w:bookmarkStart w:id="10" w:name="line-break"/>
      <w:r>
        <w:lastRenderedPageBreak/>
        <w:t>line break</w:t>
      </w:r>
    </w:p>
    <w:p w14:paraId="4BA2CCDE" w14:textId="77777777" w:rsidR="00DC0632" w:rsidRDefault="00000000">
      <w:pPr>
        <w:pStyle w:val="Heading2"/>
      </w:pPr>
      <w:bookmarkStart w:id="11" w:name="abstract"/>
      <w:bookmarkEnd w:id="0"/>
      <w:bookmarkEnd w:id="9"/>
      <w:bookmarkEnd w:id="10"/>
      <w:r>
        <w:t>Abstract</w:t>
      </w:r>
    </w:p>
    <w:p w14:paraId="3F9A4A4C" w14:textId="77777777" w:rsidR="00DC0632" w:rsidRDefault="00000000">
      <w:pPr>
        <w:pStyle w:val="FirstParagraph"/>
      </w:pPr>
      <w:r>
        <w:rPr>
          <w:b/>
          <w:bCs/>
        </w:rPr>
        <w:t>Background and objectives:</w:t>
      </w:r>
      <w:r>
        <w:t xml:space="preserve"> Undernutrition is a global public health issue that has far-reaching consequences on the health and development of individuals as well as economic and social impacts on communities and countries. Middle and low-income countries like Nigeria bear the highest burdens and Nigeria </w:t>
      </w:r>
      <w:proofErr w:type="gramStart"/>
      <w:r>
        <w:t>has</w:t>
      </w:r>
      <w:proofErr w:type="gramEnd"/>
      <w:r>
        <w:t xml:space="preserve"> an unequal distribution of this burden between the North and South. Maternal socioeconomic factors have been implicated in the burden of undernutrition. This study examines the regional differences in these factors as key determinants of the inequalities in the distribution of the burden of undernutrition.</w:t>
      </w:r>
    </w:p>
    <w:p w14:paraId="1D2123CC" w14:textId="77777777" w:rsidR="00DC0632" w:rsidRDefault="00000000">
      <w:pPr>
        <w:pStyle w:val="BodyText"/>
      </w:pPr>
      <w:r>
        <w:rPr>
          <w:b/>
          <w:bCs/>
        </w:rPr>
        <w:t>Methods:</w:t>
      </w:r>
      <w:r>
        <w:t xml:space="preserve"> A cross-sectional study using the Nigerian Demographic Health Survey (NDHS) 2018. Bivariate and multivariate logistic regression models were used to examine the association between region and undernutrition, and between maternal deprivation factors and undernutrition respectively.</w:t>
      </w:r>
    </w:p>
    <w:p w14:paraId="1B6708F3" w14:textId="77777777" w:rsidR="00DC0632" w:rsidRDefault="00000000">
      <w:pPr>
        <w:pStyle w:val="BodyText"/>
      </w:pPr>
      <w:r>
        <w:rPr>
          <w:b/>
          <w:bCs/>
        </w:rPr>
        <w:t>Results:</w:t>
      </w:r>
      <w:r>
        <w:t xml:space="preserve"> The odds of being underweight, </w:t>
      </w:r>
      <w:proofErr w:type="gramStart"/>
      <w:r>
        <w:t>stunted</w:t>
      </w:r>
      <w:proofErr w:type="gramEnd"/>
      <w:r>
        <w:t xml:space="preserve"> or wasted were 2.80 (OR = 2.80; 95 % CI 2.53. 3.10; p &lt;0.001), 3.09 (OR = 3.09; 95 % CI 2.84, 3.37; p &lt;0.001), and 1.91 (OR = 1·91; 95 % CI 1.62, 2.28; p &lt;0.001) times higher respectively in children living in the North compared to children in the South. Across all 3 indices of undernutrition, the most consistent factors affecting childhood undernutrition were the mother’s education (no formal education) and wealth index (poorest households).</w:t>
      </w:r>
    </w:p>
    <w:p w14:paraId="5ACF22D3" w14:textId="77777777" w:rsidR="00DC0632" w:rsidRDefault="00000000">
      <w:pPr>
        <w:pStyle w:val="BodyText"/>
      </w:pPr>
      <w:r>
        <w:rPr>
          <w:b/>
          <w:bCs/>
        </w:rPr>
        <w:t>Conclusions:</w:t>
      </w:r>
      <w:r>
        <w:t xml:space="preserve"> Policies and programs targeted toward the improvement of childhood undernutrition should be community-centered and focus on mitigating the inequities in maternal socioeconomic factors.</w:t>
      </w:r>
    </w:p>
    <w:p w14:paraId="5777DC9B" w14:textId="77777777" w:rsidR="00DC0632" w:rsidRDefault="00000000">
      <w:pPr>
        <w:pStyle w:val="Heading2"/>
      </w:pPr>
      <w:bookmarkStart w:id="12" w:name="introduction"/>
      <w:bookmarkEnd w:id="11"/>
      <w:r>
        <w:lastRenderedPageBreak/>
        <w:t>Introduction</w:t>
      </w:r>
    </w:p>
    <w:p w14:paraId="2C570BFD" w14:textId="77777777" w:rsidR="00DC0632" w:rsidRDefault="00000000">
      <w:pPr>
        <w:pStyle w:val="FirstParagraph"/>
      </w:pPr>
      <w:r>
        <w:t>Undernutrition is one of the greatest global health problems. In 2014, 462 million people suffered from undernutrition globally.</w:t>
      </w:r>
      <w:r>
        <w:rPr>
          <w:vertAlign w:val="superscript"/>
        </w:rPr>
        <w:t>1</w:t>
      </w:r>
      <w:r>
        <w:t xml:space="preserve"> Undernutrition is defined as energy and nutrient intake that is insufficient for the body’s needs to sustain optimal health.</w:t>
      </w:r>
      <w:r>
        <w:rPr>
          <w:vertAlign w:val="superscript"/>
        </w:rPr>
        <w:t>2</w:t>
      </w:r>
      <w:r>
        <w:t xml:space="preserve"> The indices of undernutrition include underweight (low weight for age), stunting (low height for age), and wasting (low weight for height). Undernutrition has far-reaching consequences on the health and development of individuals as well as economic and social impacts on communities and countries. It leads to increased risk of diseases, increased health care costs, reduced academic performance in children, reduced productivity in adulthood, and helps to perpetuate the cycle of poverty.</w:t>
      </w:r>
      <w:r>
        <w:rPr>
          <w:vertAlign w:val="superscript"/>
        </w:rPr>
        <w:t>2</w:t>
      </w:r>
      <w:r>
        <w:t>,</w:t>
      </w:r>
      <w:r>
        <w:rPr>
          <w:vertAlign w:val="superscript"/>
        </w:rPr>
        <w:t>3</w:t>
      </w:r>
      <w:r>
        <w:t xml:space="preserve"> Women, children, and adolescents are particularly susceptible to undernutrition. Globally, 149 million children under 5 years were stunted and 45 million were wasted in 2020.</w:t>
      </w:r>
      <w:r>
        <w:rPr>
          <w:vertAlign w:val="superscript"/>
        </w:rPr>
        <w:t>4</w:t>
      </w:r>
      <w:r>
        <w:t xml:space="preserve"> Undernutrition is responsible for 45% of under-5 deaths with most of these deaths occurring in middle and low-income countries.</w:t>
      </w:r>
      <w:r>
        <w:rPr>
          <w:vertAlign w:val="superscript"/>
        </w:rPr>
        <w:t>5</w:t>
      </w:r>
      <w:r>
        <w:t xml:space="preserve"> In Nigeria, the most populous country in sub-Saharan Africa, the prevalence of stunting is 32%, making it the country with the second-highest burden of stunting globally.</w:t>
      </w:r>
      <w:r>
        <w:rPr>
          <w:vertAlign w:val="superscript"/>
        </w:rPr>
        <w:t>6</w:t>
      </w:r>
      <w:r>
        <w:t xml:space="preserve"> The rate of undernutrition is unevenly distributed in Nigeria with the highest rates of stunting in Northwest Nigeria at about 57% and the lowest in the Southeast at 18%.</w:t>
      </w:r>
      <w:r>
        <w:rPr>
          <w:vertAlign w:val="superscript"/>
        </w:rPr>
        <w:t>7</w:t>
      </w:r>
      <w:r>
        <w:t xml:space="preserve"> The proportion of children who are wasted is almost two times as high in the Northeast (10%) and Northwest (9%) as in the other zones (4%-6%).</w:t>
      </w:r>
      <w:r>
        <w:rPr>
          <w:vertAlign w:val="superscript"/>
        </w:rPr>
        <w:t>8</w:t>
      </w:r>
      <w:r>
        <w:t xml:space="preserve"> Many studies have also underscored the disparity in the prevalence of undernutrition between the Northern and Southern regions of Nigeria.</w:t>
      </w:r>
      <w:r>
        <w:rPr>
          <w:vertAlign w:val="superscript"/>
        </w:rPr>
        <w:t>9–13</w:t>
      </w:r>
      <w:r>
        <w:t xml:space="preserve"> Maternal socioeconomic factors such as education, occupation, income, and rural/urban residence are associated with undernutrition.</w:t>
      </w:r>
      <w:r>
        <w:rPr>
          <w:vertAlign w:val="superscript"/>
        </w:rPr>
        <w:t>14–16</w:t>
      </w:r>
      <w:r>
        <w:t xml:space="preserve"> These factors determine the level of food security, access and utilization of healthcare services, public health resources, and water and sanitation. Maternal education has been shown by studies to improve the </w:t>
      </w:r>
      <w:r>
        <w:lastRenderedPageBreak/>
        <w:t>educational attainment, nutrition, and survival of their children.</w:t>
      </w:r>
      <w:r>
        <w:rPr>
          <w:vertAlign w:val="superscript"/>
        </w:rPr>
        <w:t>17,18</w:t>
      </w:r>
      <w:r>
        <w:t xml:space="preserve"> Educated mothers tend to have better employment opportunities and therefore, higher socioeconomic class which in turn improves the mother’s access to health information and awareness of healthy behaviors.</w:t>
      </w:r>
      <w:r>
        <w:rPr>
          <w:vertAlign w:val="superscript"/>
        </w:rPr>
        <w:t>19</w:t>
      </w:r>
      <w:r>
        <w:t xml:space="preserve"> Therefore, maternal education is a key determinant of child health. Studies have also shown that poverty is a root cause of other indirect measures such as limited access to food and education.</w:t>
      </w:r>
      <w:r>
        <w:rPr>
          <w:vertAlign w:val="superscript"/>
        </w:rPr>
        <w:t>20</w:t>
      </w:r>
      <w:r>
        <w:t xml:space="preserve"> Rurality may also impact undernutrition through limited availability of and access to healthy foods because of poor infrastructure such as poor road networks. This is supported by several studies that have shown that undernutrition tends to be concentrated in rural areas.</w:t>
      </w:r>
      <w:r>
        <w:rPr>
          <w:vertAlign w:val="superscript"/>
        </w:rPr>
        <w:t>21–23</w:t>
      </w:r>
      <w:r>
        <w:t xml:space="preserve"> However, none of these studies to my knowledge have examined the regional differences in these factors as key determinants of the inequalities in the distribution of the burden of undernutrition.</w:t>
      </w:r>
    </w:p>
    <w:p w14:paraId="2273AF0C" w14:textId="77777777" w:rsidR="00DC0632" w:rsidRDefault="00000000">
      <w:pPr>
        <w:pStyle w:val="BodyText"/>
      </w:pPr>
      <w:r>
        <w:t>This study aims to (1) assess geographic region and the prevalence of undernutrition in Nigeria, (2) identify maternal factors associated with undernutrition in Nigeria, and (3) assess if geographic region modifies the effect of maternal factors on undernutrition in Nigeria.</w:t>
      </w:r>
    </w:p>
    <w:p w14:paraId="4B0F136F" w14:textId="77777777" w:rsidR="00DC0632" w:rsidRDefault="00000000">
      <w:pPr>
        <w:pStyle w:val="Heading2"/>
      </w:pPr>
      <w:bookmarkStart w:id="13" w:name="methods"/>
      <w:bookmarkEnd w:id="12"/>
      <w:r>
        <w:t>Methods</w:t>
      </w:r>
    </w:p>
    <w:p w14:paraId="1C696C62" w14:textId="77777777" w:rsidR="00DC0632" w:rsidRDefault="00000000">
      <w:pPr>
        <w:pStyle w:val="FirstParagraph"/>
      </w:pPr>
      <w:r>
        <w:rPr>
          <w:b/>
          <w:bCs/>
        </w:rPr>
        <w:t>Study Design</w:t>
      </w:r>
    </w:p>
    <w:p w14:paraId="136FA407" w14:textId="77777777" w:rsidR="00DC0632" w:rsidRDefault="00000000">
      <w:pPr>
        <w:pStyle w:val="BodyText"/>
      </w:pPr>
      <w:r>
        <w:t xml:space="preserve">We analyzed the cross-sectional 2018 Nigerian Demographic and Health Survey (NDHS) data. The NDHS is a nationally representative household survey, in which households were interviewed by trained interviewers. Respondents were selected from all thirty-six states in Nigeria and the Federal Capital Territory (FCT) via a two-stage stratified cluster design. This survey was carried out in 1,389 clusters </w:t>
      </w:r>
      <w:r>
        <w:lastRenderedPageBreak/>
        <w:t>made up of 40,427 households. Data collected include indicators of fertility, reproductive health, maternal and child health, mortality, nutrition, and self-reported health behaviors among adults.</w:t>
      </w:r>
    </w:p>
    <w:p w14:paraId="3CF44B67" w14:textId="77777777" w:rsidR="00DC0632" w:rsidRDefault="00000000">
      <w:pPr>
        <w:pStyle w:val="BodyText"/>
      </w:pPr>
      <w:r>
        <w:rPr>
          <w:b/>
          <w:bCs/>
        </w:rPr>
        <w:t>Sample</w:t>
      </w:r>
    </w:p>
    <w:p w14:paraId="02FD845D" w14:textId="77777777" w:rsidR="00DC0632" w:rsidRDefault="00000000">
      <w:pPr>
        <w:pStyle w:val="BodyText"/>
      </w:pPr>
      <w:r>
        <w:t>We used the child-recode data set of the NDHS, which includes 33,924 children aged 0 to 59 months as its unit of analysis. The child recode data set includes information on the child, the mother’s pregnancy with the index child, postnatal care, as well as immunization, and health indices. Other maternal information such as gender norms and demographic information and anthropometric measures for each child are also included. Children between 0 and 59 months were chosen because they are most at risk of undernutrition and its attendant consequences. Children who were dead at the time of the survey were excluded (n = 3,211) as were children with missing data on the variables of interest (weight for age, height for age, weight for height, child’s age in months, sex of the child, mother’s education, mother’s employment, household wealth index, place of residence; n= 19,243). The final analytic sample size was 11,470.</w:t>
      </w:r>
    </w:p>
    <w:p w14:paraId="52CBA45F" w14:textId="77777777" w:rsidR="00DC0632" w:rsidRDefault="00000000">
      <w:pPr>
        <w:pStyle w:val="BodyText"/>
      </w:pPr>
      <w:r>
        <w:rPr>
          <w:b/>
          <w:bCs/>
        </w:rPr>
        <w:t>Measures</w:t>
      </w:r>
    </w:p>
    <w:p w14:paraId="696DC061" w14:textId="77777777" w:rsidR="00DC0632" w:rsidRDefault="00000000">
      <w:pPr>
        <w:pStyle w:val="BodyText"/>
      </w:pPr>
      <w:r>
        <w:t xml:space="preserve">The outcome variables are weight for age dichotomized into underweight and not underweight, height for age dichotomized into stunted and not stunted, and weight for height dichotomized into wasted and not wasted. The variables were dichotomized using z-scores, which measure the number of standard deviations above or below the mean. Those children whose z-scores put them 2 or more standard deviations below the mean for age were classified as underweight, stunted, or wasted. Predictor variables are measures of maternal social deprivation which include: 1) Mother’s education </w:t>
      </w:r>
      <w:r>
        <w:lastRenderedPageBreak/>
        <w:t>operationalized as “mother’s highest education level” = No education, primary, secondary, or higher; 2) Mother’s employment status operationalized as “respondent worked in the last 12 months</w:t>
      </w:r>
      <w:proofErr w:type="gramStart"/>
      <w:r>
        <w:t>?”=</w:t>
      </w:r>
      <w:proofErr w:type="gramEnd"/>
      <w:r>
        <w:t xml:space="preserve"> No, In the past year, currently working, and have a job but on leave in the past 7 days. This was recoded as ‘Not employed’ for those who answered ‘No’ or ‘In the past year’ and as ‘Employed’ for those mothers who responded either ‘currently working’ or ’have a job but on leave in the past 7 days; 3) Wealth index = poorest, poorer, middle, richer, and richest; 4) Residence (rural or urban residence). The confounders adjusted for were the age and sex of the child.</w:t>
      </w:r>
    </w:p>
    <w:p w14:paraId="327A4159" w14:textId="77777777" w:rsidR="00DC0632" w:rsidRDefault="00000000">
      <w:pPr>
        <w:pStyle w:val="BodyText"/>
      </w:pPr>
      <w:r>
        <w:t>Children’s heights were recorded using stadiometers and their weights were measured using standard age-appropriate weighing scales respectively. The other variables were collected by questionnaire.</w:t>
      </w:r>
    </w:p>
    <w:p w14:paraId="1729D3B1" w14:textId="77777777" w:rsidR="00DC0632" w:rsidRDefault="00000000">
      <w:pPr>
        <w:pStyle w:val="BodyText"/>
      </w:pPr>
      <w:r>
        <w:rPr>
          <w:b/>
          <w:bCs/>
        </w:rPr>
        <w:t>Data Analysis</w:t>
      </w:r>
    </w:p>
    <w:p w14:paraId="3AAAF768" w14:textId="77777777" w:rsidR="00DC0632" w:rsidRDefault="00000000">
      <w:pPr>
        <w:pStyle w:val="BodyText"/>
      </w:pPr>
      <w:r>
        <w:t>Data analysis was conducted in R version 4.0.3. A detailed descriptive statistics table was provided examining the characteristics of the study population such as age, sex, urban/rural residence, mother’s education, mother’s employment status, and wealth index expressed as percentages. We explored differences in these characteristics by region (North vs. South) using chi-squared tests. We used logistic regression to compute odds ratios to examine the association between each index of undernutrition and geographical region adjusting for the age and sex of the child. A multivariate logistic model was then used to determine the association between maternal social deprivation factors and undernutrition. Another logistic regression model was used to examine the association between maternal social deprivation factors and undernutrition stratified by region. The possibility of effect modification by age and sex on indices of undernutrition was explored but no interaction was found for sex and was not reported in the results.</w:t>
      </w:r>
    </w:p>
    <w:p w14:paraId="4BE21CE8" w14:textId="77777777" w:rsidR="00DC0632" w:rsidRDefault="00000000">
      <w:pPr>
        <w:pStyle w:val="BodyText"/>
      </w:pPr>
      <w:r>
        <w:lastRenderedPageBreak/>
        <w:t>The original study’s survey procedure and instruments used in data collection received ethical approval from the National Ethics Committee of the Federal Ministry of Health of Nigeria and the Ethics Committee of the Opinion Research Corporation Macro International, Inc. (ORC Macro Inc., Calverton, MD, USA).</w:t>
      </w:r>
    </w:p>
    <w:p w14:paraId="3C7BDF1A" w14:textId="77777777" w:rsidR="00DC0632" w:rsidRDefault="00000000">
      <w:pPr>
        <w:pStyle w:val="Heading3"/>
      </w:pPr>
      <w:bookmarkStart w:id="14" w:name="result"/>
      <w:r>
        <w:t>Result</w:t>
      </w:r>
    </w:p>
    <w:p w14:paraId="772AB4B8" w14:textId="77777777" w:rsidR="00DC0632" w:rsidRDefault="00000000">
      <w:pPr>
        <w:pStyle w:val="Heading4"/>
      </w:pPr>
      <w:bookmarkStart w:id="15" w:name="descriptive-statistics"/>
      <w:r>
        <w:t>Descriptive Statistics</w:t>
      </w:r>
    </w:p>
    <w:p w14:paraId="3C63F39A" w14:textId="77777777" w:rsidR="00DC0632" w:rsidRDefault="00000000">
      <w:pPr>
        <w:pStyle w:val="FirstParagraph"/>
      </w:pPr>
      <w:r>
        <w:t>The median age of children in the study was 28 months (Table 1). Gender was distributed equally among the participants as 49.3% of the children were females while 50.7% were males. A majority, 6855 (59.8%) of the children, lived in the North and 4615 (40.2%) lived in the South. A larger number of participants resided in rural (61.1%) compared with urban areas (37.1 %). Many of the mothers of the children in the study had no formal education (38.2%) and 16.8% had only a primary level of education. 20.1% of the children were from homes with a poorer wealth index and 19.9% were from the poorest households. Of all the children sampled, 21.9% were underweight, 36% were stunted, and 6.8% were wasted.</w:t>
      </w:r>
    </w:p>
    <w:tbl>
      <w:tblPr>
        <w:tblW w:w="0" w:type="auto"/>
        <w:shd w:val="clear" w:color="auto" w:fill="FFFFFF"/>
        <w:tblCellMar>
          <w:left w:w="0" w:type="dxa"/>
          <w:right w:w="0" w:type="dxa"/>
        </w:tblCellMar>
        <w:tblLook w:val="04A0" w:firstRow="1" w:lastRow="0" w:firstColumn="1" w:lastColumn="0" w:noHBand="0" w:noVBand="1"/>
      </w:tblPr>
      <w:tblGrid>
        <w:gridCol w:w="4883"/>
        <w:gridCol w:w="1692"/>
        <w:gridCol w:w="1692"/>
        <w:gridCol w:w="1813"/>
      </w:tblGrid>
      <w:tr w:rsidR="00956EBC" w14:paraId="6BB59660" w14:textId="77777777" w:rsidTr="00956EBC">
        <w:trPr>
          <w:tblHeader/>
        </w:trPr>
        <w:tc>
          <w:tcPr>
            <w:tcW w:w="0" w:type="auto"/>
            <w:gridSpan w:val="4"/>
            <w:tcBorders>
              <w:top w:val="nil"/>
              <w:left w:val="nil"/>
              <w:bottom w:val="nil"/>
              <w:right w:val="nil"/>
            </w:tcBorders>
            <w:shd w:val="clear" w:color="auto" w:fill="FFFFFF"/>
            <w:tcMar>
              <w:top w:w="60" w:type="dxa"/>
              <w:left w:w="60" w:type="dxa"/>
              <w:bottom w:w="60" w:type="dxa"/>
              <w:right w:w="180" w:type="dxa"/>
            </w:tcMar>
            <w:vAlign w:val="center"/>
            <w:hideMark/>
          </w:tcPr>
          <w:p w14:paraId="52B4588A"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Table 1: Demographic and nutrition-related characteristics of 11,470 children by region of Nigeria (NDHS, 2018)</w:t>
            </w:r>
          </w:p>
        </w:tc>
      </w:tr>
      <w:tr w:rsidR="00956EBC" w14:paraId="2558BFC1" w14:textId="77777777" w:rsidTr="00956EBC">
        <w:trPr>
          <w:tblHeader/>
        </w:trPr>
        <w:tc>
          <w:tcPr>
            <w:tcW w:w="0" w:type="auto"/>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3056BE76" w14:textId="77777777" w:rsidR="00956EBC" w:rsidRDefault="00956EBC" w:rsidP="00956EBC">
            <w:pPr>
              <w:spacing w:before="0" w:line="240" w:lineRule="auto"/>
              <w:jc w:val="center"/>
              <w:rPr>
                <w:rFonts w:ascii="Arial" w:hAnsi="Arial" w:cs="Arial"/>
                <w:color w:val="000000"/>
                <w:sz w:val="20"/>
                <w:szCs w:val="20"/>
              </w:rPr>
            </w:pP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0AD589C4" w14:textId="77777777" w:rsidR="00956EBC" w:rsidRDefault="00956EBC" w:rsidP="00956EBC">
            <w:pPr>
              <w:spacing w:before="0" w:line="240" w:lineRule="auto"/>
              <w:jc w:val="center"/>
              <w:rPr>
                <w:rFonts w:ascii="Arial" w:hAnsi="Arial" w:cs="Arial"/>
                <w:b/>
                <w:bCs/>
                <w:color w:val="000000"/>
                <w:sz w:val="20"/>
                <w:szCs w:val="20"/>
              </w:rPr>
            </w:pPr>
            <w:r>
              <w:rPr>
                <w:rStyle w:val="stratlabel"/>
                <w:rFonts w:ascii="Arial" w:hAnsi="Arial" w:cs="Arial"/>
                <w:b/>
                <w:bCs/>
                <w:color w:val="000000"/>
                <w:sz w:val="20"/>
                <w:szCs w:val="20"/>
              </w:rPr>
              <w:t>South</w:t>
            </w:r>
            <w:r>
              <w:rPr>
                <w:rFonts w:ascii="Arial" w:hAnsi="Arial" w:cs="Arial"/>
                <w:b/>
                <w:bCs/>
                <w:color w:val="000000"/>
                <w:sz w:val="20"/>
                <w:szCs w:val="20"/>
              </w:rPr>
              <w:br/>
            </w:r>
            <w:r>
              <w:rPr>
                <w:rStyle w:val="stratn"/>
                <w:rFonts w:ascii="Arial" w:hAnsi="Arial" w:cs="Arial"/>
                <w:b/>
                <w:bCs/>
                <w:color w:val="000000"/>
                <w:sz w:val="20"/>
                <w:szCs w:val="20"/>
              </w:rPr>
              <w:t>(N=4615)</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3D12CFF6" w14:textId="77777777" w:rsidR="00956EBC" w:rsidRDefault="00956EBC" w:rsidP="00956EBC">
            <w:pPr>
              <w:spacing w:before="0" w:line="240" w:lineRule="auto"/>
              <w:jc w:val="center"/>
              <w:rPr>
                <w:rFonts w:ascii="Arial" w:hAnsi="Arial" w:cs="Arial"/>
                <w:b/>
                <w:bCs/>
                <w:color w:val="000000"/>
                <w:sz w:val="20"/>
                <w:szCs w:val="20"/>
              </w:rPr>
            </w:pPr>
            <w:r>
              <w:rPr>
                <w:rStyle w:val="stratlabel"/>
                <w:rFonts w:ascii="Arial" w:hAnsi="Arial" w:cs="Arial"/>
                <w:b/>
                <w:bCs/>
                <w:color w:val="000000"/>
                <w:sz w:val="20"/>
                <w:szCs w:val="20"/>
              </w:rPr>
              <w:t>North</w:t>
            </w:r>
            <w:r>
              <w:rPr>
                <w:rFonts w:ascii="Arial" w:hAnsi="Arial" w:cs="Arial"/>
                <w:b/>
                <w:bCs/>
                <w:color w:val="000000"/>
                <w:sz w:val="20"/>
                <w:szCs w:val="20"/>
              </w:rPr>
              <w:br/>
            </w:r>
            <w:r>
              <w:rPr>
                <w:rStyle w:val="stratn"/>
                <w:rFonts w:ascii="Arial" w:hAnsi="Arial" w:cs="Arial"/>
                <w:b/>
                <w:bCs/>
                <w:color w:val="000000"/>
                <w:sz w:val="20"/>
                <w:szCs w:val="20"/>
              </w:rPr>
              <w:t>(N=6855)</w:t>
            </w:r>
          </w:p>
        </w:tc>
        <w:tc>
          <w:tcPr>
            <w:tcW w:w="0" w:type="auto"/>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15C0ED35" w14:textId="77777777" w:rsidR="00956EBC" w:rsidRDefault="00956EBC" w:rsidP="00956EBC">
            <w:pPr>
              <w:spacing w:before="0" w:line="240" w:lineRule="auto"/>
              <w:jc w:val="center"/>
              <w:rPr>
                <w:rFonts w:ascii="Arial" w:hAnsi="Arial" w:cs="Arial"/>
                <w:b/>
                <w:bCs/>
                <w:color w:val="000000"/>
                <w:sz w:val="20"/>
                <w:szCs w:val="20"/>
              </w:rPr>
            </w:pPr>
            <w:r>
              <w:rPr>
                <w:rStyle w:val="stratlabel"/>
                <w:rFonts w:ascii="Arial" w:hAnsi="Arial" w:cs="Arial"/>
                <w:b/>
                <w:bCs/>
                <w:color w:val="000000"/>
                <w:sz w:val="20"/>
                <w:szCs w:val="20"/>
              </w:rPr>
              <w:t>Total</w:t>
            </w:r>
            <w:r>
              <w:rPr>
                <w:rFonts w:ascii="Arial" w:hAnsi="Arial" w:cs="Arial"/>
                <w:b/>
                <w:bCs/>
                <w:color w:val="000000"/>
                <w:sz w:val="20"/>
                <w:szCs w:val="20"/>
              </w:rPr>
              <w:br/>
            </w:r>
            <w:r>
              <w:rPr>
                <w:rStyle w:val="stratn"/>
                <w:rFonts w:ascii="Arial" w:hAnsi="Arial" w:cs="Arial"/>
                <w:b/>
                <w:bCs/>
                <w:color w:val="000000"/>
                <w:sz w:val="20"/>
                <w:szCs w:val="20"/>
              </w:rPr>
              <w:t>(N=11470)</w:t>
            </w:r>
          </w:p>
        </w:tc>
      </w:tr>
      <w:tr w:rsidR="00956EBC" w14:paraId="2EBBFD9A" w14:textId="77777777" w:rsidTr="00956E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58C11D1D" w14:textId="77777777" w:rsidR="00956EBC" w:rsidRDefault="00956EBC" w:rsidP="00956EBC">
            <w:pPr>
              <w:spacing w:before="0" w:line="240" w:lineRule="auto"/>
              <w:rPr>
                <w:rFonts w:ascii="Arial" w:hAnsi="Arial" w:cs="Arial"/>
                <w:b/>
                <w:bCs/>
                <w:color w:val="000000"/>
                <w:sz w:val="20"/>
                <w:szCs w:val="20"/>
              </w:rPr>
            </w:pPr>
            <w:r>
              <w:rPr>
                <w:rFonts w:ascii="Arial" w:hAnsi="Arial" w:cs="Arial"/>
                <w:b/>
                <w:bCs/>
                <w:color w:val="000000"/>
                <w:sz w:val="20"/>
                <w:szCs w:val="20"/>
              </w:rPr>
              <w:t>Age of child in months (Median, IQR)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386BEC0" w14:textId="77777777" w:rsidR="00956EBC" w:rsidRDefault="00956EBC" w:rsidP="00956EBC">
            <w:pPr>
              <w:spacing w:before="0" w:line="240" w:lineRule="auto"/>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3507DBA" w14:textId="77777777" w:rsidR="00956EBC" w:rsidRDefault="00956EBC" w:rsidP="00956EBC">
            <w:pPr>
              <w:spacing w:before="0" w:line="240" w:lineRule="auto"/>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1F42855" w14:textId="77777777" w:rsidR="00956EBC" w:rsidRDefault="00956EBC" w:rsidP="00956EBC">
            <w:pPr>
              <w:spacing w:before="0" w:line="240" w:lineRule="auto"/>
              <w:jc w:val="center"/>
              <w:rPr>
                <w:sz w:val="20"/>
                <w:szCs w:val="20"/>
              </w:rPr>
            </w:pPr>
          </w:p>
        </w:tc>
      </w:tr>
      <w:tr w:rsidR="00956EBC" w14:paraId="4EDA6ABE"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7CFCC3AD"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Median (IQR)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7EBAFAC"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28.0 (29.0)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7BF1BA5"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27.0 (30.0)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99471B0"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28.0 (30.0)</w:t>
            </w:r>
          </w:p>
        </w:tc>
      </w:tr>
      <w:tr w:rsidR="00956EBC" w14:paraId="1209E9B3" w14:textId="77777777" w:rsidTr="00956E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2C3DD3F7" w14:textId="77777777" w:rsidR="00956EBC" w:rsidRDefault="00956EBC" w:rsidP="00956EBC">
            <w:pPr>
              <w:spacing w:before="0" w:line="240" w:lineRule="auto"/>
              <w:rPr>
                <w:rFonts w:ascii="Arial" w:hAnsi="Arial" w:cs="Arial"/>
                <w:b/>
                <w:bCs/>
                <w:color w:val="000000"/>
                <w:sz w:val="20"/>
                <w:szCs w:val="20"/>
              </w:rPr>
            </w:pPr>
            <w:r>
              <w:rPr>
                <w:rFonts w:ascii="Arial" w:hAnsi="Arial" w:cs="Arial"/>
                <w:b/>
                <w:bCs/>
                <w:color w:val="000000"/>
                <w:sz w:val="20"/>
                <w:szCs w:val="20"/>
              </w:rPr>
              <w:t>Sex of child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AF97582" w14:textId="77777777" w:rsidR="00956EBC" w:rsidRDefault="00956EBC" w:rsidP="00956EBC">
            <w:pPr>
              <w:spacing w:before="0" w:line="240" w:lineRule="auto"/>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F1DE0B5" w14:textId="77777777" w:rsidR="00956EBC" w:rsidRDefault="00956EBC" w:rsidP="00956EBC">
            <w:pPr>
              <w:spacing w:before="0" w:line="240" w:lineRule="auto"/>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842497C" w14:textId="77777777" w:rsidR="00956EBC" w:rsidRDefault="00956EBC" w:rsidP="00956EBC">
            <w:pPr>
              <w:spacing w:before="0" w:line="240" w:lineRule="auto"/>
              <w:jc w:val="center"/>
              <w:rPr>
                <w:sz w:val="20"/>
                <w:szCs w:val="20"/>
              </w:rPr>
            </w:pPr>
          </w:p>
        </w:tc>
      </w:tr>
      <w:tr w:rsidR="00956EBC" w14:paraId="50A3E6E1"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1572EBA"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Female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8A85FFA"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2241 (48.6%)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E76BB75"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3413 (49.8%)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C0255D8"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5654 (49.3%)</w:t>
            </w:r>
          </w:p>
        </w:tc>
      </w:tr>
      <w:tr w:rsidR="00956EBC" w14:paraId="75B9831B"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ADD3468"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Male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3305E7C"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2374 (51.4%)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1A599AF"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3442 (50.2%)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90591DC"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5816 (50.7%)</w:t>
            </w:r>
          </w:p>
        </w:tc>
      </w:tr>
      <w:tr w:rsidR="00956EBC" w14:paraId="1F4FB3C4" w14:textId="77777777" w:rsidTr="00956E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68E79479" w14:textId="77777777" w:rsidR="00956EBC" w:rsidRDefault="00956EBC" w:rsidP="00956EBC">
            <w:pPr>
              <w:spacing w:before="0" w:line="240" w:lineRule="auto"/>
              <w:rPr>
                <w:rFonts w:ascii="Arial" w:hAnsi="Arial" w:cs="Arial"/>
                <w:b/>
                <w:bCs/>
                <w:color w:val="000000"/>
                <w:sz w:val="20"/>
                <w:szCs w:val="20"/>
              </w:rPr>
            </w:pPr>
            <w:r>
              <w:rPr>
                <w:rFonts w:ascii="Arial" w:hAnsi="Arial" w:cs="Arial"/>
                <w:b/>
                <w:bCs/>
                <w:color w:val="000000"/>
                <w:sz w:val="20"/>
                <w:szCs w:val="20"/>
              </w:rPr>
              <w:t>Rural or urban residence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737D4EE" w14:textId="77777777" w:rsidR="00956EBC" w:rsidRDefault="00956EBC" w:rsidP="00956EBC">
            <w:pPr>
              <w:spacing w:before="0" w:line="240" w:lineRule="auto"/>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3F0624F" w14:textId="77777777" w:rsidR="00956EBC" w:rsidRDefault="00956EBC" w:rsidP="00956EBC">
            <w:pPr>
              <w:spacing w:before="0" w:line="240" w:lineRule="auto"/>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7F86536" w14:textId="77777777" w:rsidR="00956EBC" w:rsidRDefault="00956EBC" w:rsidP="00956EBC">
            <w:pPr>
              <w:spacing w:before="0" w:line="240" w:lineRule="auto"/>
              <w:jc w:val="center"/>
              <w:rPr>
                <w:sz w:val="20"/>
                <w:szCs w:val="20"/>
              </w:rPr>
            </w:pPr>
          </w:p>
        </w:tc>
      </w:tr>
      <w:tr w:rsidR="00956EBC" w14:paraId="4A2FA6B5"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FB0364D"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Urban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620087B"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2658 (57.6%)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5F22EBA"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1801 (26.3%)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6F75975"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4459 (38.9%)</w:t>
            </w:r>
          </w:p>
        </w:tc>
      </w:tr>
      <w:tr w:rsidR="00956EBC" w14:paraId="434F4C52"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11B595A"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lastRenderedPageBreak/>
              <w:t>Rural</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13FA53E"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1957 (42.4%)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1B3034D"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5054 (73.7%)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B92A19F"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7011 (61.1%)</w:t>
            </w:r>
          </w:p>
        </w:tc>
      </w:tr>
      <w:tr w:rsidR="00956EBC" w14:paraId="29FDF0D8" w14:textId="77777777" w:rsidTr="00956E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542FAD7F" w14:textId="77777777" w:rsidR="00956EBC" w:rsidRDefault="00956EBC" w:rsidP="00956EBC">
            <w:pPr>
              <w:spacing w:before="0" w:line="240" w:lineRule="auto"/>
              <w:rPr>
                <w:rFonts w:ascii="Arial" w:hAnsi="Arial" w:cs="Arial"/>
                <w:b/>
                <w:bCs/>
                <w:color w:val="000000"/>
                <w:sz w:val="20"/>
                <w:szCs w:val="20"/>
              </w:rPr>
            </w:pPr>
            <w:r>
              <w:rPr>
                <w:rFonts w:ascii="Arial" w:hAnsi="Arial" w:cs="Arial"/>
                <w:b/>
                <w:bCs/>
                <w:color w:val="000000"/>
                <w:sz w:val="20"/>
                <w:szCs w:val="20"/>
              </w:rPr>
              <w:t>Level of education of mother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41FB475" w14:textId="77777777" w:rsidR="00956EBC" w:rsidRDefault="00956EBC" w:rsidP="00956EBC">
            <w:pPr>
              <w:spacing w:before="0" w:line="240" w:lineRule="auto"/>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F5AC5BF" w14:textId="77777777" w:rsidR="00956EBC" w:rsidRDefault="00956EBC" w:rsidP="00956EBC">
            <w:pPr>
              <w:spacing w:before="0" w:line="240" w:lineRule="auto"/>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860F0AD" w14:textId="77777777" w:rsidR="00956EBC" w:rsidRDefault="00956EBC" w:rsidP="00956EBC">
            <w:pPr>
              <w:spacing w:before="0" w:line="240" w:lineRule="auto"/>
              <w:jc w:val="center"/>
              <w:rPr>
                <w:sz w:val="20"/>
                <w:szCs w:val="20"/>
              </w:rPr>
            </w:pPr>
          </w:p>
        </w:tc>
      </w:tr>
      <w:tr w:rsidR="00956EBC" w14:paraId="0B1A333E"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E0D59B3"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Higher education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136E997"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671 (14.5%)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2AC1D39"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378 (5.5%)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FE9E59B"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1049 (9.1%)</w:t>
            </w:r>
          </w:p>
        </w:tc>
      </w:tr>
      <w:tr w:rsidR="00956EBC" w14:paraId="7DD16A8B"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72C9364"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No education</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41F09D7"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281 (6.1%)</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5C964E2"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4105 (59.9%)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A2FFB88"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4386 (38.2%)</w:t>
            </w:r>
          </w:p>
        </w:tc>
      </w:tr>
      <w:tr w:rsidR="00956EBC" w14:paraId="004B012E"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5F1440A"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Primary</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3CC230C"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907 (19.7%)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9698761"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1023 (14.9%)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07B9689"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1930 (16.8%)</w:t>
            </w:r>
          </w:p>
        </w:tc>
      </w:tr>
      <w:tr w:rsidR="00956EBC" w14:paraId="1EB00986"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5878FB68"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Secondary</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4519961"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2756 (59.7%)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975E2E0"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1349 (19.7%)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A8D6D89"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4105 (35.8%)</w:t>
            </w:r>
          </w:p>
        </w:tc>
      </w:tr>
      <w:tr w:rsidR="00956EBC" w14:paraId="4919388C" w14:textId="77777777" w:rsidTr="00956E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626A0AC2" w14:textId="77777777" w:rsidR="00956EBC" w:rsidRDefault="00956EBC" w:rsidP="00956EBC">
            <w:pPr>
              <w:spacing w:before="0" w:line="240" w:lineRule="auto"/>
              <w:rPr>
                <w:rFonts w:ascii="Arial" w:hAnsi="Arial" w:cs="Arial"/>
                <w:b/>
                <w:bCs/>
                <w:color w:val="000000"/>
                <w:sz w:val="20"/>
                <w:szCs w:val="20"/>
              </w:rPr>
            </w:pPr>
            <w:r>
              <w:rPr>
                <w:rFonts w:ascii="Arial" w:hAnsi="Arial" w:cs="Arial"/>
                <w:b/>
                <w:bCs/>
                <w:color w:val="000000"/>
                <w:sz w:val="20"/>
                <w:szCs w:val="20"/>
              </w:rPr>
              <w:t>Number of persons in the household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92B8D58" w14:textId="77777777" w:rsidR="00956EBC" w:rsidRDefault="00956EBC" w:rsidP="00956EBC">
            <w:pPr>
              <w:spacing w:before="0" w:line="240" w:lineRule="auto"/>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6DA2CC8" w14:textId="77777777" w:rsidR="00956EBC" w:rsidRDefault="00956EBC" w:rsidP="00956EBC">
            <w:pPr>
              <w:spacing w:before="0" w:line="240" w:lineRule="auto"/>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AF4B6E4" w14:textId="77777777" w:rsidR="00956EBC" w:rsidRDefault="00956EBC" w:rsidP="00956EBC">
            <w:pPr>
              <w:spacing w:before="0" w:line="240" w:lineRule="auto"/>
              <w:jc w:val="center"/>
              <w:rPr>
                <w:sz w:val="20"/>
                <w:szCs w:val="20"/>
              </w:rPr>
            </w:pPr>
          </w:p>
        </w:tc>
      </w:tr>
      <w:tr w:rsidR="00956EBC" w14:paraId="1595C95E"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79B261A"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Median (IQR)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611AC14"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5.00 (3.00)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F03660A"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7.00 (5.00)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06E6141"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6.00 (4.00)</w:t>
            </w:r>
          </w:p>
        </w:tc>
      </w:tr>
      <w:tr w:rsidR="00956EBC" w14:paraId="60D02651" w14:textId="77777777" w:rsidTr="00956E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2E5ACAF4" w14:textId="77777777" w:rsidR="00956EBC" w:rsidRDefault="00956EBC" w:rsidP="00956EBC">
            <w:pPr>
              <w:spacing w:before="0" w:line="240" w:lineRule="auto"/>
              <w:rPr>
                <w:rFonts w:ascii="Arial" w:hAnsi="Arial" w:cs="Arial"/>
                <w:b/>
                <w:bCs/>
                <w:color w:val="000000"/>
                <w:sz w:val="20"/>
                <w:szCs w:val="20"/>
              </w:rPr>
            </w:pPr>
            <w:r>
              <w:rPr>
                <w:rFonts w:ascii="Arial" w:hAnsi="Arial" w:cs="Arial"/>
                <w:b/>
                <w:bCs/>
                <w:color w:val="000000"/>
                <w:sz w:val="20"/>
                <w:szCs w:val="20"/>
              </w:rPr>
              <w:t>Number of children under 5 in the household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C28C822" w14:textId="77777777" w:rsidR="00956EBC" w:rsidRDefault="00956EBC" w:rsidP="00956EBC">
            <w:pPr>
              <w:spacing w:before="0" w:line="240" w:lineRule="auto"/>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392A3DA" w14:textId="77777777" w:rsidR="00956EBC" w:rsidRDefault="00956EBC" w:rsidP="00956EBC">
            <w:pPr>
              <w:spacing w:before="0" w:line="240" w:lineRule="auto"/>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BA4EACA" w14:textId="77777777" w:rsidR="00956EBC" w:rsidRDefault="00956EBC" w:rsidP="00956EBC">
            <w:pPr>
              <w:spacing w:before="0" w:line="240" w:lineRule="auto"/>
              <w:jc w:val="center"/>
              <w:rPr>
                <w:sz w:val="20"/>
                <w:szCs w:val="20"/>
              </w:rPr>
            </w:pPr>
          </w:p>
        </w:tc>
      </w:tr>
      <w:tr w:rsidR="00956EBC" w14:paraId="1F58586A"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C5AD096"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Median (IQR)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300D832"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2.00 (1.00)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272B780"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2.00 (1.00)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5F69253"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2.00 (2.00)</w:t>
            </w:r>
          </w:p>
        </w:tc>
      </w:tr>
      <w:tr w:rsidR="00956EBC" w14:paraId="0405AAA3" w14:textId="77777777" w:rsidTr="00956E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1B44A151" w14:textId="77777777" w:rsidR="00956EBC" w:rsidRDefault="00956EBC" w:rsidP="00956EBC">
            <w:pPr>
              <w:spacing w:before="0" w:line="240" w:lineRule="auto"/>
              <w:rPr>
                <w:rFonts w:ascii="Arial" w:hAnsi="Arial" w:cs="Arial"/>
                <w:b/>
                <w:bCs/>
                <w:color w:val="000000"/>
                <w:sz w:val="20"/>
                <w:szCs w:val="20"/>
              </w:rPr>
            </w:pPr>
            <w:r>
              <w:rPr>
                <w:rFonts w:ascii="Arial" w:hAnsi="Arial" w:cs="Arial"/>
                <w:b/>
                <w:bCs/>
                <w:color w:val="000000"/>
                <w:sz w:val="20"/>
                <w:szCs w:val="20"/>
              </w:rPr>
              <w:t>Household wealth index</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2ED6CDB" w14:textId="77777777" w:rsidR="00956EBC" w:rsidRDefault="00956EBC" w:rsidP="00956EBC">
            <w:pPr>
              <w:spacing w:before="0" w:line="240" w:lineRule="auto"/>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975CB86" w14:textId="77777777" w:rsidR="00956EBC" w:rsidRDefault="00956EBC" w:rsidP="00956EBC">
            <w:pPr>
              <w:spacing w:before="0" w:line="240" w:lineRule="auto"/>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70DB5D7" w14:textId="77777777" w:rsidR="00956EBC" w:rsidRDefault="00956EBC" w:rsidP="00956EBC">
            <w:pPr>
              <w:spacing w:before="0" w:line="240" w:lineRule="auto"/>
              <w:jc w:val="center"/>
              <w:rPr>
                <w:sz w:val="20"/>
                <w:szCs w:val="20"/>
              </w:rPr>
            </w:pPr>
          </w:p>
        </w:tc>
      </w:tr>
      <w:tr w:rsidR="00956EBC" w14:paraId="093D5B62"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686FE529"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Richest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7B74DB5"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1376 (29.8%)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E2CDD3D"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560 (8.2%)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A3047BF"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1936 (16.9%)</w:t>
            </w:r>
          </w:p>
        </w:tc>
      </w:tr>
      <w:tr w:rsidR="00956EBC" w14:paraId="660C58A9"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11E76EC9"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Middle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691C0A0"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1090 (23.6%)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097AF63"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1441 (21.0%)</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6304D24"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2531 (22.1%)</w:t>
            </w:r>
          </w:p>
        </w:tc>
      </w:tr>
      <w:tr w:rsidR="00956EBC" w14:paraId="1678A001"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02B22B88"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Poorer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83CB59C"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486 (10.5%)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C0FD3CE"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1820 (26.6%)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63D3DCD"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2306 (20.1%)</w:t>
            </w:r>
          </w:p>
        </w:tc>
      </w:tr>
      <w:tr w:rsidR="00956EBC" w14:paraId="5F746ABC"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2C9EFCE0"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Poorest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A57E98A"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193 (4.2%)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9A73241"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2088 (30.5%)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E3FC4FA"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2281 (19.9%)</w:t>
            </w:r>
          </w:p>
        </w:tc>
      </w:tr>
      <w:tr w:rsidR="00956EBC" w14:paraId="074E73D6"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102F85D1"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Richer</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A2D5C66"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1470 (31.9%)</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93E74BF"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946 (13.8%)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C118600"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2416 (21.1%)</w:t>
            </w:r>
          </w:p>
        </w:tc>
      </w:tr>
      <w:tr w:rsidR="00956EBC" w14:paraId="354BD307" w14:textId="77777777" w:rsidTr="00956E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67BE974E" w14:textId="77777777" w:rsidR="00956EBC" w:rsidRDefault="00956EBC" w:rsidP="00956EBC">
            <w:pPr>
              <w:spacing w:before="0" w:line="240" w:lineRule="auto"/>
              <w:rPr>
                <w:rFonts w:ascii="Arial" w:hAnsi="Arial" w:cs="Arial"/>
                <w:b/>
                <w:bCs/>
                <w:color w:val="000000"/>
                <w:sz w:val="20"/>
                <w:szCs w:val="20"/>
              </w:rPr>
            </w:pPr>
            <w:r>
              <w:rPr>
                <w:rFonts w:ascii="Arial" w:hAnsi="Arial" w:cs="Arial"/>
                <w:b/>
                <w:bCs/>
                <w:color w:val="000000"/>
                <w:sz w:val="20"/>
                <w:szCs w:val="20"/>
              </w:rPr>
              <w:t>Mother's employment status</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5BF7EE1" w14:textId="77777777" w:rsidR="00956EBC" w:rsidRDefault="00956EBC" w:rsidP="00956EBC">
            <w:pPr>
              <w:spacing w:before="0" w:line="240" w:lineRule="auto"/>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E7334A9" w14:textId="77777777" w:rsidR="00956EBC" w:rsidRDefault="00956EBC" w:rsidP="00956EBC">
            <w:pPr>
              <w:spacing w:before="0" w:line="240" w:lineRule="auto"/>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4B816B4" w14:textId="77777777" w:rsidR="00956EBC" w:rsidRDefault="00956EBC" w:rsidP="00956EBC">
            <w:pPr>
              <w:spacing w:before="0" w:line="240" w:lineRule="auto"/>
              <w:jc w:val="center"/>
              <w:rPr>
                <w:sz w:val="20"/>
                <w:szCs w:val="20"/>
              </w:rPr>
            </w:pPr>
          </w:p>
        </w:tc>
      </w:tr>
      <w:tr w:rsidR="00956EBC" w14:paraId="5CE44261"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8EB9301"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Employed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0735093"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3796 (82.3%)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2E6EE9F"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4194 (61.2%)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05D0DBA"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7990 (69.7%)</w:t>
            </w:r>
          </w:p>
        </w:tc>
      </w:tr>
      <w:tr w:rsidR="00956EBC" w14:paraId="452F752F"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3BD36AB7"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Not employed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8B1C267"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819 (17.7%)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67BADAE"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2661 (38.8%)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1C2B1E5"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3480 (30.3%)</w:t>
            </w:r>
          </w:p>
        </w:tc>
      </w:tr>
      <w:tr w:rsidR="00956EBC" w14:paraId="24B605F8" w14:textId="77777777" w:rsidTr="00956E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48AF617E" w14:textId="77777777" w:rsidR="00956EBC" w:rsidRDefault="00956EBC" w:rsidP="00956EBC">
            <w:pPr>
              <w:spacing w:before="0" w:line="240" w:lineRule="auto"/>
              <w:rPr>
                <w:rFonts w:ascii="Arial" w:hAnsi="Arial" w:cs="Arial"/>
                <w:b/>
                <w:bCs/>
                <w:color w:val="000000"/>
                <w:sz w:val="20"/>
                <w:szCs w:val="20"/>
              </w:rPr>
            </w:pPr>
            <w:r>
              <w:rPr>
                <w:rFonts w:ascii="Arial" w:hAnsi="Arial" w:cs="Arial"/>
                <w:b/>
                <w:bCs/>
                <w:color w:val="000000"/>
                <w:sz w:val="20"/>
                <w:szCs w:val="20"/>
              </w:rPr>
              <w:t>Child's weight for age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B3BFB50" w14:textId="77777777" w:rsidR="00956EBC" w:rsidRDefault="00956EBC" w:rsidP="00956EBC">
            <w:pPr>
              <w:spacing w:before="0" w:line="240" w:lineRule="auto"/>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724EC0E" w14:textId="77777777" w:rsidR="00956EBC" w:rsidRDefault="00956EBC" w:rsidP="00956EBC">
            <w:pPr>
              <w:spacing w:before="0" w:line="240" w:lineRule="auto"/>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E808D34" w14:textId="77777777" w:rsidR="00956EBC" w:rsidRDefault="00956EBC" w:rsidP="00956EBC">
            <w:pPr>
              <w:spacing w:before="0" w:line="240" w:lineRule="auto"/>
              <w:jc w:val="center"/>
              <w:rPr>
                <w:sz w:val="20"/>
                <w:szCs w:val="20"/>
              </w:rPr>
            </w:pPr>
          </w:p>
        </w:tc>
      </w:tr>
      <w:tr w:rsidR="00956EBC" w14:paraId="53B8BBAA"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760FBB28"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Not underweight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48BD2FC"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4044 (87.6%)</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1329E54A"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4915 (71.7%)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94E1642"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8959 (78.1%)</w:t>
            </w:r>
          </w:p>
        </w:tc>
      </w:tr>
      <w:tr w:rsidR="00956EBC" w14:paraId="1FD73593"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710452DB"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Underweight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DEB7D31"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571 (12.4%)</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E2E8E5A"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1940 (28.3%)</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3B17EC76"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2511 (21.9%)</w:t>
            </w:r>
          </w:p>
        </w:tc>
      </w:tr>
      <w:tr w:rsidR="00956EBC" w14:paraId="7570B178" w14:textId="77777777" w:rsidTr="00956E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1E2EFF8D" w14:textId="77777777" w:rsidR="00956EBC" w:rsidRDefault="00956EBC" w:rsidP="00956EBC">
            <w:pPr>
              <w:spacing w:before="0" w:line="240" w:lineRule="auto"/>
              <w:rPr>
                <w:rFonts w:ascii="Arial" w:hAnsi="Arial" w:cs="Arial"/>
                <w:b/>
                <w:bCs/>
                <w:color w:val="000000"/>
                <w:sz w:val="20"/>
                <w:szCs w:val="20"/>
              </w:rPr>
            </w:pPr>
            <w:r>
              <w:rPr>
                <w:rFonts w:ascii="Arial" w:hAnsi="Arial" w:cs="Arial"/>
                <w:b/>
                <w:bCs/>
                <w:color w:val="000000"/>
                <w:sz w:val="20"/>
                <w:szCs w:val="20"/>
              </w:rPr>
              <w:t>Child's height for age</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C0E9214" w14:textId="77777777" w:rsidR="00956EBC" w:rsidRDefault="00956EBC" w:rsidP="00956EBC">
            <w:pPr>
              <w:spacing w:before="0" w:line="240" w:lineRule="auto"/>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606B22E" w14:textId="77777777" w:rsidR="00956EBC" w:rsidRDefault="00956EBC" w:rsidP="00956EBC">
            <w:pPr>
              <w:spacing w:before="0" w:line="240" w:lineRule="auto"/>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69EE48EE" w14:textId="77777777" w:rsidR="00956EBC" w:rsidRDefault="00956EBC" w:rsidP="00956EBC">
            <w:pPr>
              <w:spacing w:before="0" w:line="240" w:lineRule="auto"/>
              <w:jc w:val="center"/>
              <w:rPr>
                <w:sz w:val="20"/>
                <w:szCs w:val="20"/>
              </w:rPr>
            </w:pPr>
          </w:p>
        </w:tc>
      </w:tr>
      <w:tr w:rsidR="00956EBC" w14:paraId="73ACDDEE"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7F552EB8"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Not stunted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1EE38DE"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3625 (78.5%)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B083F0B"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3715 (54.2%)</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6674AC8"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7340 (64.0%)</w:t>
            </w:r>
          </w:p>
        </w:tc>
      </w:tr>
      <w:tr w:rsidR="00956EBC" w14:paraId="1E512A0C"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49CAD64B"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Stunted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58BC534"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990 (21.5%)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E191A14"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3140 (45.8%)</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040A6855"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4130 (36.0%)</w:t>
            </w:r>
          </w:p>
        </w:tc>
      </w:tr>
      <w:tr w:rsidR="00956EBC" w14:paraId="787E0A1E" w14:textId="77777777" w:rsidTr="00956EBC">
        <w:tc>
          <w:tcPr>
            <w:tcW w:w="0" w:type="auto"/>
            <w:tcBorders>
              <w:top w:val="nil"/>
              <w:left w:val="nil"/>
              <w:bottom w:val="nil"/>
              <w:right w:val="nil"/>
            </w:tcBorders>
            <w:shd w:val="clear" w:color="auto" w:fill="FFFFFF"/>
            <w:noWrap/>
            <w:tcMar>
              <w:top w:w="60" w:type="dxa"/>
              <w:left w:w="60" w:type="dxa"/>
              <w:bottom w:w="60" w:type="dxa"/>
              <w:right w:w="180" w:type="dxa"/>
            </w:tcMar>
            <w:vAlign w:val="center"/>
            <w:hideMark/>
          </w:tcPr>
          <w:p w14:paraId="2AC6C56F" w14:textId="77777777" w:rsidR="00956EBC" w:rsidRDefault="00956EBC" w:rsidP="00956EBC">
            <w:pPr>
              <w:spacing w:before="0" w:line="240" w:lineRule="auto"/>
              <w:rPr>
                <w:rFonts w:ascii="Arial" w:hAnsi="Arial" w:cs="Arial"/>
                <w:b/>
                <w:bCs/>
                <w:color w:val="000000"/>
                <w:sz w:val="20"/>
                <w:szCs w:val="20"/>
              </w:rPr>
            </w:pPr>
            <w:r>
              <w:rPr>
                <w:rFonts w:ascii="Arial" w:hAnsi="Arial" w:cs="Arial"/>
                <w:b/>
                <w:bCs/>
                <w:color w:val="000000"/>
                <w:sz w:val="20"/>
                <w:szCs w:val="20"/>
              </w:rPr>
              <w:t>Child's weight for height</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690FA35" w14:textId="77777777" w:rsidR="00956EBC" w:rsidRDefault="00956EBC" w:rsidP="00956EBC">
            <w:pPr>
              <w:spacing w:before="0" w:line="240" w:lineRule="auto"/>
              <w:rPr>
                <w:rFonts w:ascii="Arial" w:hAnsi="Arial" w:cs="Arial"/>
                <w:b/>
                <w:bCs/>
                <w:color w:val="000000"/>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2DB96A7" w14:textId="77777777" w:rsidR="00956EBC" w:rsidRDefault="00956EBC" w:rsidP="00956EBC">
            <w:pPr>
              <w:spacing w:before="0" w:line="240" w:lineRule="auto"/>
              <w:jc w:val="center"/>
              <w:rPr>
                <w:sz w:val="20"/>
                <w:szCs w:val="20"/>
              </w:rPr>
            </w:pP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5D2F3E83" w14:textId="77777777" w:rsidR="00956EBC" w:rsidRDefault="00956EBC" w:rsidP="00956EBC">
            <w:pPr>
              <w:spacing w:before="0" w:line="240" w:lineRule="auto"/>
              <w:jc w:val="center"/>
              <w:rPr>
                <w:sz w:val="20"/>
                <w:szCs w:val="20"/>
              </w:rPr>
            </w:pPr>
          </w:p>
        </w:tc>
      </w:tr>
      <w:tr w:rsidR="00956EBC" w14:paraId="2EC30178" w14:textId="77777777" w:rsidTr="00956EBC">
        <w:tc>
          <w:tcPr>
            <w:tcW w:w="0" w:type="auto"/>
            <w:tcBorders>
              <w:top w:val="nil"/>
              <w:left w:val="nil"/>
              <w:bottom w:val="nil"/>
              <w:right w:val="nil"/>
            </w:tcBorders>
            <w:shd w:val="clear" w:color="auto" w:fill="FFFFFF"/>
            <w:noWrap/>
            <w:tcMar>
              <w:top w:w="60" w:type="dxa"/>
              <w:left w:w="300" w:type="dxa"/>
              <w:bottom w:w="60" w:type="dxa"/>
              <w:right w:w="180" w:type="dxa"/>
            </w:tcMar>
            <w:vAlign w:val="center"/>
            <w:hideMark/>
          </w:tcPr>
          <w:p w14:paraId="16571BA2"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Not wasted</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26CBDDB6"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4406 (95.5%)</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76054A02"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6286 (91.7%)</w:t>
            </w:r>
          </w:p>
        </w:tc>
        <w:tc>
          <w:tcPr>
            <w:tcW w:w="0" w:type="auto"/>
            <w:tcBorders>
              <w:top w:val="nil"/>
              <w:left w:val="nil"/>
              <w:bottom w:val="nil"/>
              <w:right w:val="nil"/>
            </w:tcBorders>
            <w:shd w:val="clear" w:color="auto" w:fill="FFFFFF"/>
            <w:noWrap/>
            <w:tcMar>
              <w:top w:w="60" w:type="dxa"/>
              <w:left w:w="180" w:type="dxa"/>
              <w:bottom w:w="60" w:type="dxa"/>
              <w:right w:w="180" w:type="dxa"/>
            </w:tcMar>
            <w:vAlign w:val="center"/>
            <w:hideMark/>
          </w:tcPr>
          <w:p w14:paraId="43F52616"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10692 (93.2%)</w:t>
            </w:r>
          </w:p>
        </w:tc>
      </w:tr>
      <w:tr w:rsidR="00956EBC" w14:paraId="1B676DEA" w14:textId="77777777" w:rsidTr="00956EBC">
        <w:tc>
          <w:tcPr>
            <w:tcW w:w="0" w:type="auto"/>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0A1C2C84" w14:textId="77777777" w:rsidR="00956EBC" w:rsidRDefault="00956EBC" w:rsidP="00956EBC">
            <w:pPr>
              <w:spacing w:before="0" w:line="240" w:lineRule="auto"/>
              <w:rPr>
                <w:rFonts w:ascii="Arial" w:hAnsi="Arial" w:cs="Arial"/>
                <w:color w:val="000000"/>
                <w:sz w:val="20"/>
                <w:szCs w:val="20"/>
              </w:rPr>
            </w:pPr>
            <w:r>
              <w:rPr>
                <w:rFonts w:ascii="Arial" w:hAnsi="Arial" w:cs="Arial"/>
                <w:color w:val="000000"/>
                <w:sz w:val="20"/>
                <w:szCs w:val="20"/>
              </w:rPr>
              <w:t>Wasted</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75E48836"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209 (4.5%)</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5B4A6BAA"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569 (8.3%)</w:t>
            </w:r>
          </w:p>
        </w:tc>
        <w:tc>
          <w:tcPr>
            <w:tcW w:w="0" w:type="auto"/>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51112FE6" w14:textId="77777777" w:rsidR="00956EBC" w:rsidRDefault="00956EBC" w:rsidP="00956EBC">
            <w:pPr>
              <w:spacing w:before="0" w:line="240" w:lineRule="auto"/>
              <w:jc w:val="center"/>
              <w:rPr>
                <w:rFonts w:ascii="Arial" w:hAnsi="Arial" w:cs="Arial"/>
                <w:color w:val="000000"/>
                <w:sz w:val="20"/>
                <w:szCs w:val="20"/>
              </w:rPr>
            </w:pPr>
            <w:r>
              <w:rPr>
                <w:rFonts w:ascii="Arial" w:hAnsi="Arial" w:cs="Arial"/>
                <w:color w:val="000000"/>
                <w:sz w:val="20"/>
                <w:szCs w:val="20"/>
              </w:rPr>
              <w:t>778 (6.8%)</w:t>
            </w:r>
          </w:p>
        </w:tc>
      </w:tr>
    </w:tbl>
    <w:p w14:paraId="54417E74" w14:textId="77777777" w:rsidR="00956EBC" w:rsidRDefault="00956EBC">
      <w:pPr>
        <w:pStyle w:val="FirstParagraph"/>
      </w:pPr>
      <w:r>
        <w:t xml:space="preserve"> </w:t>
      </w:r>
    </w:p>
    <w:p w14:paraId="4B053A32" w14:textId="71DD5CE4" w:rsidR="00DC0632" w:rsidRDefault="00000000">
      <w:pPr>
        <w:pStyle w:val="FirstParagraph"/>
      </w:pPr>
      <w:r>
        <w:lastRenderedPageBreak/>
        <w:t>Compared to children in the South, children in the North were more likely to reside in rural areas (Table 1), have mothers with no formal education, have mothers who were unemployed, and be from households with poorer or poorest wealth index. Children in the North were also more likely to be underweight, stunted, and wasted than children in the South.</w:t>
      </w:r>
    </w:p>
    <w:p w14:paraId="22966F66" w14:textId="77777777" w:rsidR="00DC0632" w:rsidRDefault="00000000">
      <w:pPr>
        <w:pStyle w:val="Heading4"/>
      </w:pPr>
      <w:bookmarkStart w:id="16" w:name="region-and-undernutrition"/>
      <w:bookmarkEnd w:id="15"/>
      <w:r>
        <w:t>Region and Undernutrition</w:t>
      </w:r>
    </w:p>
    <w:p w14:paraId="003C70BA" w14:textId="77777777" w:rsidR="00DC0632" w:rsidRDefault="00000000">
      <w:pPr>
        <w:pStyle w:val="FirstParagraph"/>
      </w:pPr>
      <w:r>
        <w:t xml:space="preserve">The odds of being underweight, </w:t>
      </w:r>
      <w:proofErr w:type="gramStart"/>
      <w:r>
        <w:t>stunted</w:t>
      </w:r>
      <w:proofErr w:type="gramEnd"/>
      <w:r>
        <w:t xml:space="preserve"> or wasted were 2.80 (OR = 2.80; 95 % CI 2.53. 3.10; p &lt;0.001), 3.09 (OR = 3.09; 95 % CI 2.84, 3.37; p &lt;0.001), and 1.91 (OR = 1·91; 95 % CI 1.62, 2.28; p &lt;0.001) times higher respectively in children living in the North compared to children in the South.</w:t>
      </w:r>
    </w:p>
    <w:p w14:paraId="29BD4CCA" w14:textId="77777777" w:rsidR="00DC0632" w:rsidRDefault="00000000">
      <w:pPr>
        <w:pStyle w:val="Heading4"/>
      </w:pPr>
      <w:bookmarkStart w:id="17" w:name="Xc8adafb5d8b6dcef1d5ae9f57d64042a3bc5edf"/>
      <w:bookmarkEnd w:id="16"/>
      <w:r>
        <w:t xml:space="preserve">Association Between Maternal Social Deprivation Factors </w:t>
      </w:r>
      <w:proofErr w:type="gramStart"/>
      <w:r>
        <w:t>And</w:t>
      </w:r>
      <w:proofErr w:type="gramEnd"/>
      <w:r>
        <w:t xml:space="preserve"> Undernutrition</w:t>
      </w:r>
    </w:p>
    <w:p w14:paraId="5E37A438" w14:textId="77777777" w:rsidR="00DC0632" w:rsidRDefault="00000000">
      <w:pPr>
        <w:pStyle w:val="FirstParagraph"/>
      </w:pPr>
      <w:r>
        <w:t>Table 2 shows the association between region and measures of maternal social deprivation on indices of undernutrition after adjusting for age and sex of the child.</w:t>
      </w:r>
    </w:p>
    <w:p w14:paraId="17A3E179" w14:textId="77777777" w:rsidR="00DC0632" w:rsidRDefault="00000000">
      <w:pPr>
        <w:pStyle w:val="BodyText"/>
      </w:pPr>
      <w:r>
        <w:rPr>
          <w:b/>
          <w:bCs/>
        </w:rPr>
        <w:t>Table 2: Maternal Social Deprivation and Undernutrition in Children in North and South Nigeria (NDHS 2018, n =11,470)</w:t>
      </w:r>
    </w:p>
    <w:tbl>
      <w:tblPr>
        <w:tblW w:w="5054" w:type="pct"/>
        <w:tblLook w:val="0020" w:firstRow="1" w:lastRow="0" w:firstColumn="0" w:lastColumn="0" w:noHBand="0" w:noVBand="0"/>
      </w:tblPr>
      <w:tblGrid>
        <w:gridCol w:w="1859"/>
        <w:gridCol w:w="1815"/>
        <w:gridCol w:w="937"/>
        <w:gridCol w:w="1816"/>
        <w:gridCol w:w="939"/>
        <w:gridCol w:w="1867"/>
        <w:gridCol w:w="956"/>
      </w:tblGrid>
      <w:tr w:rsidR="00DC0632" w:rsidRPr="00956EBC" w14:paraId="32C7BABE" w14:textId="77777777" w:rsidTr="00956EBC">
        <w:trPr>
          <w:tblHeader/>
        </w:trPr>
        <w:tc>
          <w:tcPr>
            <w:tcW w:w="912" w:type="pct"/>
          </w:tcPr>
          <w:p w14:paraId="050D8C5E" w14:textId="77777777" w:rsidR="00DC0632" w:rsidRPr="00956EBC" w:rsidRDefault="00DC0632" w:rsidP="00956EBC">
            <w:pPr>
              <w:pStyle w:val="Compact"/>
              <w:spacing w:line="240" w:lineRule="auto"/>
              <w:rPr>
                <w:sz w:val="20"/>
                <w:szCs w:val="20"/>
              </w:rPr>
            </w:pPr>
          </w:p>
        </w:tc>
        <w:tc>
          <w:tcPr>
            <w:tcW w:w="890" w:type="pct"/>
          </w:tcPr>
          <w:p w14:paraId="73CEA878" w14:textId="77777777" w:rsidR="00DC0632" w:rsidRPr="00956EBC" w:rsidRDefault="00000000" w:rsidP="00956EBC">
            <w:pPr>
              <w:pStyle w:val="Compact"/>
              <w:spacing w:line="240" w:lineRule="auto"/>
              <w:rPr>
                <w:sz w:val="20"/>
                <w:szCs w:val="20"/>
              </w:rPr>
            </w:pPr>
            <w:r w:rsidRPr="00956EBC">
              <w:rPr>
                <w:sz w:val="20"/>
                <w:szCs w:val="20"/>
              </w:rPr>
              <w:t>Wasting</w:t>
            </w:r>
          </w:p>
        </w:tc>
        <w:tc>
          <w:tcPr>
            <w:tcW w:w="460" w:type="pct"/>
          </w:tcPr>
          <w:p w14:paraId="5A21F7E2" w14:textId="77777777" w:rsidR="00DC0632" w:rsidRPr="00956EBC" w:rsidRDefault="00DC0632" w:rsidP="00956EBC">
            <w:pPr>
              <w:pStyle w:val="Compact"/>
              <w:spacing w:line="240" w:lineRule="auto"/>
              <w:rPr>
                <w:sz w:val="20"/>
                <w:szCs w:val="20"/>
              </w:rPr>
            </w:pPr>
          </w:p>
        </w:tc>
        <w:tc>
          <w:tcPr>
            <w:tcW w:w="891" w:type="pct"/>
          </w:tcPr>
          <w:p w14:paraId="642F6F58" w14:textId="77777777" w:rsidR="00DC0632" w:rsidRPr="00956EBC" w:rsidRDefault="00000000" w:rsidP="00956EBC">
            <w:pPr>
              <w:pStyle w:val="Compact"/>
              <w:spacing w:line="240" w:lineRule="auto"/>
              <w:rPr>
                <w:sz w:val="20"/>
                <w:szCs w:val="20"/>
              </w:rPr>
            </w:pPr>
            <w:r w:rsidRPr="00956EBC">
              <w:rPr>
                <w:sz w:val="20"/>
                <w:szCs w:val="20"/>
              </w:rPr>
              <w:t>Stunting</w:t>
            </w:r>
          </w:p>
        </w:tc>
        <w:tc>
          <w:tcPr>
            <w:tcW w:w="461" w:type="pct"/>
          </w:tcPr>
          <w:p w14:paraId="0ACF5F6F" w14:textId="77777777" w:rsidR="00DC0632" w:rsidRPr="00956EBC" w:rsidRDefault="00DC0632" w:rsidP="00956EBC">
            <w:pPr>
              <w:pStyle w:val="Compact"/>
              <w:spacing w:line="240" w:lineRule="auto"/>
              <w:rPr>
                <w:sz w:val="20"/>
                <w:szCs w:val="20"/>
              </w:rPr>
            </w:pPr>
          </w:p>
        </w:tc>
        <w:tc>
          <w:tcPr>
            <w:tcW w:w="916" w:type="pct"/>
          </w:tcPr>
          <w:p w14:paraId="508CDE58" w14:textId="77777777" w:rsidR="00DC0632" w:rsidRPr="00956EBC" w:rsidRDefault="00000000" w:rsidP="00956EBC">
            <w:pPr>
              <w:pStyle w:val="Compact"/>
              <w:spacing w:line="240" w:lineRule="auto"/>
              <w:rPr>
                <w:sz w:val="20"/>
                <w:szCs w:val="20"/>
              </w:rPr>
            </w:pPr>
            <w:r w:rsidRPr="00956EBC">
              <w:rPr>
                <w:sz w:val="20"/>
                <w:szCs w:val="20"/>
              </w:rPr>
              <w:t>Underweight</w:t>
            </w:r>
          </w:p>
        </w:tc>
        <w:tc>
          <w:tcPr>
            <w:tcW w:w="469" w:type="pct"/>
          </w:tcPr>
          <w:p w14:paraId="473AB893" w14:textId="77777777" w:rsidR="00DC0632" w:rsidRPr="00956EBC" w:rsidRDefault="00DC0632" w:rsidP="00956EBC">
            <w:pPr>
              <w:pStyle w:val="Compact"/>
              <w:spacing w:line="240" w:lineRule="auto"/>
              <w:rPr>
                <w:sz w:val="20"/>
                <w:szCs w:val="20"/>
              </w:rPr>
            </w:pPr>
          </w:p>
        </w:tc>
      </w:tr>
      <w:tr w:rsidR="00DC0632" w:rsidRPr="00956EBC" w14:paraId="31C28860" w14:textId="77777777" w:rsidTr="00956EBC">
        <w:tc>
          <w:tcPr>
            <w:tcW w:w="912" w:type="pct"/>
          </w:tcPr>
          <w:p w14:paraId="3353CE9C" w14:textId="77777777" w:rsidR="00DC0632" w:rsidRPr="00956EBC" w:rsidRDefault="00000000" w:rsidP="00956EBC">
            <w:pPr>
              <w:pStyle w:val="Compact"/>
              <w:spacing w:line="240" w:lineRule="auto"/>
              <w:rPr>
                <w:sz w:val="20"/>
                <w:szCs w:val="20"/>
              </w:rPr>
            </w:pPr>
            <w:r w:rsidRPr="00956EBC">
              <w:rPr>
                <w:sz w:val="20"/>
                <w:szCs w:val="20"/>
              </w:rPr>
              <w:t>Characteristic</w:t>
            </w:r>
          </w:p>
        </w:tc>
        <w:tc>
          <w:tcPr>
            <w:tcW w:w="890" w:type="pct"/>
          </w:tcPr>
          <w:p w14:paraId="312A0A5E" w14:textId="77777777" w:rsidR="00DC0632" w:rsidRPr="00956EBC" w:rsidRDefault="00000000" w:rsidP="00956EBC">
            <w:pPr>
              <w:pStyle w:val="Compact"/>
              <w:spacing w:line="240" w:lineRule="auto"/>
              <w:rPr>
                <w:sz w:val="20"/>
                <w:szCs w:val="20"/>
              </w:rPr>
            </w:pPr>
            <w:r w:rsidRPr="00956EBC">
              <w:rPr>
                <w:sz w:val="20"/>
                <w:szCs w:val="20"/>
              </w:rPr>
              <w:t>OR (95% CI)</w:t>
            </w:r>
          </w:p>
        </w:tc>
        <w:tc>
          <w:tcPr>
            <w:tcW w:w="460" w:type="pct"/>
          </w:tcPr>
          <w:p w14:paraId="34DC8DDE" w14:textId="77777777" w:rsidR="00DC0632" w:rsidRPr="00956EBC" w:rsidRDefault="00000000" w:rsidP="00956EBC">
            <w:pPr>
              <w:pStyle w:val="Compact"/>
              <w:spacing w:line="240" w:lineRule="auto"/>
              <w:rPr>
                <w:sz w:val="20"/>
                <w:szCs w:val="20"/>
              </w:rPr>
            </w:pPr>
            <w:r w:rsidRPr="00956EBC">
              <w:rPr>
                <w:sz w:val="20"/>
                <w:szCs w:val="20"/>
              </w:rPr>
              <w:t>P-value</w:t>
            </w:r>
          </w:p>
        </w:tc>
        <w:tc>
          <w:tcPr>
            <w:tcW w:w="891" w:type="pct"/>
          </w:tcPr>
          <w:p w14:paraId="0C3B4FB3" w14:textId="77777777" w:rsidR="00DC0632" w:rsidRPr="00956EBC" w:rsidRDefault="00000000" w:rsidP="00956EBC">
            <w:pPr>
              <w:pStyle w:val="Compact"/>
              <w:spacing w:line="240" w:lineRule="auto"/>
              <w:rPr>
                <w:sz w:val="20"/>
                <w:szCs w:val="20"/>
              </w:rPr>
            </w:pPr>
            <w:r w:rsidRPr="00956EBC">
              <w:rPr>
                <w:sz w:val="20"/>
                <w:szCs w:val="20"/>
              </w:rPr>
              <w:t>OR (95% CI)</w:t>
            </w:r>
          </w:p>
        </w:tc>
        <w:tc>
          <w:tcPr>
            <w:tcW w:w="461" w:type="pct"/>
          </w:tcPr>
          <w:p w14:paraId="5A6D3588" w14:textId="77777777" w:rsidR="00DC0632" w:rsidRPr="00956EBC" w:rsidRDefault="00000000" w:rsidP="00956EBC">
            <w:pPr>
              <w:pStyle w:val="Compact"/>
              <w:spacing w:line="240" w:lineRule="auto"/>
              <w:rPr>
                <w:sz w:val="20"/>
                <w:szCs w:val="20"/>
              </w:rPr>
            </w:pPr>
            <w:r w:rsidRPr="00956EBC">
              <w:rPr>
                <w:sz w:val="20"/>
                <w:szCs w:val="20"/>
              </w:rPr>
              <w:t>P-value</w:t>
            </w:r>
          </w:p>
        </w:tc>
        <w:tc>
          <w:tcPr>
            <w:tcW w:w="916" w:type="pct"/>
          </w:tcPr>
          <w:p w14:paraId="2AAB8264" w14:textId="77777777" w:rsidR="00DC0632" w:rsidRPr="00956EBC" w:rsidRDefault="00000000" w:rsidP="00956EBC">
            <w:pPr>
              <w:pStyle w:val="Compact"/>
              <w:spacing w:line="240" w:lineRule="auto"/>
              <w:rPr>
                <w:sz w:val="20"/>
                <w:szCs w:val="20"/>
              </w:rPr>
            </w:pPr>
            <w:r w:rsidRPr="00956EBC">
              <w:rPr>
                <w:sz w:val="20"/>
                <w:szCs w:val="20"/>
              </w:rPr>
              <w:t>OR (95% CI)</w:t>
            </w:r>
          </w:p>
        </w:tc>
        <w:tc>
          <w:tcPr>
            <w:tcW w:w="469" w:type="pct"/>
          </w:tcPr>
          <w:p w14:paraId="10B603F5" w14:textId="77777777" w:rsidR="00DC0632" w:rsidRPr="00956EBC" w:rsidRDefault="00000000" w:rsidP="00956EBC">
            <w:pPr>
              <w:pStyle w:val="Compact"/>
              <w:spacing w:line="240" w:lineRule="auto"/>
              <w:rPr>
                <w:sz w:val="20"/>
                <w:szCs w:val="20"/>
              </w:rPr>
            </w:pPr>
            <w:r w:rsidRPr="00956EBC">
              <w:rPr>
                <w:sz w:val="20"/>
                <w:szCs w:val="20"/>
              </w:rPr>
              <w:t>P-value</w:t>
            </w:r>
          </w:p>
        </w:tc>
      </w:tr>
      <w:tr w:rsidR="00DC0632" w:rsidRPr="00956EBC" w14:paraId="040FE063" w14:textId="77777777" w:rsidTr="00956EBC">
        <w:tc>
          <w:tcPr>
            <w:tcW w:w="912" w:type="pct"/>
          </w:tcPr>
          <w:p w14:paraId="0EF69176" w14:textId="77777777" w:rsidR="00DC0632" w:rsidRPr="00956EBC" w:rsidRDefault="00000000" w:rsidP="00956EBC">
            <w:pPr>
              <w:pStyle w:val="Compact"/>
              <w:spacing w:line="240" w:lineRule="auto"/>
              <w:rPr>
                <w:sz w:val="20"/>
                <w:szCs w:val="20"/>
              </w:rPr>
            </w:pPr>
            <w:r w:rsidRPr="00956EBC">
              <w:rPr>
                <w:sz w:val="20"/>
                <w:szCs w:val="20"/>
              </w:rPr>
              <w:t>Region:</w:t>
            </w:r>
          </w:p>
        </w:tc>
        <w:tc>
          <w:tcPr>
            <w:tcW w:w="890" w:type="pct"/>
          </w:tcPr>
          <w:p w14:paraId="24371364" w14:textId="77777777" w:rsidR="00DC0632" w:rsidRPr="00956EBC" w:rsidRDefault="00DC0632" w:rsidP="00956EBC">
            <w:pPr>
              <w:pStyle w:val="Compact"/>
              <w:spacing w:line="240" w:lineRule="auto"/>
              <w:rPr>
                <w:sz w:val="20"/>
                <w:szCs w:val="20"/>
              </w:rPr>
            </w:pPr>
          </w:p>
        </w:tc>
        <w:tc>
          <w:tcPr>
            <w:tcW w:w="460" w:type="pct"/>
          </w:tcPr>
          <w:p w14:paraId="6FEFADA8" w14:textId="77777777" w:rsidR="00DC0632" w:rsidRPr="00956EBC" w:rsidRDefault="00DC0632" w:rsidP="00956EBC">
            <w:pPr>
              <w:pStyle w:val="Compact"/>
              <w:spacing w:line="240" w:lineRule="auto"/>
              <w:rPr>
                <w:sz w:val="20"/>
                <w:szCs w:val="20"/>
              </w:rPr>
            </w:pPr>
          </w:p>
        </w:tc>
        <w:tc>
          <w:tcPr>
            <w:tcW w:w="891" w:type="pct"/>
          </w:tcPr>
          <w:p w14:paraId="58E5E710" w14:textId="77777777" w:rsidR="00DC0632" w:rsidRPr="00956EBC" w:rsidRDefault="00DC0632" w:rsidP="00956EBC">
            <w:pPr>
              <w:pStyle w:val="Compact"/>
              <w:spacing w:line="240" w:lineRule="auto"/>
              <w:rPr>
                <w:sz w:val="20"/>
                <w:szCs w:val="20"/>
              </w:rPr>
            </w:pPr>
          </w:p>
        </w:tc>
        <w:tc>
          <w:tcPr>
            <w:tcW w:w="461" w:type="pct"/>
          </w:tcPr>
          <w:p w14:paraId="06DE3359" w14:textId="77777777" w:rsidR="00DC0632" w:rsidRPr="00956EBC" w:rsidRDefault="00DC0632" w:rsidP="00956EBC">
            <w:pPr>
              <w:pStyle w:val="Compact"/>
              <w:spacing w:line="240" w:lineRule="auto"/>
              <w:rPr>
                <w:sz w:val="20"/>
                <w:szCs w:val="20"/>
              </w:rPr>
            </w:pPr>
          </w:p>
        </w:tc>
        <w:tc>
          <w:tcPr>
            <w:tcW w:w="916" w:type="pct"/>
          </w:tcPr>
          <w:p w14:paraId="15648B57" w14:textId="77777777" w:rsidR="00DC0632" w:rsidRPr="00956EBC" w:rsidRDefault="00DC0632" w:rsidP="00956EBC">
            <w:pPr>
              <w:pStyle w:val="Compact"/>
              <w:spacing w:line="240" w:lineRule="auto"/>
              <w:rPr>
                <w:sz w:val="20"/>
                <w:szCs w:val="20"/>
              </w:rPr>
            </w:pPr>
          </w:p>
        </w:tc>
        <w:tc>
          <w:tcPr>
            <w:tcW w:w="469" w:type="pct"/>
          </w:tcPr>
          <w:p w14:paraId="4D425050" w14:textId="77777777" w:rsidR="00DC0632" w:rsidRPr="00956EBC" w:rsidRDefault="00DC0632" w:rsidP="00956EBC">
            <w:pPr>
              <w:pStyle w:val="Compact"/>
              <w:spacing w:line="240" w:lineRule="auto"/>
              <w:rPr>
                <w:sz w:val="20"/>
                <w:szCs w:val="20"/>
              </w:rPr>
            </w:pPr>
          </w:p>
        </w:tc>
      </w:tr>
      <w:tr w:rsidR="00DC0632" w:rsidRPr="00956EBC" w14:paraId="0E90FD8E" w14:textId="77777777" w:rsidTr="00956EBC">
        <w:tc>
          <w:tcPr>
            <w:tcW w:w="912" w:type="pct"/>
          </w:tcPr>
          <w:p w14:paraId="701FE8D7" w14:textId="77777777" w:rsidR="00DC0632" w:rsidRPr="00956EBC" w:rsidRDefault="00000000" w:rsidP="00956EBC">
            <w:pPr>
              <w:spacing w:line="240" w:lineRule="auto"/>
              <w:rPr>
                <w:sz w:val="20"/>
                <w:szCs w:val="20"/>
              </w:rPr>
            </w:pPr>
            <w:r w:rsidRPr="00956EBC">
              <w:rPr>
                <w:sz w:val="20"/>
                <w:szCs w:val="20"/>
              </w:rPr>
              <w:t>North</w:t>
            </w:r>
          </w:p>
          <w:p w14:paraId="133466C3" w14:textId="77777777" w:rsidR="00DC0632" w:rsidRPr="00956EBC" w:rsidRDefault="00000000" w:rsidP="00956EBC">
            <w:pPr>
              <w:spacing w:line="240" w:lineRule="auto"/>
              <w:rPr>
                <w:sz w:val="20"/>
                <w:szCs w:val="20"/>
              </w:rPr>
            </w:pPr>
            <w:r w:rsidRPr="00956EBC">
              <w:rPr>
                <w:sz w:val="20"/>
                <w:szCs w:val="20"/>
              </w:rPr>
              <w:t>South</w:t>
            </w:r>
          </w:p>
        </w:tc>
        <w:tc>
          <w:tcPr>
            <w:tcW w:w="890" w:type="pct"/>
          </w:tcPr>
          <w:p w14:paraId="5C56F49F" w14:textId="77777777" w:rsidR="00DC0632" w:rsidRPr="00956EBC" w:rsidRDefault="00000000" w:rsidP="00956EBC">
            <w:pPr>
              <w:spacing w:line="240" w:lineRule="auto"/>
              <w:rPr>
                <w:sz w:val="20"/>
                <w:szCs w:val="20"/>
              </w:rPr>
            </w:pPr>
            <w:r w:rsidRPr="00956EBC">
              <w:rPr>
                <w:sz w:val="20"/>
                <w:szCs w:val="20"/>
              </w:rPr>
              <w:t>1.30 (1.06 - 1.61)</w:t>
            </w:r>
          </w:p>
          <w:p w14:paraId="0EF350EE" w14:textId="77777777" w:rsidR="00DC0632" w:rsidRPr="00956EBC" w:rsidRDefault="00000000" w:rsidP="00956EBC">
            <w:pPr>
              <w:spacing w:line="240" w:lineRule="auto"/>
              <w:rPr>
                <w:sz w:val="20"/>
                <w:szCs w:val="20"/>
              </w:rPr>
            </w:pPr>
            <w:r w:rsidRPr="00956EBC">
              <w:rPr>
                <w:sz w:val="20"/>
                <w:szCs w:val="20"/>
              </w:rPr>
              <w:t>Ref.</w:t>
            </w:r>
          </w:p>
        </w:tc>
        <w:tc>
          <w:tcPr>
            <w:tcW w:w="460" w:type="pct"/>
          </w:tcPr>
          <w:p w14:paraId="277473C8" w14:textId="77777777" w:rsidR="00DC0632" w:rsidRPr="00956EBC" w:rsidRDefault="00000000" w:rsidP="00956EBC">
            <w:pPr>
              <w:spacing w:line="240" w:lineRule="auto"/>
              <w:rPr>
                <w:sz w:val="20"/>
                <w:szCs w:val="20"/>
              </w:rPr>
            </w:pPr>
            <w:r w:rsidRPr="00956EBC">
              <w:rPr>
                <w:sz w:val="20"/>
                <w:szCs w:val="20"/>
              </w:rPr>
              <w:t>0.017</w:t>
            </w:r>
          </w:p>
          <w:p w14:paraId="398A97C6" w14:textId="77777777" w:rsidR="00DC0632" w:rsidRPr="00956EBC" w:rsidRDefault="00000000" w:rsidP="00956EBC">
            <w:pPr>
              <w:spacing w:line="240" w:lineRule="auto"/>
              <w:rPr>
                <w:sz w:val="20"/>
                <w:szCs w:val="20"/>
              </w:rPr>
            </w:pPr>
            <w:r w:rsidRPr="00956EBC">
              <w:rPr>
                <w:sz w:val="20"/>
                <w:szCs w:val="20"/>
              </w:rPr>
              <w:t>Ref.</w:t>
            </w:r>
          </w:p>
        </w:tc>
        <w:tc>
          <w:tcPr>
            <w:tcW w:w="891" w:type="pct"/>
          </w:tcPr>
          <w:p w14:paraId="14ED51C9" w14:textId="77777777" w:rsidR="00DC0632" w:rsidRPr="00956EBC" w:rsidRDefault="00000000" w:rsidP="00956EBC">
            <w:pPr>
              <w:spacing w:line="240" w:lineRule="auto"/>
              <w:rPr>
                <w:sz w:val="20"/>
                <w:szCs w:val="20"/>
              </w:rPr>
            </w:pPr>
            <w:r w:rsidRPr="00956EBC">
              <w:rPr>
                <w:sz w:val="20"/>
                <w:szCs w:val="20"/>
              </w:rPr>
              <w:t>1.66 (1.49 - 1.85)</w:t>
            </w:r>
          </w:p>
          <w:p w14:paraId="6F67511A" w14:textId="77777777" w:rsidR="00DC0632" w:rsidRPr="00956EBC" w:rsidRDefault="00000000" w:rsidP="00956EBC">
            <w:pPr>
              <w:spacing w:line="240" w:lineRule="auto"/>
              <w:rPr>
                <w:sz w:val="20"/>
                <w:szCs w:val="20"/>
              </w:rPr>
            </w:pPr>
            <w:r w:rsidRPr="00956EBC">
              <w:rPr>
                <w:sz w:val="20"/>
                <w:szCs w:val="20"/>
              </w:rPr>
              <w:t>Ref.</w:t>
            </w:r>
          </w:p>
        </w:tc>
        <w:tc>
          <w:tcPr>
            <w:tcW w:w="461" w:type="pct"/>
          </w:tcPr>
          <w:p w14:paraId="699F3E6A" w14:textId="77777777" w:rsidR="00DC0632" w:rsidRPr="00956EBC" w:rsidRDefault="00000000" w:rsidP="00956EBC">
            <w:pPr>
              <w:spacing w:line="240" w:lineRule="auto"/>
              <w:rPr>
                <w:sz w:val="20"/>
                <w:szCs w:val="20"/>
              </w:rPr>
            </w:pPr>
            <w:r w:rsidRPr="00956EBC">
              <w:rPr>
                <w:sz w:val="20"/>
                <w:szCs w:val="20"/>
              </w:rPr>
              <w:t>&lt; 0.001</w:t>
            </w:r>
          </w:p>
          <w:p w14:paraId="1D2A5EF9" w14:textId="77777777" w:rsidR="00DC0632" w:rsidRPr="00956EBC" w:rsidRDefault="00000000" w:rsidP="00956EBC">
            <w:pPr>
              <w:spacing w:line="240" w:lineRule="auto"/>
              <w:rPr>
                <w:sz w:val="20"/>
                <w:szCs w:val="20"/>
              </w:rPr>
            </w:pPr>
            <w:r w:rsidRPr="00956EBC">
              <w:rPr>
                <w:sz w:val="20"/>
                <w:szCs w:val="20"/>
              </w:rPr>
              <w:t>Ref</w:t>
            </w:r>
          </w:p>
        </w:tc>
        <w:tc>
          <w:tcPr>
            <w:tcW w:w="916" w:type="pct"/>
          </w:tcPr>
          <w:p w14:paraId="7D8A3099" w14:textId="77777777" w:rsidR="00DC0632" w:rsidRPr="00956EBC" w:rsidRDefault="00000000" w:rsidP="00956EBC">
            <w:pPr>
              <w:spacing w:line="240" w:lineRule="auto"/>
              <w:rPr>
                <w:sz w:val="20"/>
                <w:szCs w:val="20"/>
              </w:rPr>
            </w:pPr>
            <w:r w:rsidRPr="00956EBC">
              <w:rPr>
                <w:sz w:val="20"/>
                <w:szCs w:val="20"/>
              </w:rPr>
              <w:t>1.38 (1.21 - 1.57)</w:t>
            </w:r>
          </w:p>
          <w:p w14:paraId="39775BFD" w14:textId="77777777" w:rsidR="00DC0632" w:rsidRPr="00956EBC" w:rsidRDefault="00000000" w:rsidP="00956EBC">
            <w:pPr>
              <w:spacing w:line="240" w:lineRule="auto"/>
              <w:rPr>
                <w:sz w:val="20"/>
                <w:szCs w:val="20"/>
              </w:rPr>
            </w:pPr>
            <w:r w:rsidRPr="00956EBC">
              <w:rPr>
                <w:sz w:val="20"/>
                <w:szCs w:val="20"/>
              </w:rPr>
              <w:t>Ref</w:t>
            </w:r>
          </w:p>
        </w:tc>
        <w:tc>
          <w:tcPr>
            <w:tcW w:w="469" w:type="pct"/>
          </w:tcPr>
          <w:p w14:paraId="3310BCDF" w14:textId="77777777" w:rsidR="00DC0632" w:rsidRPr="00956EBC" w:rsidRDefault="00000000" w:rsidP="00956EBC">
            <w:pPr>
              <w:spacing w:line="240" w:lineRule="auto"/>
              <w:rPr>
                <w:sz w:val="20"/>
                <w:szCs w:val="20"/>
              </w:rPr>
            </w:pPr>
            <w:r w:rsidRPr="00956EBC">
              <w:rPr>
                <w:sz w:val="20"/>
                <w:szCs w:val="20"/>
              </w:rPr>
              <w:t>&lt;0.001</w:t>
            </w:r>
          </w:p>
          <w:p w14:paraId="242A8730" w14:textId="77777777" w:rsidR="00DC0632" w:rsidRPr="00956EBC" w:rsidRDefault="00000000" w:rsidP="00956EBC">
            <w:pPr>
              <w:spacing w:line="240" w:lineRule="auto"/>
              <w:rPr>
                <w:sz w:val="20"/>
                <w:szCs w:val="20"/>
              </w:rPr>
            </w:pPr>
            <w:r w:rsidRPr="00956EBC">
              <w:rPr>
                <w:sz w:val="20"/>
                <w:szCs w:val="20"/>
              </w:rPr>
              <w:t>Ref</w:t>
            </w:r>
          </w:p>
        </w:tc>
      </w:tr>
      <w:tr w:rsidR="00DC0632" w:rsidRPr="00956EBC" w14:paraId="28B12298" w14:textId="77777777" w:rsidTr="00956EBC">
        <w:tc>
          <w:tcPr>
            <w:tcW w:w="912" w:type="pct"/>
          </w:tcPr>
          <w:p w14:paraId="6B5BDE24" w14:textId="77777777" w:rsidR="00DC0632" w:rsidRPr="00956EBC" w:rsidRDefault="00000000" w:rsidP="00956EBC">
            <w:pPr>
              <w:pStyle w:val="Compact"/>
              <w:spacing w:line="240" w:lineRule="auto"/>
              <w:rPr>
                <w:sz w:val="20"/>
                <w:szCs w:val="20"/>
              </w:rPr>
            </w:pPr>
            <w:r w:rsidRPr="00956EBC">
              <w:rPr>
                <w:sz w:val="20"/>
                <w:szCs w:val="20"/>
              </w:rPr>
              <w:t>Residence:</w:t>
            </w:r>
          </w:p>
        </w:tc>
        <w:tc>
          <w:tcPr>
            <w:tcW w:w="890" w:type="pct"/>
          </w:tcPr>
          <w:p w14:paraId="3E65F5B4" w14:textId="77777777" w:rsidR="00DC0632" w:rsidRPr="00956EBC" w:rsidRDefault="00DC0632" w:rsidP="00956EBC">
            <w:pPr>
              <w:pStyle w:val="Compact"/>
              <w:spacing w:line="240" w:lineRule="auto"/>
              <w:rPr>
                <w:sz w:val="20"/>
                <w:szCs w:val="20"/>
              </w:rPr>
            </w:pPr>
          </w:p>
        </w:tc>
        <w:tc>
          <w:tcPr>
            <w:tcW w:w="460" w:type="pct"/>
          </w:tcPr>
          <w:p w14:paraId="688FC026" w14:textId="77777777" w:rsidR="00DC0632" w:rsidRPr="00956EBC" w:rsidRDefault="00DC0632" w:rsidP="00956EBC">
            <w:pPr>
              <w:pStyle w:val="Compact"/>
              <w:spacing w:line="240" w:lineRule="auto"/>
              <w:rPr>
                <w:sz w:val="20"/>
                <w:szCs w:val="20"/>
              </w:rPr>
            </w:pPr>
          </w:p>
        </w:tc>
        <w:tc>
          <w:tcPr>
            <w:tcW w:w="891" w:type="pct"/>
          </w:tcPr>
          <w:p w14:paraId="6DCB4FC3" w14:textId="77777777" w:rsidR="00DC0632" w:rsidRPr="00956EBC" w:rsidRDefault="00DC0632" w:rsidP="00956EBC">
            <w:pPr>
              <w:pStyle w:val="Compact"/>
              <w:spacing w:line="240" w:lineRule="auto"/>
              <w:rPr>
                <w:sz w:val="20"/>
                <w:szCs w:val="20"/>
              </w:rPr>
            </w:pPr>
          </w:p>
        </w:tc>
        <w:tc>
          <w:tcPr>
            <w:tcW w:w="461" w:type="pct"/>
          </w:tcPr>
          <w:p w14:paraId="2BBFE380" w14:textId="77777777" w:rsidR="00DC0632" w:rsidRPr="00956EBC" w:rsidRDefault="00DC0632" w:rsidP="00956EBC">
            <w:pPr>
              <w:pStyle w:val="Compact"/>
              <w:spacing w:line="240" w:lineRule="auto"/>
              <w:rPr>
                <w:sz w:val="20"/>
                <w:szCs w:val="20"/>
              </w:rPr>
            </w:pPr>
          </w:p>
        </w:tc>
        <w:tc>
          <w:tcPr>
            <w:tcW w:w="916" w:type="pct"/>
          </w:tcPr>
          <w:p w14:paraId="7B87827C" w14:textId="77777777" w:rsidR="00DC0632" w:rsidRPr="00956EBC" w:rsidRDefault="00DC0632" w:rsidP="00956EBC">
            <w:pPr>
              <w:pStyle w:val="Compact"/>
              <w:spacing w:line="240" w:lineRule="auto"/>
              <w:rPr>
                <w:sz w:val="20"/>
                <w:szCs w:val="20"/>
              </w:rPr>
            </w:pPr>
          </w:p>
        </w:tc>
        <w:tc>
          <w:tcPr>
            <w:tcW w:w="469" w:type="pct"/>
          </w:tcPr>
          <w:p w14:paraId="18A5B8D9" w14:textId="77777777" w:rsidR="00DC0632" w:rsidRPr="00956EBC" w:rsidRDefault="00DC0632" w:rsidP="00956EBC">
            <w:pPr>
              <w:pStyle w:val="Compact"/>
              <w:spacing w:line="240" w:lineRule="auto"/>
              <w:rPr>
                <w:sz w:val="20"/>
                <w:szCs w:val="20"/>
              </w:rPr>
            </w:pPr>
          </w:p>
        </w:tc>
      </w:tr>
      <w:tr w:rsidR="00DC0632" w:rsidRPr="00956EBC" w14:paraId="51C8E175" w14:textId="77777777" w:rsidTr="00956EBC">
        <w:tc>
          <w:tcPr>
            <w:tcW w:w="912" w:type="pct"/>
          </w:tcPr>
          <w:p w14:paraId="2E88D8D1" w14:textId="77777777" w:rsidR="00DC0632" w:rsidRPr="00956EBC" w:rsidRDefault="00000000" w:rsidP="00956EBC">
            <w:pPr>
              <w:spacing w:line="240" w:lineRule="auto"/>
              <w:rPr>
                <w:sz w:val="20"/>
                <w:szCs w:val="20"/>
              </w:rPr>
            </w:pPr>
            <w:r w:rsidRPr="00956EBC">
              <w:rPr>
                <w:sz w:val="20"/>
                <w:szCs w:val="20"/>
              </w:rPr>
              <w:t>Rural</w:t>
            </w:r>
          </w:p>
          <w:p w14:paraId="52F29B39" w14:textId="77777777" w:rsidR="00DC0632" w:rsidRPr="00956EBC" w:rsidRDefault="00000000" w:rsidP="00956EBC">
            <w:pPr>
              <w:spacing w:line="240" w:lineRule="auto"/>
              <w:rPr>
                <w:sz w:val="20"/>
                <w:szCs w:val="20"/>
              </w:rPr>
            </w:pPr>
            <w:r w:rsidRPr="00956EBC">
              <w:rPr>
                <w:sz w:val="20"/>
                <w:szCs w:val="20"/>
              </w:rPr>
              <w:t>Urban</w:t>
            </w:r>
          </w:p>
        </w:tc>
        <w:tc>
          <w:tcPr>
            <w:tcW w:w="890" w:type="pct"/>
          </w:tcPr>
          <w:p w14:paraId="4039B69E" w14:textId="77777777" w:rsidR="00DC0632" w:rsidRPr="00956EBC" w:rsidRDefault="00000000" w:rsidP="00956EBC">
            <w:pPr>
              <w:spacing w:line="240" w:lineRule="auto"/>
              <w:rPr>
                <w:sz w:val="20"/>
                <w:szCs w:val="20"/>
              </w:rPr>
            </w:pPr>
            <w:r w:rsidRPr="00956EBC">
              <w:rPr>
                <w:sz w:val="20"/>
                <w:szCs w:val="20"/>
              </w:rPr>
              <w:t>1.05 (0.86 - 1.27)</w:t>
            </w:r>
          </w:p>
          <w:p w14:paraId="011FAE3C" w14:textId="77777777" w:rsidR="00DC0632" w:rsidRPr="00956EBC" w:rsidRDefault="00000000" w:rsidP="00956EBC">
            <w:pPr>
              <w:spacing w:line="240" w:lineRule="auto"/>
              <w:rPr>
                <w:sz w:val="20"/>
                <w:szCs w:val="20"/>
              </w:rPr>
            </w:pPr>
            <w:r w:rsidRPr="00956EBC">
              <w:rPr>
                <w:sz w:val="20"/>
                <w:szCs w:val="20"/>
              </w:rPr>
              <w:t>Ref.</w:t>
            </w:r>
          </w:p>
        </w:tc>
        <w:tc>
          <w:tcPr>
            <w:tcW w:w="460" w:type="pct"/>
          </w:tcPr>
          <w:p w14:paraId="376BD750" w14:textId="77777777" w:rsidR="00DC0632" w:rsidRPr="00956EBC" w:rsidRDefault="00000000" w:rsidP="00956EBC">
            <w:pPr>
              <w:spacing w:line="240" w:lineRule="auto"/>
              <w:rPr>
                <w:sz w:val="20"/>
                <w:szCs w:val="20"/>
              </w:rPr>
            </w:pPr>
            <w:r w:rsidRPr="00956EBC">
              <w:rPr>
                <w:sz w:val="20"/>
                <w:szCs w:val="20"/>
              </w:rPr>
              <w:t>0.556</w:t>
            </w:r>
          </w:p>
          <w:p w14:paraId="3F2FF5A6" w14:textId="77777777" w:rsidR="00DC0632" w:rsidRPr="00956EBC" w:rsidRDefault="00000000" w:rsidP="00956EBC">
            <w:pPr>
              <w:spacing w:line="240" w:lineRule="auto"/>
              <w:rPr>
                <w:sz w:val="20"/>
                <w:szCs w:val="20"/>
              </w:rPr>
            </w:pPr>
            <w:r w:rsidRPr="00956EBC">
              <w:rPr>
                <w:sz w:val="20"/>
                <w:szCs w:val="20"/>
              </w:rPr>
              <w:t>Ref.</w:t>
            </w:r>
          </w:p>
        </w:tc>
        <w:tc>
          <w:tcPr>
            <w:tcW w:w="891" w:type="pct"/>
          </w:tcPr>
          <w:p w14:paraId="2DEFC197" w14:textId="77777777" w:rsidR="00DC0632" w:rsidRPr="00956EBC" w:rsidRDefault="00000000" w:rsidP="00956EBC">
            <w:pPr>
              <w:spacing w:line="240" w:lineRule="auto"/>
              <w:rPr>
                <w:sz w:val="20"/>
                <w:szCs w:val="20"/>
              </w:rPr>
            </w:pPr>
            <w:r w:rsidRPr="00956EBC">
              <w:rPr>
                <w:sz w:val="20"/>
                <w:szCs w:val="20"/>
              </w:rPr>
              <w:t>1.02 (0.92 - 1.12)</w:t>
            </w:r>
          </w:p>
          <w:p w14:paraId="61E280FD" w14:textId="77777777" w:rsidR="00DC0632" w:rsidRPr="00956EBC" w:rsidRDefault="00000000" w:rsidP="00956EBC">
            <w:pPr>
              <w:spacing w:line="240" w:lineRule="auto"/>
              <w:rPr>
                <w:sz w:val="20"/>
                <w:szCs w:val="20"/>
              </w:rPr>
            </w:pPr>
            <w:r w:rsidRPr="00956EBC">
              <w:rPr>
                <w:sz w:val="20"/>
                <w:szCs w:val="20"/>
              </w:rPr>
              <w:t>Ref.</w:t>
            </w:r>
          </w:p>
        </w:tc>
        <w:tc>
          <w:tcPr>
            <w:tcW w:w="461" w:type="pct"/>
          </w:tcPr>
          <w:p w14:paraId="497B6085" w14:textId="77777777" w:rsidR="00DC0632" w:rsidRPr="00956EBC" w:rsidRDefault="00000000" w:rsidP="00956EBC">
            <w:pPr>
              <w:spacing w:line="240" w:lineRule="auto"/>
              <w:rPr>
                <w:sz w:val="20"/>
                <w:szCs w:val="20"/>
              </w:rPr>
            </w:pPr>
            <w:r w:rsidRPr="00956EBC">
              <w:rPr>
                <w:sz w:val="20"/>
                <w:szCs w:val="20"/>
              </w:rPr>
              <w:t>0.850</w:t>
            </w:r>
          </w:p>
          <w:p w14:paraId="1D32BCC3" w14:textId="77777777" w:rsidR="00DC0632" w:rsidRPr="00956EBC" w:rsidRDefault="00000000" w:rsidP="00956EBC">
            <w:pPr>
              <w:spacing w:line="240" w:lineRule="auto"/>
              <w:rPr>
                <w:sz w:val="20"/>
                <w:szCs w:val="20"/>
              </w:rPr>
            </w:pPr>
            <w:r w:rsidRPr="00956EBC">
              <w:rPr>
                <w:sz w:val="20"/>
                <w:szCs w:val="20"/>
              </w:rPr>
              <w:t>Ref</w:t>
            </w:r>
          </w:p>
        </w:tc>
        <w:tc>
          <w:tcPr>
            <w:tcW w:w="916" w:type="pct"/>
          </w:tcPr>
          <w:p w14:paraId="3E8054A4" w14:textId="77777777" w:rsidR="00DC0632" w:rsidRPr="00956EBC" w:rsidRDefault="00000000" w:rsidP="00956EBC">
            <w:pPr>
              <w:spacing w:line="240" w:lineRule="auto"/>
              <w:rPr>
                <w:sz w:val="20"/>
                <w:szCs w:val="20"/>
              </w:rPr>
            </w:pPr>
            <w:r w:rsidRPr="00956EBC">
              <w:rPr>
                <w:sz w:val="20"/>
                <w:szCs w:val="20"/>
              </w:rPr>
              <w:t>1.05 (0.93 - 1.18)</w:t>
            </w:r>
          </w:p>
          <w:p w14:paraId="5C3BDC36" w14:textId="77777777" w:rsidR="00DC0632" w:rsidRPr="00956EBC" w:rsidRDefault="00000000" w:rsidP="00956EBC">
            <w:pPr>
              <w:spacing w:line="240" w:lineRule="auto"/>
              <w:rPr>
                <w:sz w:val="20"/>
                <w:szCs w:val="20"/>
              </w:rPr>
            </w:pPr>
            <w:r w:rsidRPr="00956EBC">
              <w:rPr>
                <w:sz w:val="20"/>
                <w:szCs w:val="20"/>
              </w:rPr>
              <w:t>Ref</w:t>
            </w:r>
          </w:p>
        </w:tc>
        <w:tc>
          <w:tcPr>
            <w:tcW w:w="469" w:type="pct"/>
          </w:tcPr>
          <w:p w14:paraId="7F7BEC23" w14:textId="77777777" w:rsidR="00DC0632" w:rsidRPr="00956EBC" w:rsidRDefault="00000000" w:rsidP="00956EBC">
            <w:pPr>
              <w:spacing w:line="240" w:lineRule="auto"/>
              <w:rPr>
                <w:sz w:val="20"/>
                <w:szCs w:val="20"/>
              </w:rPr>
            </w:pPr>
            <w:r w:rsidRPr="00956EBC">
              <w:rPr>
                <w:sz w:val="20"/>
                <w:szCs w:val="20"/>
              </w:rPr>
              <w:t>0.437</w:t>
            </w:r>
          </w:p>
          <w:p w14:paraId="501F09D4" w14:textId="77777777" w:rsidR="00DC0632" w:rsidRPr="00956EBC" w:rsidRDefault="00000000" w:rsidP="00956EBC">
            <w:pPr>
              <w:spacing w:line="240" w:lineRule="auto"/>
              <w:rPr>
                <w:sz w:val="20"/>
                <w:szCs w:val="20"/>
              </w:rPr>
            </w:pPr>
            <w:r w:rsidRPr="00956EBC">
              <w:rPr>
                <w:sz w:val="20"/>
                <w:szCs w:val="20"/>
              </w:rPr>
              <w:t>Ref</w:t>
            </w:r>
          </w:p>
        </w:tc>
      </w:tr>
      <w:tr w:rsidR="00DC0632" w:rsidRPr="00956EBC" w14:paraId="0E291FA1" w14:textId="77777777" w:rsidTr="00956EBC">
        <w:tc>
          <w:tcPr>
            <w:tcW w:w="912" w:type="pct"/>
          </w:tcPr>
          <w:p w14:paraId="227E1E5F" w14:textId="77777777" w:rsidR="00DC0632" w:rsidRPr="00956EBC" w:rsidRDefault="00000000" w:rsidP="00956EBC">
            <w:pPr>
              <w:pStyle w:val="Compact"/>
              <w:spacing w:line="240" w:lineRule="auto"/>
              <w:rPr>
                <w:sz w:val="20"/>
                <w:szCs w:val="20"/>
              </w:rPr>
            </w:pPr>
            <w:r w:rsidRPr="00956EBC">
              <w:rPr>
                <w:sz w:val="20"/>
                <w:szCs w:val="20"/>
              </w:rPr>
              <w:t>Education:</w:t>
            </w:r>
          </w:p>
        </w:tc>
        <w:tc>
          <w:tcPr>
            <w:tcW w:w="890" w:type="pct"/>
          </w:tcPr>
          <w:p w14:paraId="5B5FE652" w14:textId="77777777" w:rsidR="00DC0632" w:rsidRPr="00956EBC" w:rsidRDefault="00DC0632" w:rsidP="00956EBC">
            <w:pPr>
              <w:pStyle w:val="Compact"/>
              <w:spacing w:line="240" w:lineRule="auto"/>
              <w:rPr>
                <w:sz w:val="20"/>
                <w:szCs w:val="20"/>
              </w:rPr>
            </w:pPr>
          </w:p>
        </w:tc>
        <w:tc>
          <w:tcPr>
            <w:tcW w:w="460" w:type="pct"/>
          </w:tcPr>
          <w:p w14:paraId="0913C065" w14:textId="77777777" w:rsidR="00DC0632" w:rsidRPr="00956EBC" w:rsidRDefault="00DC0632" w:rsidP="00956EBC">
            <w:pPr>
              <w:pStyle w:val="Compact"/>
              <w:spacing w:line="240" w:lineRule="auto"/>
              <w:rPr>
                <w:sz w:val="20"/>
                <w:szCs w:val="20"/>
              </w:rPr>
            </w:pPr>
          </w:p>
        </w:tc>
        <w:tc>
          <w:tcPr>
            <w:tcW w:w="891" w:type="pct"/>
          </w:tcPr>
          <w:p w14:paraId="55C885AF" w14:textId="77777777" w:rsidR="00DC0632" w:rsidRPr="00956EBC" w:rsidRDefault="00DC0632" w:rsidP="00956EBC">
            <w:pPr>
              <w:pStyle w:val="Compact"/>
              <w:spacing w:line="240" w:lineRule="auto"/>
              <w:rPr>
                <w:sz w:val="20"/>
                <w:szCs w:val="20"/>
              </w:rPr>
            </w:pPr>
          </w:p>
        </w:tc>
        <w:tc>
          <w:tcPr>
            <w:tcW w:w="461" w:type="pct"/>
          </w:tcPr>
          <w:p w14:paraId="08BD5DC0" w14:textId="77777777" w:rsidR="00DC0632" w:rsidRPr="00956EBC" w:rsidRDefault="00DC0632" w:rsidP="00956EBC">
            <w:pPr>
              <w:pStyle w:val="Compact"/>
              <w:spacing w:line="240" w:lineRule="auto"/>
              <w:rPr>
                <w:sz w:val="20"/>
                <w:szCs w:val="20"/>
              </w:rPr>
            </w:pPr>
          </w:p>
        </w:tc>
        <w:tc>
          <w:tcPr>
            <w:tcW w:w="916" w:type="pct"/>
          </w:tcPr>
          <w:p w14:paraId="63C233B0" w14:textId="77777777" w:rsidR="00DC0632" w:rsidRPr="00956EBC" w:rsidRDefault="00DC0632" w:rsidP="00956EBC">
            <w:pPr>
              <w:pStyle w:val="Compact"/>
              <w:spacing w:line="240" w:lineRule="auto"/>
              <w:rPr>
                <w:sz w:val="20"/>
                <w:szCs w:val="20"/>
              </w:rPr>
            </w:pPr>
          </w:p>
        </w:tc>
        <w:tc>
          <w:tcPr>
            <w:tcW w:w="469" w:type="pct"/>
          </w:tcPr>
          <w:p w14:paraId="2C45D5D5" w14:textId="77777777" w:rsidR="00DC0632" w:rsidRPr="00956EBC" w:rsidRDefault="00DC0632" w:rsidP="00956EBC">
            <w:pPr>
              <w:pStyle w:val="Compact"/>
              <w:spacing w:line="240" w:lineRule="auto"/>
              <w:rPr>
                <w:sz w:val="20"/>
                <w:szCs w:val="20"/>
              </w:rPr>
            </w:pPr>
          </w:p>
        </w:tc>
      </w:tr>
      <w:tr w:rsidR="00DC0632" w:rsidRPr="00956EBC" w14:paraId="4A076191" w14:textId="77777777" w:rsidTr="00956EBC">
        <w:tc>
          <w:tcPr>
            <w:tcW w:w="912" w:type="pct"/>
          </w:tcPr>
          <w:p w14:paraId="5AAF0F65" w14:textId="77777777" w:rsidR="00DC0632" w:rsidRPr="00956EBC" w:rsidRDefault="00000000" w:rsidP="00956EBC">
            <w:pPr>
              <w:spacing w:line="240" w:lineRule="auto"/>
              <w:rPr>
                <w:sz w:val="20"/>
                <w:szCs w:val="20"/>
              </w:rPr>
            </w:pPr>
            <w:r w:rsidRPr="00956EBC">
              <w:rPr>
                <w:sz w:val="20"/>
                <w:szCs w:val="20"/>
              </w:rPr>
              <w:t>No Education</w:t>
            </w:r>
          </w:p>
          <w:p w14:paraId="08EE8078" w14:textId="77777777" w:rsidR="00DC0632" w:rsidRPr="00956EBC" w:rsidRDefault="00000000" w:rsidP="00956EBC">
            <w:pPr>
              <w:spacing w:line="240" w:lineRule="auto"/>
              <w:rPr>
                <w:sz w:val="20"/>
                <w:szCs w:val="20"/>
              </w:rPr>
            </w:pPr>
            <w:r w:rsidRPr="00956EBC">
              <w:rPr>
                <w:sz w:val="20"/>
                <w:szCs w:val="20"/>
              </w:rPr>
              <w:lastRenderedPageBreak/>
              <w:t>Primary</w:t>
            </w:r>
          </w:p>
          <w:p w14:paraId="40C328DA" w14:textId="77777777" w:rsidR="00DC0632" w:rsidRPr="00956EBC" w:rsidRDefault="00000000" w:rsidP="00956EBC">
            <w:pPr>
              <w:spacing w:line="240" w:lineRule="auto"/>
              <w:rPr>
                <w:sz w:val="20"/>
                <w:szCs w:val="20"/>
              </w:rPr>
            </w:pPr>
            <w:r w:rsidRPr="00956EBC">
              <w:rPr>
                <w:sz w:val="20"/>
                <w:szCs w:val="20"/>
              </w:rPr>
              <w:t>Secondary</w:t>
            </w:r>
          </w:p>
          <w:p w14:paraId="1A0301F3" w14:textId="77777777" w:rsidR="00DC0632" w:rsidRPr="00956EBC" w:rsidRDefault="00000000" w:rsidP="00956EBC">
            <w:pPr>
              <w:spacing w:line="240" w:lineRule="auto"/>
              <w:rPr>
                <w:sz w:val="20"/>
                <w:szCs w:val="20"/>
              </w:rPr>
            </w:pPr>
            <w:r w:rsidRPr="00956EBC">
              <w:rPr>
                <w:sz w:val="20"/>
                <w:szCs w:val="20"/>
              </w:rPr>
              <w:t>Higher education</w:t>
            </w:r>
          </w:p>
        </w:tc>
        <w:tc>
          <w:tcPr>
            <w:tcW w:w="890" w:type="pct"/>
          </w:tcPr>
          <w:p w14:paraId="006E7716" w14:textId="77777777" w:rsidR="00DC0632" w:rsidRPr="00956EBC" w:rsidRDefault="00000000" w:rsidP="00956EBC">
            <w:pPr>
              <w:spacing w:line="240" w:lineRule="auto"/>
              <w:rPr>
                <w:sz w:val="20"/>
                <w:szCs w:val="20"/>
              </w:rPr>
            </w:pPr>
            <w:r w:rsidRPr="00956EBC">
              <w:rPr>
                <w:sz w:val="20"/>
                <w:szCs w:val="20"/>
              </w:rPr>
              <w:lastRenderedPageBreak/>
              <w:t>1.53 (1.05 - 2.26)</w:t>
            </w:r>
          </w:p>
          <w:p w14:paraId="28DB3620" w14:textId="77777777" w:rsidR="00DC0632" w:rsidRPr="00956EBC" w:rsidRDefault="00000000" w:rsidP="00956EBC">
            <w:pPr>
              <w:spacing w:line="240" w:lineRule="auto"/>
              <w:rPr>
                <w:sz w:val="20"/>
                <w:szCs w:val="20"/>
              </w:rPr>
            </w:pPr>
            <w:r w:rsidRPr="00956EBC">
              <w:rPr>
                <w:sz w:val="20"/>
                <w:szCs w:val="20"/>
              </w:rPr>
              <w:lastRenderedPageBreak/>
              <w:t>0.95 (0.64 - 1.43)</w:t>
            </w:r>
          </w:p>
          <w:p w14:paraId="7CB826C4" w14:textId="77777777" w:rsidR="00DC0632" w:rsidRPr="00956EBC" w:rsidRDefault="00000000" w:rsidP="00956EBC">
            <w:pPr>
              <w:spacing w:line="240" w:lineRule="auto"/>
              <w:rPr>
                <w:sz w:val="20"/>
                <w:szCs w:val="20"/>
              </w:rPr>
            </w:pPr>
            <w:r w:rsidRPr="00956EBC">
              <w:rPr>
                <w:sz w:val="20"/>
                <w:szCs w:val="20"/>
              </w:rPr>
              <w:t>1.02 (0.72 - 1.47)</w:t>
            </w:r>
          </w:p>
          <w:p w14:paraId="3FB41AF0" w14:textId="77777777" w:rsidR="00DC0632" w:rsidRPr="00956EBC" w:rsidRDefault="00000000" w:rsidP="00956EBC">
            <w:pPr>
              <w:spacing w:line="240" w:lineRule="auto"/>
              <w:rPr>
                <w:sz w:val="20"/>
                <w:szCs w:val="20"/>
              </w:rPr>
            </w:pPr>
            <w:r w:rsidRPr="00956EBC">
              <w:rPr>
                <w:sz w:val="20"/>
                <w:szCs w:val="20"/>
              </w:rPr>
              <w:t>Ref</w:t>
            </w:r>
          </w:p>
        </w:tc>
        <w:tc>
          <w:tcPr>
            <w:tcW w:w="460" w:type="pct"/>
          </w:tcPr>
          <w:p w14:paraId="7B7A3071" w14:textId="77777777" w:rsidR="00DC0632" w:rsidRPr="00956EBC" w:rsidRDefault="00000000" w:rsidP="00956EBC">
            <w:pPr>
              <w:spacing w:line="240" w:lineRule="auto"/>
              <w:rPr>
                <w:sz w:val="20"/>
                <w:szCs w:val="20"/>
              </w:rPr>
            </w:pPr>
            <w:r w:rsidRPr="00956EBC">
              <w:rPr>
                <w:sz w:val="20"/>
                <w:szCs w:val="20"/>
              </w:rPr>
              <w:lastRenderedPageBreak/>
              <w:t>0.031</w:t>
            </w:r>
          </w:p>
          <w:p w14:paraId="19A1554A" w14:textId="77777777" w:rsidR="00DC0632" w:rsidRPr="00956EBC" w:rsidRDefault="00000000" w:rsidP="00956EBC">
            <w:pPr>
              <w:spacing w:line="240" w:lineRule="auto"/>
              <w:rPr>
                <w:sz w:val="20"/>
                <w:szCs w:val="20"/>
              </w:rPr>
            </w:pPr>
            <w:r w:rsidRPr="00956EBC">
              <w:rPr>
                <w:sz w:val="20"/>
                <w:szCs w:val="20"/>
              </w:rPr>
              <w:lastRenderedPageBreak/>
              <w:t>0.843</w:t>
            </w:r>
          </w:p>
          <w:p w14:paraId="5D51C3A2" w14:textId="77777777" w:rsidR="00DC0632" w:rsidRPr="00956EBC" w:rsidRDefault="00000000" w:rsidP="00956EBC">
            <w:pPr>
              <w:spacing w:line="240" w:lineRule="auto"/>
              <w:rPr>
                <w:sz w:val="20"/>
                <w:szCs w:val="20"/>
              </w:rPr>
            </w:pPr>
            <w:r w:rsidRPr="00956EBC">
              <w:rPr>
                <w:sz w:val="20"/>
                <w:szCs w:val="20"/>
              </w:rPr>
              <w:t>0.858</w:t>
            </w:r>
          </w:p>
          <w:p w14:paraId="24CB1032" w14:textId="77777777" w:rsidR="00DC0632" w:rsidRPr="00956EBC" w:rsidRDefault="00000000" w:rsidP="00956EBC">
            <w:pPr>
              <w:spacing w:line="240" w:lineRule="auto"/>
              <w:rPr>
                <w:sz w:val="20"/>
                <w:szCs w:val="20"/>
              </w:rPr>
            </w:pPr>
            <w:r w:rsidRPr="00956EBC">
              <w:rPr>
                <w:sz w:val="20"/>
                <w:szCs w:val="20"/>
              </w:rPr>
              <w:t>Ref</w:t>
            </w:r>
          </w:p>
        </w:tc>
        <w:tc>
          <w:tcPr>
            <w:tcW w:w="891" w:type="pct"/>
          </w:tcPr>
          <w:p w14:paraId="1D3908AF" w14:textId="77777777" w:rsidR="00DC0632" w:rsidRPr="00956EBC" w:rsidRDefault="00000000" w:rsidP="00956EBC">
            <w:pPr>
              <w:spacing w:line="240" w:lineRule="auto"/>
              <w:rPr>
                <w:sz w:val="20"/>
                <w:szCs w:val="20"/>
              </w:rPr>
            </w:pPr>
            <w:r w:rsidRPr="00956EBC">
              <w:rPr>
                <w:sz w:val="20"/>
                <w:szCs w:val="20"/>
              </w:rPr>
              <w:lastRenderedPageBreak/>
              <w:t>3.20 (2.58 - 4.00)</w:t>
            </w:r>
          </w:p>
          <w:p w14:paraId="300EF618" w14:textId="77777777" w:rsidR="00DC0632" w:rsidRPr="00956EBC" w:rsidRDefault="00000000" w:rsidP="00956EBC">
            <w:pPr>
              <w:spacing w:line="240" w:lineRule="auto"/>
              <w:rPr>
                <w:sz w:val="20"/>
                <w:szCs w:val="20"/>
              </w:rPr>
            </w:pPr>
            <w:r w:rsidRPr="00956EBC">
              <w:rPr>
                <w:sz w:val="20"/>
                <w:szCs w:val="20"/>
              </w:rPr>
              <w:lastRenderedPageBreak/>
              <w:t>2.31 (1.85 - 2.89)</w:t>
            </w:r>
          </w:p>
          <w:p w14:paraId="4903CC5D" w14:textId="77777777" w:rsidR="00DC0632" w:rsidRPr="00956EBC" w:rsidRDefault="00000000" w:rsidP="00956EBC">
            <w:pPr>
              <w:spacing w:line="240" w:lineRule="auto"/>
              <w:rPr>
                <w:sz w:val="20"/>
                <w:szCs w:val="20"/>
              </w:rPr>
            </w:pPr>
            <w:r w:rsidRPr="00956EBC">
              <w:rPr>
                <w:sz w:val="20"/>
                <w:szCs w:val="20"/>
              </w:rPr>
              <w:t>1.64 (1.34 - 2.02)</w:t>
            </w:r>
          </w:p>
          <w:p w14:paraId="31C3D6DD" w14:textId="77777777" w:rsidR="00DC0632" w:rsidRPr="00956EBC" w:rsidRDefault="00000000" w:rsidP="00956EBC">
            <w:pPr>
              <w:spacing w:line="240" w:lineRule="auto"/>
              <w:rPr>
                <w:sz w:val="20"/>
                <w:szCs w:val="20"/>
              </w:rPr>
            </w:pPr>
            <w:r w:rsidRPr="00956EBC">
              <w:rPr>
                <w:sz w:val="20"/>
                <w:szCs w:val="20"/>
              </w:rPr>
              <w:t>Ref</w:t>
            </w:r>
          </w:p>
        </w:tc>
        <w:tc>
          <w:tcPr>
            <w:tcW w:w="461" w:type="pct"/>
          </w:tcPr>
          <w:p w14:paraId="4116B646" w14:textId="77777777" w:rsidR="00DC0632" w:rsidRPr="00956EBC" w:rsidRDefault="00000000" w:rsidP="00956EBC">
            <w:pPr>
              <w:spacing w:line="240" w:lineRule="auto"/>
              <w:rPr>
                <w:sz w:val="20"/>
                <w:szCs w:val="20"/>
              </w:rPr>
            </w:pPr>
            <w:r w:rsidRPr="00956EBC">
              <w:rPr>
                <w:sz w:val="20"/>
                <w:szCs w:val="20"/>
              </w:rPr>
              <w:lastRenderedPageBreak/>
              <w:t>&lt; 0.001</w:t>
            </w:r>
          </w:p>
          <w:p w14:paraId="1F5B7B0A" w14:textId="77777777" w:rsidR="00DC0632" w:rsidRPr="00956EBC" w:rsidRDefault="00000000" w:rsidP="00956EBC">
            <w:pPr>
              <w:spacing w:line="240" w:lineRule="auto"/>
              <w:rPr>
                <w:sz w:val="20"/>
                <w:szCs w:val="20"/>
              </w:rPr>
            </w:pPr>
            <w:r w:rsidRPr="00956EBC">
              <w:rPr>
                <w:sz w:val="20"/>
                <w:szCs w:val="20"/>
              </w:rPr>
              <w:lastRenderedPageBreak/>
              <w:t>&lt; 0.001</w:t>
            </w:r>
          </w:p>
          <w:p w14:paraId="138BFFC8" w14:textId="77777777" w:rsidR="00DC0632" w:rsidRPr="00956EBC" w:rsidRDefault="00000000" w:rsidP="00956EBC">
            <w:pPr>
              <w:spacing w:line="240" w:lineRule="auto"/>
              <w:rPr>
                <w:sz w:val="20"/>
                <w:szCs w:val="20"/>
              </w:rPr>
            </w:pPr>
            <w:r w:rsidRPr="00956EBC">
              <w:rPr>
                <w:sz w:val="20"/>
                <w:szCs w:val="20"/>
              </w:rPr>
              <w:t>&lt; 0.001</w:t>
            </w:r>
          </w:p>
          <w:p w14:paraId="7CE06AA1" w14:textId="77777777" w:rsidR="00DC0632" w:rsidRPr="00956EBC" w:rsidRDefault="00000000" w:rsidP="00956EBC">
            <w:pPr>
              <w:spacing w:line="240" w:lineRule="auto"/>
              <w:rPr>
                <w:sz w:val="20"/>
                <w:szCs w:val="20"/>
              </w:rPr>
            </w:pPr>
            <w:r w:rsidRPr="00956EBC">
              <w:rPr>
                <w:sz w:val="20"/>
                <w:szCs w:val="20"/>
              </w:rPr>
              <w:t>Ref</w:t>
            </w:r>
          </w:p>
        </w:tc>
        <w:tc>
          <w:tcPr>
            <w:tcW w:w="916" w:type="pct"/>
          </w:tcPr>
          <w:p w14:paraId="48678D90" w14:textId="77777777" w:rsidR="00DC0632" w:rsidRPr="00956EBC" w:rsidRDefault="00000000" w:rsidP="00956EBC">
            <w:pPr>
              <w:spacing w:line="240" w:lineRule="auto"/>
              <w:rPr>
                <w:sz w:val="20"/>
                <w:szCs w:val="20"/>
              </w:rPr>
            </w:pPr>
            <w:r w:rsidRPr="00956EBC">
              <w:rPr>
                <w:sz w:val="20"/>
                <w:szCs w:val="20"/>
              </w:rPr>
              <w:lastRenderedPageBreak/>
              <w:t>2.81 (2.18 - 3.66)</w:t>
            </w:r>
          </w:p>
          <w:p w14:paraId="47AE9684" w14:textId="77777777" w:rsidR="00DC0632" w:rsidRPr="00956EBC" w:rsidRDefault="00000000" w:rsidP="00956EBC">
            <w:pPr>
              <w:spacing w:line="240" w:lineRule="auto"/>
              <w:rPr>
                <w:sz w:val="20"/>
                <w:szCs w:val="20"/>
              </w:rPr>
            </w:pPr>
            <w:r w:rsidRPr="00956EBC">
              <w:rPr>
                <w:sz w:val="20"/>
                <w:szCs w:val="20"/>
              </w:rPr>
              <w:lastRenderedPageBreak/>
              <w:t>1.55 (1.19 - 2.04)</w:t>
            </w:r>
          </w:p>
          <w:p w14:paraId="0FD1318E" w14:textId="77777777" w:rsidR="00DC0632" w:rsidRPr="00956EBC" w:rsidRDefault="00000000" w:rsidP="00956EBC">
            <w:pPr>
              <w:spacing w:line="240" w:lineRule="auto"/>
              <w:rPr>
                <w:sz w:val="20"/>
                <w:szCs w:val="20"/>
              </w:rPr>
            </w:pPr>
            <w:r w:rsidRPr="00956EBC">
              <w:rPr>
                <w:sz w:val="20"/>
                <w:szCs w:val="20"/>
              </w:rPr>
              <w:t>1.33 (1.04 - 1.70)</w:t>
            </w:r>
          </w:p>
          <w:p w14:paraId="6766C1C4" w14:textId="77777777" w:rsidR="00DC0632" w:rsidRPr="00956EBC" w:rsidRDefault="00000000" w:rsidP="00956EBC">
            <w:pPr>
              <w:spacing w:line="240" w:lineRule="auto"/>
              <w:rPr>
                <w:sz w:val="20"/>
                <w:szCs w:val="20"/>
              </w:rPr>
            </w:pPr>
            <w:r w:rsidRPr="00956EBC">
              <w:rPr>
                <w:sz w:val="20"/>
                <w:szCs w:val="20"/>
              </w:rPr>
              <w:t>Ref</w:t>
            </w:r>
          </w:p>
        </w:tc>
        <w:tc>
          <w:tcPr>
            <w:tcW w:w="469" w:type="pct"/>
          </w:tcPr>
          <w:p w14:paraId="6C246A58" w14:textId="77777777" w:rsidR="00DC0632" w:rsidRPr="00956EBC" w:rsidRDefault="00000000" w:rsidP="00956EBC">
            <w:pPr>
              <w:spacing w:line="240" w:lineRule="auto"/>
              <w:rPr>
                <w:sz w:val="20"/>
                <w:szCs w:val="20"/>
              </w:rPr>
            </w:pPr>
            <w:r w:rsidRPr="00956EBC">
              <w:rPr>
                <w:sz w:val="20"/>
                <w:szCs w:val="20"/>
              </w:rPr>
              <w:lastRenderedPageBreak/>
              <w:t>&lt; 0.001</w:t>
            </w:r>
          </w:p>
          <w:p w14:paraId="4C10B29F" w14:textId="77777777" w:rsidR="00DC0632" w:rsidRPr="00956EBC" w:rsidRDefault="00000000" w:rsidP="00956EBC">
            <w:pPr>
              <w:spacing w:line="240" w:lineRule="auto"/>
              <w:rPr>
                <w:sz w:val="20"/>
                <w:szCs w:val="20"/>
              </w:rPr>
            </w:pPr>
            <w:r w:rsidRPr="00956EBC">
              <w:rPr>
                <w:sz w:val="20"/>
                <w:szCs w:val="20"/>
              </w:rPr>
              <w:lastRenderedPageBreak/>
              <w:t>&lt; 0.001</w:t>
            </w:r>
          </w:p>
          <w:p w14:paraId="37A152F5" w14:textId="77777777" w:rsidR="00DC0632" w:rsidRPr="00956EBC" w:rsidRDefault="00000000" w:rsidP="00956EBC">
            <w:pPr>
              <w:spacing w:line="240" w:lineRule="auto"/>
              <w:rPr>
                <w:sz w:val="20"/>
                <w:szCs w:val="20"/>
              </w:rPr>
            </w:pPr>
            <w:r w:rsidRPr="00956EBC">
              <w:rPr>
                <w:sz w:val="20"/>
                <w:szCs w:val="20"/>
              </w:rPr>
              <w:t>0.022</w:t>
            </w:r>
          </w:p>
          <w:p w14:paraId="42F848A3" w14:textId="77777777" w:rsidR="00DC0632" w:rsidRPr="00956EBC" w:rsidRDefault="00000000" w:rsidP="00956EBC">
            <w:pPr>
              <w:spacing w:line="240" w:lineRule="auto"/>
              <w:rPr>
                <w:sz w:val="20"/>
                <w:szCs w:val="20"/>
              </w:rPr>
            </w:pPr>
            <w:r w:rsidRPr="00956EBC">
              <w:rPr>
                <w:sz w:val="20"/>
                <w:szCs w:val="20"/>
              </w:rPr>
              <w:t>Ref</w:t>
            </w:r>
          </w:p>
        </w:tc>
      </w:tr>
      <w:tr w:rsidR="00DC0632" w:rsidRPr="00956EBC" w14:paraId="7249E890" w14:textId="77777777" w:rsidTr="00956EBC">
        <w:tc>
          <w:tcPr>
            <w:tcW w:w="912" w:type="pct"/>
          </w:tcPr>
          <w:p w14:paraId="1836D50A" w14:textId="77777777" w:rsidR="00DC0632" w:rsidRPr="00956EBC" w:rsidRDefault="00000000" w:rsidP="00956EBC">
            <w:pPr>
              <w:pStyle w:val="Compact"/>
              <w:spacing w:line="240" w:lineRule="auto"/>
              <w:rPr>
                <w:sz w:val="20"/>
                <w:szCs w:val="20"/>
              </w:rPr>
            </w:pPr>
            <w:r w:rsidRPr="00956EBC">
              <w:rPr>
                <w:sz w:val="20"/>
                <w:szCs w:val="20"/>
              </w:rPr>
              <w:lastRenderedPageBreak/>
              <w:t>Wealth Index:</w:t>
            </w:r>
          </w:p>
        </w:tc>
        <w:tc>
          <w:tcPr>
            <w:tcW w:w="890" w:type="pct"/>
          </w:tcPr>
          <w:p w14:paraId="0A97A08D" w14:textId="77777777" w:rsidR="00DC0632" w:rsidRPr="00956EBC" w:rsidRDefault="00DC0632" w:rsidP="00956EBC">
            <w:pPr>
              <w:pStyle w:val="Compact"/>
              <w:spacing w:line="240" w:lineRule="auto"/>
              <w:rPr>
                <w:sz w:val="20"/>
                <w:szCs w:val="20"/>
              </w:rPr>
            </w:pPr>
          </w:p>
        </w:tc>
        <w:tc>
          <w:tcPr>
            <w:tcW w:w="460" w:type="pct"/>
          </w:tcPr>
          <w:p w14:paraId="75F6F25F" w14:textId="77777777" w:rsidR="00DC0632" w:rsidRPr="00956EBC" w:rsidRDefault="00DC0632" w:rsidP="00956EBC">
            <w:pPr>
              <w:pStyle w:val="Compact"/>
              <w:spacing w:line="240" w:lineRule="auto"/>
              <w:rPr>
                <w:sz w:val="20"/>
                <w:szCs w:val="20"/>
              </w:rPr>
            </w:pPr>
          </w:p>
        </w:tc>
        <w:tc>
          <w:tcPr>
            <w:tcW w:w="891" w:type="pct"/>
          </w:tcPr>
          <w:p w14:paraId="1DBD2CB6" w14:textId="77777777" w:rsidR="00DC0632" w:rsidRPr="00956EBC" w:rsidRDefault="00DC0632" w:rsidP="00956EBC">
            <w:pPr>
              <w:pStyle w:val="Compact"/>
              <w:spacing w:line="240" w:lineRule="auto"/>
              <w:rPr>
                <w:sz w:val="20"/>
                <w:szCs w:val="20"/>
              </w:rPr>
            </w:pPr>
          </w:p>
        </w:tc>
        <w:tc>
          <w:tcPr>
            <w:tcW w:w="461" w:type="pct"/>
          </w:tcPr>
          <w:p w14:paraId="7D6901E1" w14:textId="77777777" w:rsidR="00DC0632" w:rsidRPr="00956EBC" w:rsidRDefault="00DC0632" w:rsidP="00956EBC">
            <w:pPr>
              <w:pStyle w:val="Compact"/>
              <w:spacing w:line="240" w:lineRule="auto"/>
              <w:rPr>
                <w:sz w:val="20"/>
                <w:szCs w:val="20"/>
              </w:rPr>
            </w:pPr>
          </w:p>
        </w:tc>
        <w:tc>
          <w:tcPr>
            <w:tcW w:w="916" w:type="pct"/>
          </w:tcPr>
          <w:p w14:paraId="407A04AE" w14:textId="77777777" w:rsidR="00DC0632" w:rsidRPr="00956EBC" w:rsidRDefault="00DC0632" w:rsidP="00956EBC">
            <w:pPr>
              <w:pStyle w:val="Compact"/>
              <w:spacing w:line="240" w:lineRule="auto"/>
              <w:rPr>
                <w:sz w:val="20"/>
                <w:szCs w:val="20"/>
              </w:rPr>
            </w:pPr>
          </w:p>
        </w:tc>
        <w:tc>
          <w:tcPr>
            <w:tcW w:w="469" w:type="pct"/>
          </w:tcPr>
          <w:p w14:paraId="24126F70" w14:textId="77777777" w:rsidR="00DC0632" w:rsidRPr="00956EBC" w:rsidRDefault="00DC0632" w:rsidP="00956EBC">
            <w:pPr>
              <w:pStyle w:val="Compact"/>
              <w:spacing w:line="240" w:lineRule="auto"/>
              <w:rPr>
                <w:sz w:val="20"/>
                <w:szCs w:val="20"/>
              </w:rPr>
            </w:pPr>
          </w:p>
        </w:tc>
      </w:tr>
      <w:tr w:rsidR="00DC0632" w:rsidRPr="00956EBC" w14:paraId="11C87F43" w14:textId="77777777" w:rsidTr="00956EBC">
        <w:tc>
          <w:tcPr>
            <w:tcW w:w="912" w:type="pct"/>
          </w:tcPr>
          <w:p w14:paraId="186BC417" w14:textId="77777777" w:rsidR="00DC0632" w:rsidRPr="00956EBC" w:rsidRDefault="00000000" w:rsidP="00956EBC">
            <w:pPr>
              <w:spacing w:line="240" w:lineRule="auto"/>
              <w:rPr>
                <w:sz w:val="20"/>
                <w:szCs w:val="20"/>
              </w:rPr>
            </w:pPr>
            <w:r w:rsidRPr="00956EBC">
              <w:rPr>
                <w:sz w:val="20"/>
                <w:szCs w:val="20"/>
              </w:rPr>
              <w:t>Poorest</w:t>
            </w:r>
          </w:p>
          <w:p w14:paraId="794E6FDB" w14:textId="77777777" w:rsidR="00DC0632" w:rsidRPr="00956EBC" w:rsidRDefault="00000000" w:rsidP="00956EBC">
            <w:pPr>
              <w:spacing w:line="240" w:lineRule="auto"/>
              <w:rPr>
                <w:sz w:val="20"/>
                <w:szCs w:val="20"/>
              </w:rPr>
            </w:pPr>
            <w:r w:rsidRPr="00956EBC">
              <w:rPr>
                <w:sz w:val="20"/>
                <w:szCs w:val="20"/>
              </w:rPr>
              <w:t>Poorer</w:t>
            </w:r>
          </w:p>
          <w:p w14:paraId="51262C07" w14:textId="77777777" w:rsidR="00DC0632" w:rsidRPr="00956EBC" w:rsidRDefault="00000000" w:rsidP="00956EBC">
            <w:pPr>
              <w:spacing w:line="240" w:lineRule="auto"/>
              <w:rPr>
                <w:sz w:val="20"/>
                <w:szCs w:val="20"/>
              </w:rPr>
            </w:pPr>
            <w:r w:rsidRPr="00956EBC">
              <w:rPr>
                <w:sz w:val="20"/>
                <w:szCs w:val="20"/>
              </w:rPr>
              <w:t>Middle</w:t>
            </w:r>
          </w:p>
          <w:p w14:paraId="4073F1F8" w14:textId="77777777" w:rsidR="00DC0632" w:rsidRPr="00956EBC" w:rsidRDefault="00000000" w:rsidP="00956EBC">
            <w:pPr>
              <w:spacing w:line="240" w:lineRule="auto"/>
              <w:rPr>
                <w:sz w:val="20"/>
                <w:szCs w:val="20"/>
              </w:rPr>
            </w:pPr>
            <w:r w:rsidRPr="00956EBC">
              <w:rPr>
                <w:sz w:val="20"/>
                <w:szCs w:val="20"/>
              </w:rPr>
              <w:t>Richer</w:t>
            </w:r>
          </w:p>
          <w:p w14:paraId="3B168060" w14:textId="77777777" w:rsidR="00DC0632" w:rsidRPr="00956EBC" w:rsidRDefault="00000000" w:rsidP="00956EBC">
            <w:pPr>
              <w:spacing w:line="240" w:lineRule="auto"/>
              <w:rPr>
                <w:sz w:val="20"/>
                <w:szCs w:val="20"/>
              </w:rPr>
            </w:pPr>
            <w:r w:rsidRPr="00956EBC">
              <w:rPr>
                <w:sz w:val="20"/>
                <w:szCs w:val="20"/>
              </w:rPr>
              <w:t>Richest</w:t>
            </w:r>
          </w:p>
        </w:tc>
        <w:tc>
          <w:tcPr>
            <w:tcW w:w="890" w:type="pct"/>
          </w:tcPr>
          <w:p w14:paraId="6947AF13" w14:textId="77777777" w:rsidR="00DC0632" w:rsidRPr="00956EBC" w:rsidRDefault="00000000" w:rsidP="00956EBC">
            <w:pPr>
              <w:spacing w:line="240" w:lineRule="auto"/>
              <w:rPr>
                <w:sz w:val="20"/>
                <w:szCs w:val="20"/>
              </w:rPr>
            </w:pPr>
            <w:r w:rsidRPr="00956EBC">
              <w:rPr>
                <w:sz w:val="20"/>
                <w:szCs w:val="20"/>
              </w:rPr>
              <w:t>1.76 (1.24 - 2.51)</w:t>
            </w:r>
          </w:p>
          <w:p w14:paraId="7E1461B0" w14:textId="77777777" w:rsidR="00DC0632" w:rsidRPr="00956EBC" w:rsidRDefault="00000000" w:rsidP="00956EBC">
            <w:pPr>
              <w:spacing w:line="240" w:lineRule="auto"/>
              <w:rPr>
                <w:sz w:val="20"/>
                <w:szCs w:val="20"/>
              </w:rPr>
            </w:pPr>
            <w:r w:rsidRPr="00956EBC">
              <w:rPr>
                <w:sz w:val="20"/>
                <w:szCs w:val="20"/>
              </w:rPr>
              <w:t>1.33 (0.95 - 1.89)</w:t>
            </w:r>
          </w:p>
          <w:p w14:paraId="6EF48B74" w14:textId="77777777" w:rsidR="00DC0632" w:rsidRPr="00956EBC" w:rsidRDefault="00000000" w:rsidP="00956EBC">
            <w:pPr>
              <w:spacing w:line="240" w:lineRule="auto"/>
              <w:rPr>
                <w:sz w:val="20"/>
                <w:szCs w:val="20"/>
              </w:rPr>
            </w:pPr>
            <w:r w:rsidRPr="00956EBC">
              <w:rPr>
                <w:sz w:val="20"/>
                <w:szCs w:val="20"/>
              </w:rPr>
              <w:t>1.37 (1.00 - 1.90)</w:t>
            </w:r>
          </w:p>
          <w:p w14:paraId="3696DE59" w14:textId="77777777" w:rsidR="00DC0632" w:rsidRPr="00956EBC" w:rsidRDefault="00000000" w:rsidP="00956EBC">
            <w:pPr>
              <w:spacing w:line="240" w:lineRule="auto"/>
              <w:rPr>
                <w:sz w:val="20"/>
                <w:szCs w:val="20"/>
              </w:rPr>
            </w:pPr>
            <w:r w:rsidRPr="00956EBC">
              <w:rPr>
                <w:sz w:val="20"/>
                <w:szCs w:val="20"/>
              </w:rPr>
              <w:t>1.17 (0.86 - 1.59)</w:t>
            </w:r>
          </w:p>
          <w:p w14:paraId="54DCC3E3" w14:textId="77777777" w:rsidR="00DC0632" w:rsidRPr="00956EBC" w:rsidRDefault="00000000" w:rsidP="00956EBC">
            <w:pPr>
              <w:spacing w:line="240" w:lineRule="auto"/>
              <w:rPr>
                <w:sz w:val="20"/>
                <w:szCs w:val="20"/>
              </w:rPr>
            </w:pPr>
            <w:r w:rsidRPr="00956EBC">
              <w:rPr>
                <w:sz w:val="20"/>
                <w:szCs w:val="20"/>
              </w:rPr>
              <w:t>Ref</w:t>
            </w:r>
          </w:p>
        </w:tc>
        <w:tc>
          <w:tcPr>
            <w:tcW w:w="460" w:type="pct"/>
          </w:tcPr>
          <w:p w14:paraId="3453C736" w14:textId="77777777" w:rsidR="00DC0632" w:rsidRPr="00956EBC" w:rsidRDefault="00000000" w:rsidP="00956EBC">
            <w:pPr>
              <w:spacing w:line="240" w:lineRule="auto"/>
              <w:rPr>
                <w:sz w:val="20"/>
                <w:szCs w:val="20"/>
              </w:rPr>
            </w:pPr>
            <w:r w:rsidRPr="00956EBC">
              <w:rPr>
                <w:sz w:val="20"/>
                <w:szCs w:val="20"/>
              </w:rPr>
              <w:t>0.002</w:t>
            </w:r>
          </w:p>
          <w:p w14:paraId="0D0E441A" w14:textId="77777777" w:rsidR="00DC0632" w:rsidRPr="00956EBC" w:rsidRDefault="00000000" w:rsidP="00956EBC">
            <w:pPr>
              <w:spacing w:line="240" w:lineRule="auto"/>
              <w:rPr>
                <w:sz w:val="20"/>
                <w:szCs w:val="20"/>
              </w:rPr>
            </w:pPr>
            <w:r w:rsidRPr="00956EBC">
              <w:rPr>
                <w:sz w:val="20"/>
                <w:szCs w:val="20"/>
              </w:rPr>
              <w:t>0.107</w:t>
            </w:r>
          </w:p>
          <w:p w14:paraId="775758FB" w14:textId="77777777" w:rsidR="00DC0632" w:rsidRPr="00956EBC" w:rsidRDefault="00000000" w:rsidP="00956EBC">
            <w:pPr>
              <w:spacing w:line="240" w:lineRule="auto"/>
              <w:rPr>
                <w:sz w:val="20"/>
                <w:szCs w:val="20"/>
              </w:rPr>
            </w:pPr>
            <w:r w:rsidRPr="00956EBC">
              <w:rPr>
                <w:sz w:val="20"/>
                <w:szCs w:val="20"/>
              </w:rPr>
              <w:t>0.051</w:t>
            </w:r>
          </w:p>
          <w:p w14:paraId="6CFD9695" w14:textId="77777777" w:rsidR="00DC0632" w:rsidRPr="00956EBC" w:rsidRDefault="00000000" w:rsidP="00956EBC">
            <w:pPr>
              <w:spacing w:line="240" w:lineRule="auto"/>
              <w:rPr>
                <w:sz w:val="20"/>
                <w:szCs w:val="20"/>
              </w:rPr>
            </w:pPr>
            <w:r w:rsidRPr="00956EBC">
              <w:rPr>
                <w:sz w:val="20"/>
                <w:szCs w:val="20"/>
              </w:rPr>
              <w:t>0.379</w:t>
            </w:r>
          </w:p>
          <w:p w14:paraId="5786C6A4" w14:textId="77777777" w:rsidR="00DC0632" w:rsidRPr="00956EBC" w:rsidRDefault="00000000" w:rsidP="00956EBC">
            <w:pPr>
              <w:spacing w:line="240" w:lineRule="auto"/>
              <w:rPr>
                <w:sz w:val="20"/>
                <w:szCs w:val="20"/>
              </w:rPr>
            </w:pPr>
            <w:r w:rsidRPr="00956EBC">
              <w:rPr>
                <w:sz w:val="20"/>
                <w:szCs w:val="20"/>
              </w:rPr>
              <w:t>Ref</w:t>
            </w:r>
          </w:p>
        </w:tc>
        <w:tc>
          <w:tcPr>
            <w:tcW w:w="891" w:type="pct"/>
          </w:tcPr>
          <w:p w14:paraId="687F6CCC" w14:textId="77777777" w:rsidR="00DC0632" w:rsidRPr="00956EBC" w:rsidRDefault="00000000" w:rsidP="00956EBC">
            <w:pPr>
              <w:spacing w:line="240" w:lineRule="auto"/>
              <w:rPr>
                <w:sz w:val="20"/>
                <w:szCs w:val="20"/>
              </w:rPr>
            </w:pPr>
            <w:r w:rsidRPr="00956EBC">
              <w:rPr>
                <w:sz w:val="20"/>
                <w:szCs w:val="20"/>
              </w:rPr>
              <w:t>2.46 (2.03 - 2.97)</w:t>
            </w:r>
          </w:p>
          <w:p w14:paraId="7B7DCB89" w14:textId="77777777" w:rsidR="00DC0632" w:rsidRPr="00956EBC" w:rsidRDefault="00000000" w:rsidP="00956EBC">
            <w:pPr>
              <w:spacing w:line="240" w:lineRule="auto"/>
              <w:rPr>
                <w:sz w:val="20"/>
                <w:szCs w:val="20"/>
              </w:rPr>
            </w:pPr>
            <w:r w:rsidRPr="00956EBC">
              <w:rPr>
                <w:sz w:val="20"/>
                <w:szCs w:val="20"/>
              </w:rPr>
              <w:t>2.17 (1.81 - 2.60)</w:t>
            </w:r>
          </w:p>
          <w:p w14:paraId="23F64985" w14:textId="77777777" w:rsidR="00DC0632" w:rsidRPr="00956EBC" w:rsidRDefault="00000000" w:rsidP="00956EBC">
            <w:pPr>
              <w:spacing w:line="240" w:lineRule="auto"/>
              <w:rPr>
                <w:sz w:val="20"/>
                <w:szCs w:val="20"/>
              </w:rPr>
            </w:pPr>
            <w:r w:rsidRPr="00956EBC">
              <w:rPr>
                <w:sz w:val="20"/>
                <w:szCs w:val="20"/>
              </w:rPr>
              <w:t>1.83 (1.55 - 2.16)</w:t>
            </w:r>
          </w:p>
          <w:p w14:paraId="3A6F4BCF" w14:textId="77777777" w:rsidR="00DC0632" w:rsidRPr="00956EBC" w:rsidRDefault="00000000" w:rsidP="00956EBC">
            <w:pPr>
              <w:spacing w:line="240" w:lineRule="auto"/>
              <w:rPr>
                <w:sz w:val="20"/>
                <w:szCs w:val="20"/>
              </w:rPr>
            </w:pPr>
            <w:r w:rsidRPr="00956EBC">
              <w:rPr>
                <w:sz w:val="20"/>
                <w:szCs w:val="20"/>
              </w:rPr>
              <w:t>1.32 (1.12 - 1.56)</w:t>
            </w:r>
          </w:p>
          <w:p w14:paraId="5ABC0B88" w14:textId="77777777" w:rsidR="00DC0632" w:rsidRPr="00956EBC" w:rsidRDefault="00000000" w:rsidP="00956EBC">
            <w:pPr>
              <w:spacing w:line="240" w:lineRule="auto"/>
              <w:rPr>
                <w:sz w:val="20"/>
                <w:szCs w:val="20"/>
              </w:rPr>
            </w:pPr>
            <w:r w:rsidRPr="00956EBC">
              <w:rPr>
                <w:sz w:val="20"/>
                <w:szCs w:val="20"/>
              </w:rPr>
              <w:t>Ref</w:t>
            </w:r>
          </w:p>
        </w:tc>
        <w:tc>
          <w:tcPr>
            <w:tcW w:w="461" w:type="pct"/>
          </w:tcPr>
          <w:p w14:paraId="7B13373F" w14:textId="77777777" w:rsidR="00DC0632" w:rsidRPr="00956EBC" w:rsidRDefault="00000000" w:rsidP="00956EBC">
            <w:pPr>
              <w:spacing w:line="240" w:lineRule="auto"/>
              <w:rPr>
                <w:sz w:val="20"/>
                <w:szCs w:val="20"/>
              </w:rPr>
            </w:pPr>
            <w:r w:rsidRPr="00956EBC">
              <w:rPr>
                <w:sz w:val="20"/>
                <w:szCs w:val="20"/>
              </w:rPr>
              <w:t>&lt; 0.001</w:t>
            </w:r>
          </w:p>
          <w:p w14:paraId="2B3B59BC" w14:textId="77777777" w:rsidR="00DC0632" w:rsidRPr="00956EBC" w:rsidRDefault="00000000" w:rsidP="00956EBC">
            <w:pPr>
              <w:spacing w:line="240" w:lineRule="auto"/>
              <w:rPr>
                <w:sz w:val="20"/>
                <w:szCs w:val="20"/>
              </w:rPr>
            </w:pPr>
            <w:r w:rsidRPr="00956EBC">
              <w:rPr>
                <w:sz w:val="20"/>
                <w:szCs w:val="20"/>
              </w:rPr>
              <w:t>&lt; 0.001</w:t>
            </w:r>
          </w:p>
          <w:p w14:paraId="1EEE3FDD" w14:textId="77777777" w:rsidR="00DC0632" w:rsidRPr="00956EBC" w:rsidRDefault="00000000" w:rsidP="00956EBC">
            <w:pPr>
              <w:spacing w:line="240" w:lineRule="auto"/>
              <w:rPr>
                <w:sz w:val="20"/>
                <w:szCs w:val="20"/>
              </w:rPr>
            </w:pPr>
            <w:r w:rsidRPr="00956EBC">
              <w:rPr>
                <w:sz w:val="20"/>
                <w:szCs w:val="20"/>
              </w:rPr>
              <w:t>&lt; 0.001</w:t>
            </w:r>
          </w:p>
          <w:p w14:paraId="3514CE76" w14:textId="77777777" w:rsidR="00DC0632" w:rsidRPr="00956EBC" w:rsidRDefault="00000000" w:rsidP="00956EBC">
            <w:pPr>
              <w:spacing w:line="240" w:lineRule="auto"/>
              <w:rPr>
                <w:sz w:val="20"/>
                <w:szCs w:val="20"/>
              </w:rPr>
            </w:pPr>
            <w:r w:rsidRPr="00956EBC">
              <w:rPr>
                <w:sz w:val="20"/>
                <w:szCs w:val="20"/>
              </w:rPr>
              <w:t>0.001</w:t>
            </w:r>
          </w:p>
          <w:p w14:paraId="7A416226" w14:textId="77777777" w:rsidR="00DC0632" w:rsidRPr="00956EBC" w:rsidRDefault="00000000" w:rsidP="00956EBC">
            <w:pPr>
              <w:spacing w:line="240" w:lineRule="auto"/>
              <w:rPr>
                <w:sz w:val="20"/>
                <w:szCs w:val="20"/>
              </w:rPr>
            </w:pPr>
            <w:r w:rsidRPr="00956EBC">
              <w:rPr>
                <w:sz w:val="20"/>
                <w:szCs w:val="20"/>
              </w:rPr>
              <w:t>Ref</w:t>
            </w:r>
          </w:p>
        </w:tc>
        <w:tc>
          <w:tcPr>
            <w:tcW w:w="916" w:type="pct"/>
          </w:tcPr>
          <w:p w14:paraId="395F517A" w14:textId="77777777" w:rsidR="00DC0632" w:rsidRPr="00956EBC" w:rsidRDefault="00000000" w:rsidP="00956EBC">
            <w:pPr>
              <w:spacing w:line="240" w:lineRule="auto"/>
              <w:rPr>
                <w:sz w:val="20"/>
                <w:szCs w:val="20"/>
              </w:rPr>
            </w:pPr>
            <w:r w:rsidRPr="00956EBC">
              <w:rPr>
                <w:sz w:val="20"/>
                <w:szCs w:val="20"/>
              </w:rPr>
              <w:t>2.09 (1.68 - 2.62)</w:t>
            </w:r>
          </w:p>
          <w:p w14:paraId="18C590F6" w14:textId="77777777" w:rsidR="00DC0632" w:rsidRPr="00956EBC" w:rsidRDefault="00000000" w:rsidP="00956EBC">
            <w:pPr>
              <w:spacing w:line="240" w:lineRule="auto"/>
              <w:rPr>
                <w:sz w:val="20"/>
                <w:szCs w:val="20"/>
              </w:rPr>
            </w:pPr>
            <w:r w:rsidRPr="00956EBC">
              <w:rPr>
                <w:sz w:val="20"/>
                <w:szCs w:val="20"/>
              </w:rPr>
              <w:t>1.70 (1.37 - 2.10)</w:t>
            </w:r>
          </w:p>
          <w:p w14:paraId="6E56E676" w14:textId="77777777" w:rsidR="00DC0632" w:rsidRPr="00956EBC" w:rsidRDefault="00000000" w:rsidP="00956EBC">
            <w:pPr>
              <w:spacing w:line="240" w:lineRule="auto"/>
              <w:rPr>
                <w:sz w:val="20"/>
                <w:szCs w:val="20"/>
              </w:rPr>
            </w:pPr>
            <w:r w:rsidRPr="00956EBC">
              <w:rPr>
                <w:sz w:val="20"/>
                <w:szCs w:val="20"/>
              </w:rPr>
              <w:t>1.51 (1.24 - 1.86)</w:t>
            </w:r>
          </w:p>
          <w:p w14:paraId="16D42672" w14:textId="77777777" w:rsidR="00DC0632" w:rsidRPr="00956EBC" w:rsidRDefault="00000000" w:rsidP="00956EBC">
            <w:pPr>
              <w:spacing w:line="240" w:lineRule="auto"/>
              <w:rPr>
                <w:sz w:val="20"/>
                <w:szCs w:val="20"/>
              </w:rPr>
            </w:pPr>
            <w:r w:rsidRPr="00956EBC">
              <w:rPr>
                <w:sz w:val="20"/>
                <w:szCs w:val="20"/>
              </w:rPr>
              <w:t>1.19 (0.98 - 1.46)</w:t>
            </w:r>
          </w:p>
          <w:p w14:paraId="63D39457" w14:textId="77777777" w:rsidR="00DC0632" w:rsidRPr="00956EBC" w:rsidRDefault="00000000" w:rsidP="00956EBC">
            <w:pPr>
              <w:spacing w:line="240" w:lineRule="auto"/>
              <w:rPr>
                <w:sz w:val="20"/>
                <w:szCs w:val="20"/>
              </w:rPr>
            </w:pPr>
            <w:r w:rsidRPr="00956EBC">
              <w:rPr>
                <w:sz w:val="20"/>
                <w:szCs w:val="20"/>
              </w:rPr>
              <w:t>Ref</w:t>
            </w:r>
          </w:p>
        </w:tc>
        <w:tc>
          <w:tcPr>
            <w:tcW w:w="469" w:type="pct"/>
          </w:tcPr>
          <w:p w14:paraId="46EEBEE6" w14:textId="77777777" w:rsidR="00DC0632" w:rsidRPr="00956EBC" w:rsidRDefault="00000000" w:rsidP="00956EBC">
            <w:pPr>
              <w:spacing w:line="240" w:lineRule="auto"/>
              <w:rPr>
                <w:sz w:val="20"/>
                <w:szCs w:val="20"/>
              </w:rPr>
            </w:pPr>
            <w:r w:rsidRPr="00956EBC">
              <w:rPr>
                <w:sz w:val="20"/>
                <w:szCs w:val="20"/>
              </w:rPr>
              <w:t>&lt; 0.001</w:t>
            </w:r>
          </w:p>
          <w:p w14:paraId="501E499B" w14:textId="77777777" w:rsidR="00DC0632" w:rsidRPr="00956EBC" w:rsidRDefault="00000000" w:rsidP="00956EBC">
            <w:pPr>
              <w:spacing w:line="240" w:lineRule="auto"/>
              <w:rPr>
                <w:sz w:val="20"/>
                <w:szCs w:val="20"/>
              </w:rPr>
            </w:pPr>
            <w:r w:rsidRPr="00956EBC">
              <w:rPr>
                <w:sz w:val="20"/>
                <w:szCs w:val="20"/>
              </w:rPr>
              <w:t>&lt; 0.001</w:t>
            </w:r>
          </w:p>
          <w:p w14:paraId="34FAA729" w14:textId="77777777" w:rsidR="00DC0632" w:rsidRPr="00956EBC" w:rsidRDefault="00000000" w:rsidP="00956EBC">
            <w:pPr>
              <w:spacing w:line="240" w:lineRule="auto"/>
              <w:rPr>
                <w:sz w:val="20"/>
                <w:szCs w:val="20"/>
              </w:rPr>
            </w:pPr>
            <w:r w:rsidRPr="00956EBC">
              <w:rPr>
                <w:sz w:val="20"/>
                <w:szCs w:val="20"/>
              </w:rPr>
              <w:t>&lt; 0.001</w:t>
            </w:r>
          </w:p>
          <w:p w14:paraId="0EEBA04C" w14:textId="77777777" w:rsidR="00DC0632" w:rsidRPr="00956EBC" w:rsidRDefault="00000000" w:rsidP="00956EBC">
            <w:pPr>
              <w:spacing w:line="240" w:lineRule="auto"/>
              <w:rPr>
                <w:sz w:val="20"/>
                <w:szCs w:val="20"/>
              </w:rPr>
            </w:pPr>
            <w:r w:rsidRPr="00956EBC">
              <w:rPr>
                <w:sz w:val="20"/>
                <w:szCs w:val="20"/>
              </w:rPr>
              <w:t>0.081</w:t>
            </w:r>
          </w:p>
          <w:p w14:paraId="00713345" w14:textId="77777777" w:rsidR="00DC0632" w:rsidRPr="00956EBC" w:rsidRDefault="00000000" w:rsidP="00956EBC">
            <w:pPr>
              <w:spacing w:line="240" w:lineRule="auto"/>
              <w:rPr>
                <w:sz w:val="20"/>
                <w:szCs w:val="20"/>
              </w:rPr>
            </w:pPr>
            <w:r w:rsidRPr="00956EBC">
              <w:rPr>
                <w:sz w:val="20"/>
                <w:szCs w:val="20"/>
              </w:rPr>
              <w:t>Ref</w:t>
            </w:r>
          </w:p>
        </w:tc>
      </w:tr>
      <w:tr w:rsidR="00DC0632" w:rsidRPr="00956EBC" w14:paraId="7EE7E755" w14:textId="77777777" w:rsidTr="00956EBC">
        <w:tc>
          <w:tcPr>
            <w:tcW w:w="912" w:type="pct"/>
          </w:tcPr>
          <w:p w14:paraId="53C6F2B9" w14:textId="77777777" w:rsidR="00DC0632" w:rsidRPr="00956EBC" w:rsidRDefault="00000000" w:rsidP="00956EBC">
            <w:pPr>
              <w:pStyle w:val="Compact"/>
              <w:spacing w:line="240" w:lineRule="auto"/>
              <w:rPr>
                <w:sz w:val="20"/>
                <w:szCs w:val="20"/>
              </w:rPr>
            </w:pPr>
            <w:r w:rsidRPr="00956EBC">
              <w:rPr>
                <w:sz w:val="20"/>
                <w:szCs w:val="20"/>
              </w:rPr>
              <w:t>Employment:</w:t>
            </w:r>
          </w:p>
        </w:tc>
        <w:tc>
          <w:tcPr>
            <w:tcW w:w="890" w:type="pct"/>
          </w:tcPr>
          <w:p w14:paraId="125A9031" w14:textId="77777777" w:rsidR="00DC0632" w:rsidRPr="00956EBC" w:rsidRDefault="00DC0632" w:rsidP="00956EBC">
            <w:pPr>
              <w:pStyle w:val="Compact"/>
              <w:spacing w:line="240" w:lineRule="auto"/>
              <w:rPr>
                <w:sz w:val="20"/>
                <w:szCs w:val="20"/>
              </w:rPr>
            </w:pPr>
          </w:p>
        </w:tc>
        <w:tc>
          <w:tcPr>
            <w:tcW w:w="460" w:type="pct"/>
          </w:tcPr>
          <w:p w14:paraId="375A7607" w14:textId="77777777" w:rsidR="00DC0632" w:rsidRPr="00956EBC" w:rsidRDefault="00DC0632" w:rsidP="00956EBC">
            <w:pPr>
              <w:pStyle w:val="Compact"/>
              <w:spacing w:line="240" w:lineRule="auto"/>
              <w:rPr>
                <w:sz w:val="20"/>
                <w:szCs w:val="20"/>
              </w:rPr>
            </w:pPr>
          </w:p>
        </w:tc>
        <w:tc>
          <w:tcPr>
            <w:tcW w:w="891" w:type="pct"/>
          </w:tcPr>
          <w:p w14:paraId="246EB64C" w14:textId="77777777" w:rsidR="00DC0632" w:rsidRPr="00956EBC" w:rsidRDefault="00DC0632" w:rsidP="00956EBC">
            <w:pPr>
              <w:pStyle w:val="Compact"/>
              <w:spacing w:line="240" w:lineRule="auto"/>
              <w:rPr>
                <w:sz w:val="20"/>
                <w:szCs w:val="20"/>
              </w:rPr>
            </w:pPr>
          </w:p>
        </w:tc>
        <w:tc>
          <w:tcPr>
            <w:tcW w:w="461" w:type="pct"/>
          </w:tcPr>
          <w:p w14:paraId="46544D96" w14:textId="77777777" w:rsidR="00DC0632" w:rsidRPr="00956EBC" w:rsidRDefault="00DC0632" w:rsidP="00956EBC">
            <w:pPr>
              <w:pStyle w:val="Compact"/>
              <w:spacing w:line="240" w:lineRule="auto"/>
              <w:rPr>
                <w:sz w:val="20"/>
                <w:szCs w:val="20"/>
              </w:rPr>
            </w:pPr>
          </w:p>
        </w:tc>
        <w:tc>
          <w:tcPr>
            <w:tcW w:w="916" w:type="pct"/>
          </w:tcPr>
          <w:p w14:paraId="2B315460" w14:textId="77777777" w:rsidR="00DC0632" w:rsidRPr="00956EBC" w:rsidRDefault="00DC0632" w:rsidP="00956EBC">
            <w:pPr>
              <w:pStyle w:val="Compact"/>
              <w:spacing w:line="240" w:lineRule="auto"/>
              <w:rPr>
                <w:sz w:val="20"/>
                <w:szCs w:val="20"/>
              </w:rPr>
            </w:pPr>
          </w:p>
        </w:tc>
        <w:tc>
          <w:tcPr>
            <w:tcW w:w="469" w:type="pct"/>
          </w:tcPr>
          <w:p w14:paraId="1E7EBB66" w14:textId="77777777" w:rsidR="00DC0632" w:rsidRPr="00956EBC" w:rsidRDefault="00DC0632" w:rsidP="00956EBC">
            <w:pPr>
              <w:pStyle w:val="Compact"/>
              <w:spacing w:line="240" w:lineRule="auto"/>
              <w:rPr>
                <w:sz w:val="20"/>
                <w:szCs w:val="20"/>
              </w:rPr>
            </w:pPr>
          </w:p>
        </w:tc>
      </w:tr>
      <w:tr w:rsidR="00DC0632" w:rsidRPr="00956EBC" w14:paraId="3B5DC1E5" w14:textId="77777777" w:rsidTr="00956EBC">
        <w:tc>
          <w:tcPr>
            <w:tcW w:w="912" w:type="pct"/>
          </w:tcPr>
          <w:p w14:paraId="21A29953" w14:textId="77777777" w:rsidR="00DC0632" w:rsidRPr="00956EBC" w:rsidRDefault="00000000" w:rsidP="00956EBC">
            <w:pPr>
              <w:spacing w:line="240" w:lineRule="auto"/>
              <w:rPr>
                <w:sz w:val="20"/>
                <w:szCs w:val="20"/>
              </w:rPr>
            </w:pPr>
            <w:r w:rsidRPr="00956EBC">
              <w:rPr>
                <w:sz w:val="20"/>
                <w:szCs w:val="20"/>
              </w:rPr>
              <w:t>Not Employed</w:t>
            </w:r>
          </w:p>
          <w:p w14:paraId="75E0B8ED" w14:textId="77777777" w:rsidR="00DC0632" w:rsidRPr="00956EBC" w:rsidRDefault="00000000" w:rsidP="00956EBC">
            <w:pPr>
              <w:spacing w:line="240" w:lineRule="auto"/>
              <w:rPr>
                <w:sz w:val="20"/>
                <w:szCs w:val="20"/>
              </w:rPr>
            </w:pPr>
            <w:r w:rsidRPr="00956EBC">
              <w:rPr>
                <w:sz w:val="20"/>
                <w:szCs w:val="20"/>
              </w:rPr>
              <w:t>Employed</w:t>
            </w:r>
          </w:p>
        </w:tc>
        <w:tc>
          <w:tcPr>
            <w:tcW w:w="890" w:type="pct"/>
          </w:tcPr>
          <w:p w14:paraId="492349A5" w14:textId="77777777" w:rsidR="00DC0632" w:rsidRPr="00956EBC" w:rsidRDefault="00000000" w:rsidP="00956EBC">
            <w:pPr>
              <w:spacing w:line="240" w:lineRule="auto"/>
              <w:rPr>
                <w:sz w:val="20"/>
                <w:szCs w:val="20"/>
              </w:rPr>
            </w:pPr>
            <w:r w:rsidRPr="00956EBC">
              <w:rPr>
                <w:sz w:val="20"/>
                <w:szCs w:val="20"/>
              </w:rPr>
              <w:t>0.91 (0.77 - 1.07)</w:t>
            </w:r>
          </w:p>
          <w:p w14:paraId="69CD07FF" w14:textId="77777777" w:rsidR="00DC0632" w:rsidRPr="00956EBC" w:rsidRDefault="00000000" w:rsidP="00956EBC">
            <w:pPr>
              <w:spacing w:line="240" w:lineRule="auto"/>
              <w:rPr>
                <w:sz w:val="20"/>
                <w:szCs w:val="20"/>
              </w:rPr>
            </w:pPr>
            <w:r w:rsidRPr="00956EBC">
              <w:rPr>
                <w:sz w:val="20"/>
                <w:szCs w:val="20"/>
              </w:rPr>
              <w:t>Ref</w:t>
            </w:r>
          </w:p>
        </w:tc>
        <w:tc>
          <w:tcPr>
            <w:tcW w:w="460" w:type="pct"/>
          </w:tcPr>
          <w:p w14:paraId="79B89F4B" w14:textId="77777777" w:rsidR="00DC0632" w:rsidRPr="00956EBC" w:rsidRDefault="00000000" w:rsidP="00956EBC">
            <w:pPr>
              <w:spacing w:line="240" w:lineRule="auto"/>
              <w:rPr>
                <w:sz w:val="20"/>
                <w:szCs w:val="20"/>
              </w:rPr>
            </w:pPr>
            <w:r w:rsidRPr="00956EBC">
              <w:rPr>
                <w:sz w:val="20"/>
                <w:szCs w:val="20"/>
              </w:rPr>
              <w:t>0.248</w:t>
            </w:r>
          </w:p>
          <w:p w14:paraId="3AC40266" w14:textId="77777777" w:rsidR="00DC0632" w:rsidRPr="00956EBC" w:rsidRDefault="00000000" w:rsidP="00956EBC">
            <w:pPr>
              <w:spacing w:line="240" w:lineRule="auto"/>
              <w:rPr>
                <w:sz w:val="20"/>
                <w:szCs w:val="20"/>
              </w:rPr>
            </w:pPr>
            <w:r w:rsidRPr="00956EBC">
              <w:rPr>
                <w:sz w:val="20"/>
                <w:szCs w:val="20"/>
              </w:rPr>
              <w:t>Ref</w:t>
            </w:r>
          </w:p>
        </w:tc>
        <w:tc>
          <w:tcPr>
            <w:tcW w:w="891" w:type="pct"/>
          </w:tcPr>
          <w:p w14:paraId="0C9CCA2A" w14:textId="77777777" w:rsidR="00DC0632" w:rsidRPr="00956EBC" w:rsidRDefault="00000000" w:rsidP="00956EBC">
            <w:pPr>
              <w:spacing w:line="240" w:lineRule="auto"/>
              <w:rPr>
                <w:sz w:val="20"/>
                <w:szCs w:val="20"/>
              </w:rPr>
            </w:pPr>
            <w:r w:rsidRPr="00956EBC">
              <w:rPr>
                <w:sz w:val="20"/>
                <w:szCs w:val="20"/>
              </w:rPr>
              <w:t>1.04 (0.93 - 1.11)</w:t>
            </w:r>
          </w:p>
          <w:p w14:paraId="76046F31" w14:textId="77777777" w:rsidR="00DC0632" w:rsidRPr="00956EBC" w:rsidRDefault="00000000" w:rsidP="00956EBC">
            <w:pPr>
              <w:spacing w:line="240" w:lineRule="auto"/>
              <w:rPr>
                <w:sz w:val="20"/>
                <w:szCs w:val="20"/>
              </w:rPr>
            </w:pPr>
            <w:r w:rsidRPr="00956EBC">
              <w:rPr>
                <w:sz w:val="20"/>
                <w:szCs w:val="20"/>
              </w:rPr>
              <w:t>Ref</w:t>
            </w:r>
          </w:p>
        </w:tc>
        <w:tc>
          <w:tcPr>
            <w:tcW w:w="461" w:type="pct"/>
          </w:tcPr>
          <w:p w14:paraId="232AA503" w14:textId="77777777" w:rsidR="00DC0632" w:rsidRPr="00956EBC" w:rsidRDefault="00000000" w:rsidP="00956EBC">
            <w:pPr>
              <w:spacing w:line="240" w:lineRule="auto"/>
              <w:rPr>
                <w:sz w:val="20"/>
                <w:szCs w:val="20"/>
              </w:rPr>
            </w:pPr>
            <w:r w:rsidRPr="00956EBC">
              <w:rPr>
                <w:sz w:val="20"/>
                <w:szCs w:val="20"/>
              </w:rPr>
              <w:t>0.783</w:t>
            </w:r>
          </w:p>
          <w:p w14:paraId="36092175" w14:textId="77777777" w:rsidR="00DC0632" w:rsidRPr="00956EBC" w:rsidRDefault="00000000" w:rsidP="00956EBC">
            <w:pPr>
              <w:spacing w:line="240" w:lineRule="auto"/>
              <w:rPr>
                <w:sz w:val="20"/>
                <w:szCs w:val="20"/>
              </w:rPr>
            </w:pPr>
            <w:r w:rsidRPr="00956EBC">
              <w:rPr>
                <w:sz w:val="20"/>
                <w:szCs w:val="20"/>
              </w:rPr>
              <w:t>Ref</w:t>
            </w:r>
          </w:p>
        </w:tc>
        <w:tc>
          <w:tcPr>
            <w:tcW w:w="916" w:type="pct"/>
          </w:tcPr>
          <w:p w14:paraId="17555648" w14:textId="77777777" w:rsidR="00DC0632" w:rsidRPr="00956EBC" w:rsidRDefault="00000000" w:rsidP="00956EBC">
            <w:pPr>
              <w:spacing w:line="240" w:lineRule="auto"/>
              <w:rPr>
                <w:sz w:val="20"/>
                <w:szCs w:val="20"/>
              </w:rPr>
            </w:pPr>
            <w:r w:rsidRPr="00956EBC">
              <w:rPr>
                <w:sz w:val="20"/>
                <w:szCs w:val="20"/>
              </w:rPr>
              <w:t>1.11 (1.00 - 1.23)</w:t>
            </w:r>
          </w:p>
          <w:p w14:paraId="3FDBB44A" w14:textId="77777777" w:rsidR="00DC0632" w:rsidRPr="00956EBC" w:rsidRDefault="00000000" w:rsidP="00956EBC">
            <w:pPr>
              <w:spacing w:line="240" w:lineRule="auto"/>
              <w:rPr>
                <w:sz w:val="20"/>
                <w:szCs w:val="20"/>
              </w:rPr>
            </w:pPr>
            <w:r w:rsidRPr="00956EBC">
              <w:rPr>
                <w:sz w:val="20"/>
                <w:szCs w:val="20"/>
              </w:rPr>
              <w:t>Ref</w:t>
            </w:r>
          </w:p>
        </w:tc>
        <w:tc>
          <w:tcPr>
            <w:tcW w:w="469" w:type="pct"/>
          </w:tcPr>
          <w:p w14:paraId="6AA05432" w14:textId="77777777" w:rsidR="00DC0632" w:rsidRPr="00956EBC" w:rsidRDefault="00000000" w:rsidP="00956EBC">
            <w:pPr>
              <w:spacing w:line="240" w:lineRule="auto"/>
              <w:rPr>
                <w:sz w:val="20"/>
                <w:szCs w:val="20"/>
              </w:rPr>
            </w:pPr>
            <w:r w:rsidRPr="00956EBC">
              <w:rPr>
                <w:sz w:val="20"/>
                <w:szCs w:val="20"/>
              </w:rPr>
              <w:t>0.040</w:t>
            </w:r>
          </w:p>
          <w:p w14:paraId="23CAEFC9" w14:textId="77777777" w:rsidR="00DC0632" w:rsidRPr="00956EBC" w:rsidRDefault="00000000" w:rsidP="00956EBC">
            <w:pPr>
              <w:spacing w:line="240" w:lineRule="auto"/>
              <w:rPr>
                <w:sz w:val="20"/>
                <w:szCs w:val="20"/>
              </w:rPr>
            </w:pPr>
            <w:r w:rsidRPr="00956EBC">
              <w:rPr>
                <w:sz w:val="20"/>
                <w:szCs w:val="20"/>
              </w:rPr>
              <w:t>Ref</w:t>
            </w:r>
          </w:p>
        </w:tc>
      </w:tr>
    </w:tbl>
    <w:p w14:paraId="59D0364F" w14:textId="77777777" w:rsidR="00956EBC" w:rsidRDefault="00956EBC">
      <w:pPr>
        <w:pStyle w:val="BodyText"/>
      </w:pPr>
    </w:p>
    <w:p w14:paraId="16E439CC" w14:textId="1629B9F9" w:rsidR="00DC0632" w:rsidRDefault="00000000">
      <w:pPr>
        <w:pStyle w:val="BodyText"/>
      </w:pPr>
      <w:r>
        <w:t>Children living in the North had 38% (</w:t>
      </w:r>
      <w:proofErr w:type="spellStart"/>
      <w:r>
        <w:t>aOR</w:t>
      </w:r>
      <w:proofErr w:type="spellEnd"/>
      <w:r>
        <w:t xml:space="preserve"> = 1·38; 95 % CI 1·21, 1·57; p &lt;0.001), 66% (</w:t>
      </w:r>
      <w:proofErr w:type="spellStart"/>
      <w:r>
        <w:t>aOR</w:t>
      </w:r>
      <w:proofErr w:type="spellEnd"/>
      <w:r>
        <w:t xml:space="preserve"> = 1·66; 95 % CI 1·49, 1·85; p &lt;0.001), and 30% (</w:t>
      </w:r>
      <w:proofErr w:type="spellStart"/>
      <w:r>
        <w:t>aOR</w:t>
      </w:r>
      <w:proofErr w:type="spellEnd"/>
      <w:r>
        <w:t xml:space="preserve"> = 1·30; 95 % CI 1·06, 1·61; p =0.017) higher odds of being underweight, stunted, and wasted respectively compared to children in the South after accounting for differences in maternal deprivation factors and age and sex of the child. Urban or rural place of residence had no statistically significant relationship with undernutrition.</w:t>
      </w:r>
    </w:p>
    <w:p w14:paraId="4C8A0526" w14:textId="77777777" w:rsidR="00DC0632" w:rsidRDefault="00000000">
      <w:pPr>
        <w:pStyle w:val="BodyText"/>
      </w:pPr>
      <w:r>
        <w:t>Factors that increased the odds of being underweight were having a mother without formal education (</w:t>
      </w:r>
      <w:proofErr w:type="spellStart"/>
      <w:r>
        <w:t>aOR</w:t>
      </w:r>
      <w:proofErr w:type="spellEnd"/>
      <w:r>
        <w:t xml:space="preserve"> = 2.81; 95 % CI 2.18, 3.66; p &lt;0.001), or with primary (</w:t>
      </w:r>
      <w:proofErr w:type="spellStart"/>
      <w:r>
        <w:t>aOR</w:t>
      </w:r>
      <w:proofErr w:type="spellEnd"/>
      <w:r>
        <w:t xml:space="preserve"> = 1·55; 95 % CI 1·19, 2.04; p &lt;0.001) or secondary education (</w:t>
      </w:r>
      <w:proofErr w:type="spellStart"/>
      <w:r>
        <w:t>aOR</w:t>
      </w:r>
      <w:proofErr w:type="spellEnd"/>
      <w:r>
        <w:t xml:space="preserve"> = 1·33; 95 % CI 1.04, 1.70; p =0.022) only; unemployed mother (</w:t>
      </w:r>
      <w:proofErr w:type="spellStart"/>
      <w:r>
        <w:t>aOR</w:t>
      </w:r>
      <w:proofErr w:type="spellEnd"/>
      <w:r>
        <w:t xml:space="preserve"> = 1·11; 95 % CI 1·00, 1·23; p =0.040), and being from a poorest (</w:t>
      </w:r>
      <w:proofErr w:type="spellStart"/>
      <w:r>
        <w:t>aOR</w:t>
      </w:r>
      <w:proofErr w:type="spellEnd"/>
      <w:r>
        <w:t xml:space="preserve"> = 2.09; 95 % CI 1.68, 2.62; </w:t>
      </w:r>
      <w:r>
        <w:lastRenderedPageBreak/>
        <w:t>p &lt;0.001), poorer (</w:t>
      </w:r>
      <w:proofErr w:type="spellStart"/>
      <w:r>
        <w:t>aOR</w:t>
      </w:r>
      <w:proofErr w:type="spellEnd"/>
      <w:r>
        <w:t xml:space="preserve"> = 1·70; 95 % CI 1.37, 2.10; p &lt;0.001), or middle (</w:t>
      </w:r>
      <w:proofErr w:type="spellStart"/>
      <w:r>
        <w:t>aOR</w:t>
      </w:r>
      <w:proofErr w:type="spellEnd"/>
      <w:r>
        <w:t xml:space="preserve"> = 1·51; 95 % CI 1·24, 1·86; p &lt;0.001) wealth index household.</w:t>
      </w:r>
    </w:p>
    <w:p w14:paraId="65F46BED" w14:textId="77777777" w:rsidR="00DC0632" w:rsidRDefault="00000000">
      <w:pPr>
        <w:pStyle w:val="BodyText"/>
      </w:pPr>
      <w:r>
        <w:t>Factors that increased the odds of being stunted were having a mother without formal education (</w:t>
      </w:r>
      <w:proofErr w:type="spellStart"/>
      <w:r>
        <w:t>aOR</w:t>
      </w:r>
      <w:proofErr w:type="spellEnd"/>
      <w:r>
        <w:t xml:space="preserve"> = 3.20; 95 % CI 2.58, 4.00; p &lt;0.001), or with primary (</w:t>
      </w:r>
      <w:proofErr w:type="spellStart"/>
      <w:r>
        <w:t>aOR</w:t>
      </w:r>
      <w:proofErr w:type="spellEnd"/>
      <w:r>
        <w:t xml:space="preserve"> = 2.31; 95 % CI 1·85, 2.89; p &lt;0.001) or secondary education (</w:t>
      </w:r>
      <w:proofErr w:type="spellStart"/>
      <w:r>
        <w:t>aOR</w:t>
      </w:r>
      <w:proofErr w:type="spellEnd"/>
      <w:r>
        <w:t xml:space="preserve"> = 1·64; 95 % CI 1.34, 2.02; p &lt;0.001) only; and being from a poorest (</w:t>
      </w:r>
      <w:proofErr w:type="spellStart"/>
      <w:r>
        <w:t>aOR</w:t>
      </w:r>
      <w:proofErr w:type="spellEnd"/>
      <w:r>
        <w:t xml:space="preserve"> = 2.46; 95 % CI 2.03, 2.97; p &lt;0.001), poorer (</w:t>
      </w:r>
      <w:proofErr w:type="spellStart"/>
      <w:r>
        <w:t>aOR</w:t>
      </w:r>
      <w:proofErr w:type="spellEnd"/>
      <w:r>
        <w:t xml:space="preserve"> = 2.17; 95 % CI 1.81, 2.60; p &lt;0.001), middle (</w:t>
      </w:r>
      <w:proofErr w:type="spellStart"/>
      <w:r>
        <w:t>aOR</w:t>
      </w:r>
      <w:proofErr w:type="spellEnd"/>
      <w:r>
        <w:t xml:space="preserve"> = 1·83; 95 % CI 1·55, 2.16; p &lt;0.001), or richer (</w:t>
      </w:r>
      <w:proofErr w:type="spellStart"/>
      <w:r>
        <w:t>aOR</w:t>
      </w:r>
      <w:proofErr w:type="spellEnd"/>
      <w:r>
        <w:t xml:space="preserve"> = 1.32; 95 % CI 1.12, 1.56; p =0.001) wealth index household.</w:t>
      </w:r>
    </w:p>
    <w:p w14:paraId="6CDD5D3A" w14:textId="77777777" w:rsidR="00DC0632" w:rsidRDefault="00000000">
      <w:pPr>
        <w:pStyle w:val="BodyText"/>
      </w:pPr>
      <w:r>
        <w:t>Children who were from the poorest wealth index households had 76% higher odds of being wasted than children from the richest households (</w:t>
      </w:r>
      <w:proofErr w:type="spellStart"/>
      <w:r>
        <w:t>aOR</w:t>
      </w:r>
      <w:proofErr w:type="spellEnd"/>
      <w:r>
        <w:t xml:space="preserve"> = 1·76; 95 % CI 1.24, 2.51; p =0.002). Children whose mothers had no formal education had 53% (</w:t>
      </w:r>
      <w:proofErr w:type="spellStart"/>
      <w:r>
        <w:t>aOR</w:t>
      </w:r>
      <w:proofErr w:type="spellEnd"/>
      <w:r>
        <w:t xml:space="preserve"> = 1.53; 95 % CI 1.05, 2.26; p =0.031) higher odds of being wasted than children whose mothers had higher education.</w:t>
      </w:r>
    </w:p>
    <w:p w14:paraId="034E7D20" w14:textId="77777777" w:rsidR="00DC0632" w:rsidRDefault="00000000">
      <w:pPr>
        <w:pStyle w:val="Heading4"/>
      </w:pPr>
      <w:bookmarkStart w:id="18" w:name="X3780b709d4c501b5471ee259173d5d6914e51ef"/>
      <w:bookmarkEnd w:id="17"/>
      <w:r>
        <w:t xml:space="preserve">Association Between Maternal Deprivation Factors </w:t>
      </w:r>
      <w:proofErr w:type="gramStart"/>
      <w:r>
        <w:t>And</w:t>
      </w:r>
      <w:proofErr w:type="gramEnd"/>
      <w:r>
        <w:t xml:space="preserve"> Undernutrition by Region</w:t>
      </w:r>
    </w:p>
    <w:p w14:paraId="7522DC42" w14:textId="77777777" w:rsidR="00DC0632" w:rsidRDefault="00000000">
      <w:pPr>
        <w:pStyle w:val="FirstParagraph"/>
      </w:pPr>
      <w:r>
        <w:t>There was no significant difference in maternal deprivation factors by region for wasting. All factors were not statistically significant predictors of wasting in the South. In the North, only the wealth index (poorest, poorer, and middle) achieved statistical significance. In the North, the odds of wasting for children in the poorest, poorer, and middle wealth index households were 2.75 (OR = 2.75; 95 % CI 1·58, 5.00; p =0.001), 2.03 (OR = 2.03; 95 % CI 1·17, 3.68; p =0.015), and 2.12 (OR = 2.12; 95 % CI 1.24, 3.76; p =0.008) times higher respectively than for children from the richest households.</w:t>
      </w:r>
    </w:p>
    <w:p w14:paraId="5568D38D" w14:textId="77777777" w:rsidR="00DC0632" w:rsidRDefault="00000000">
      <w:pPr>
        <w:pStyle w:val="BodyText"/>
      </w:pPr>
      <w:r>
        <w:rPr>
          <w:b/>
          <w:bCs/>
        </w:rPr>
        <w:lastRenderedPageBreak/>
        <w:t>Table 3: The association between Maternal Deprivation Factors and Stunting by Region</w:t>
      </w:r>
      <w:r>
        <w:t xml:space="preserve"> (NDHS 2018, n=11,470)</w:t>
      </w:r>
    </w:p>
    <w:tbl>
      <w:tblPr>
        <w:tblW w:w="5000" w:type="pct"/>
        <w:tblLook w:val="0020" w:firstRow="1" w:lastRow="0" w:firstColumn="0" w:lastColumn="0" w:noHBand="0" w:noVBand="0"/>
      </w:tblPr>
      <w:tblGrid>
        <w:gridCol w:w="2474"/>
        <w:gridCol w:w="2344"/>
        <w:gridCol w:w="1407"/>
        <w:gridCol w:w="2448"/>
        <w:gridCol w:w="1407"/>
      </w:tblGrid>
      <w:tr w:rsidR="00DC0632" w14:paraId="39C902DF" w14:textId="77777777">
        <w:trPr>
          <w:tblHeader/>
        </w:trPr>
        <w:tc>
          <w:tcPr>
            <w:tcW w:w="0" w:type="auto"/>
          </w:tcPr>
          <w:p w14:paraId="3188B7A4" w14:textId="77777777" w:rsidR="00DC0632" w:rsidRDefault="00DC0632">
            <w:pPr>
              <w:pStyle w:val="Compact"/>
            </w:pPr>
          </w:p>
        </w:tc>
        <w:tc>
          <w:tcPr>
            <w:tcW w:w="0" w:type="auto"/>
          </w:tcPr>
          <w:p w14:paraId="64F9EC3D" w14:textId="77777777" w:rsidR="00DC0632" w:rsidRDefault="00000000">
            <w:pPr>
              <w:pStyle w:val="Compact"/>
            </w:pPr>
            <w:r>
              <w:t>North</w:t>
            </w:r>
          </w:p>
        </w:tc>
        <w:tc>
          <w:tcPr>
            <w:tcW w:w="0" w:type="auto"/>
          </w:tcPr>
          <w:p w14:paraId="62E8BBF2" w14:textId="77777777" w:rsidR="00DC0632" w:rsidRDefault="00DC0632">
            <w:pPr>
              <w:pStyle w:val="Compact"/>
            </w:pPr>
          </w:p>
        </w:tc>
        <w:tc>
          <w:tcPr>
            <w:tcW w:w="0" w:type="auto"/>
          </w:tcPr>
          <w:p w14:paraId="157F2050" w14:textId="77777777" w:rsidR="00DC0632" w:rsidRDefault="00000000">
            <w:pPr>
              <w:pStyle w:val="Compact"/>
            </w:pPr>
            <w:r>
              <w:t>South</w:t>
            </w:r>
          </w:p>
        </w:tc>
        <w:tc>
          <w:tcPr>
            <w:tcW w:w="0" w:type="auto"/>
          </w:tcPr>
          <w:p w14:paraId="49075808" w14:textId="77777777" w:rsidR="00DC0632" w:rsidRDefault="00DC0632">
            <w:pPr>
              <w:pStyle w:val="Compact"/>
            </w:pPr>
          </w:p>
        </w:tc>
      </w:tr>
      <w:tr w:rsidR="00DC0632" w14:paraId="4A83EB09" w14:textId="77777777">
        <w:tc>
          <w:tcPr>
            <w:tcW w:w="0" w:type="auto"/>
          </w:tcPr>
          <w:p w14:paraId="6F80084A" w14:textId="77777777" w:rsidR="00DC0632" w:rsidRDefault="00000000">
            <w:pPr>
              <w:pStyle w:val="Compact"/>
            </w:pPr>
            <w:r>
              <w:t>Predictor</w:t>
            </w:r>
          </w:p>
        </w:tc>
        <w:tc>
          <w:tcPr>
            <w:tcW w:w="0" w:type="auto"/>
          </w:tcPr>
          <w:p w14:paraId="1DCAF293" w14:textId="77777777" w:rsidR="00DC0632" w:rsidRDefault="00000000">
            <w:pPr>
              <w:pStyle w:val="Compact"/>
            </w:pPr>
            <w:r>
              <w:t>OR (95% CI)</w:t>
            </w:r>
          </w:p>
        </w:tc>
        <w:tc>
          <w:tcPr>
            <w:tcW w:w="0" w:type="auto"/>
          </w:tcPr>
          <w:p w14:paraId="0DC8B644" w14:textId="77777777" w:rsidR="00DC0632" w:rsidRDefault="00000000">
            <w:pPr>
              <w:pStyle w:val="Compact"/>
            </w:pPr>
            <w:r>
              <w:t>p- values</w:t>
            </w:r>
          </w:p>
        </w:tc>
        <w:tc>
          <w:tcPr>
            <w:tcW w:w="0" w:type="auto"/>
          </w:tcPr>
          <w:p w14:paraId="6804FF68" w14:textId="77777777" w:rsidR="00DC0632" w:rsidRDefault="00000000">
            <w:pPr>
              <w:pStyle w:val="Compact"/>
            </w:pPr>
            <w:r>
              <w:t>OR (95% CI)</w:t>
            </w:r>
          </w:p>
        </w:tc>
        <w:tc>
          <w:tcPr>
            <w:tcW w:w="0" w:type="auto"/>
          </w:tcPr>
          <w:p w14:paraId="22C7152C" w14:textId="77777777" w:rsidR="00DC0632" w:rsidRDefault="00000000">
            <w:pPr>
              <w:pStyle w:val="Compact"/>
            </w:pPr>
            <w:r>
              <w:t>p- values</w:t>
            </w:r>
          </w:p>
        </w:tc>
      </w:tr>
      <w:tr w:rsidR="00DC0632" w14:paraId="6198BCD5" w14:textId="77777777">
        <w:tc>
          <w:tcPr>
            <w:tcW w:w="0" w:type="auto"/>
          </w:tcPr>
          <w:p w14:paraId="41DC9EFF" w14:textId="77777777" w:rsidR="00DC0632" w:rsidRDefault="00000000">
            <w:pPr>
              <w:pStyle w:val="Compact"/>
            </w:pPr>
            <w:r>
              <w:t>Residence:</w:t>
            </w:r>
          </w:p>
        </w:tc>
        <w:tc>
          <w:tcPr>
            <w:tcW w:w="0" w:type="auto"/>
          </w:tcPr>
          <w:p w14:paraId="47CC7799" w14:textId="77777777" w:rsidR="00DC0632" w:rsidRDefault="00DC0632">
            <w:pPr>
              <w:pStyle w:val="Compact"/>
            </w:pPr>
          </w:p>
        </w:tc>
        <w:tc>
          <w:tcPr>
            <w:tcW w:w="0" w:type="auto"/>
          </w:tcPr>
          <w:p w14:paraId="0A15160E" w14:textId="77777777" w:rsidR="00DC0632" w:rsidRDefault="00DC0632">
            <w:pPr>
              <w:pStyle w:val="Compact"/>
            </w:pPr>
          </w:p>
        </w:tc>
        <w:tc>
          <w:tcPr>
            <w:tcW w:w="0" w:type="auto"/>
          </w:tcPr>
          <w:p w14:paraId="65FBD905" w14:textId="77777777" w:rsidR="00DC0632" w:rsidRDefault="00DC0632">
            <w:pPr>
              <w:pStyle w:val="Compact"/>
            </w:pPr>
          </w:p>
        </w:tc>
        <w:tc>
          <w:tcPr>
            <w:tcW w:w="0" w:type="auto"/>
          </w:tcPr>
          <w:p w14:paraId="09C18F07" w14:textId="77777777" w:rsidR="00DC0632" w:rsidRDefault="00DC0632">
            <w:pPr>
              <w:pStyle w:val="Compact"/>
            </w:pPr>
          </w:p>
        </w:tc>
      </w:tr>
      <w:tr w:rsidR="00DC0632" w14:paraId="34235AEA" w14:textId="77777777">
        <w:tc>
          <w:tcPr>
            <w:tcW w:w="0" w:type="auto"/>
          </w:tcPr>
          <w:p w14:paraId="3B91278C" w14:textId="77777777" w:rsidR="00DC0632" w:rsidRDefault="00000000">
            <w:r>
              <w:t>Rural</w:t>
            </w:r>
          </w:p>
          <w:p w14:paraId="4AA6FC7A" w14:textId="77777777" w:rsidR="00DC0632" w:rsidRDefault="00000000">
            <w:r>
              <w:t>Urban</w:t>
            </w:r>
          </w:p>
        </w:tc>
        <w:tc>
          <w:tcPr>
            <w:tcW w:w="0" w:type="auto"/>
          </w:tcPr>
          <w:p w14:paraId="0330AD44" w14:textId="77777777" w:rsidR="00DC0632" w:rsidRDefault="00000000">
            <w:r>
              <w:t>1.01 (0.88, 1.17)</w:t>
            </w:r>
          </w:p>
          <w:p w14:paraId="7D73AE1D" w14:textId="77777777" w:rsidR="00DC0632" w:rsidRDefault="00000000">
            <w:r>
              <w:t>Ref</w:t>
            </w:r>
          </w:p>
        </w:tc>
        <w:tc>
          <w:tcPr>
            <w:tcW w:w="0" w:type="auto"/>
          </w:tcPr>
          <w:p w14:paraId="59EB9961" w14:textId="77777777" w:rsidR="00DC0632" w:rsidRDefault="00000000">
            <w:r>
              <w:t>0.845</w:t>
            </w:r>
          </w:p>
          <w:p w14:paraId="3E67FEF9" w14:textId="77777777" w:rsidR="00DC0632" w:rsidRDefault="00000000">
            <w:r>
              <w:t>Ref</w:t>
            </w:r>
          </w:p>
        </w:tc>
        <w:tc>
          <w:tcPr>
            <w:tcW w:w="0" w:type="auto"/>
          </w:tcPr>
          <w:p w14:paraId="36AD5D0A" w14:textId="77777777" w:rsidR="00DC0632" w:rsidRDefault="00000000">
            <w:r>
              <w:t>0.99 (0.85, 1.15)</w:t>
            </w:r>
          </w:p>
          <w:p w14:paraId="33D72685" w14:textId="77777777" w:rsidR="00DC0632" w:rsidRDefault="00000000">
            <w:r>
              <w:t>Ref</w:t>
            </w:r>
          </w:p>
        </w:tc>
        <w:tc>
          <w:tcPr>
            <w:tcW w:w="0" w:type="auto"/>
          </w:tcPr>
          <w:p w14:paraId="5FED86A5" w14:textId="77777777" w:rsidR="00DC0632" w:rsidRDefault="00000000">
            <w:r>
              <w:t>0.893</w:t>
            </w:r>
          </w:p>
          <w:p w14:paraId="365348F9" w14:textId="77777777" w:rsidR="00DC0632" w:rsidRDefault="00000000">
            <w:r>
              <w:t>Ref</w:t>
            </w:r>
          </w:p>
        </w:tc>
      </w:tr>
      <w:tr w:rsidR="00DC0632" w14:paraId="11F22382" w14:textId="77777777">
        <w:tc>
          <w:tcPr>
            <w:tcW w:w="0" w:type="auto"/>
          </w:tcPr>
          <w:p w14:paraId="4B639069" w14:textId="77777777" w:rsidR="00DC0632" w:rsidRDefault="00000000">
            <w:pPr>
              <w:pStyle w:val="Compact"/>
            </w:pPr>
            <w:r>
              <w:t>Education:</w:t>
            </w:r>
          </w:p>
        </w:tc>
        <w:tc>
          <w:tcPr>
            <w:tcW w:w="0" w:type="auto"/>
          </w:tcPr>
          <w:p w14:paraId="45A7D7F9" w14:textId="77777777" w:rsidR="00DC0632" w:rsidRDefault="00DC0632">
            <w:pPr>
              <w:pStyle w:val="Compact"/>
            </w:pPr>
          </w:p>
        </w:tc>
        <w:tc>
          <w:tcPr>
            <w:tcW w:w="0" w:type="auto"/>
          </w:tcPr>
          <w:p w14:paraId="53153E67" w14:textId="77777777" w:rsidR="00DC0632" w:rsidRDefault="00DC0632">
            <w:pPr>
              <w:pStyle w:val="Compact"/>
            </w:pPr>
          </w:p>
        </w:tc>
        <w:tc>
          <w:tcPr>
            <w:tcW w:w="0" w:type="auto"/>
          </w:tcPr>
          <w:p w14:paraId="7107D22D" w14:textId="77777777" w:rsidR="00DC0632" w:rsidRDefault="00DC0632">
            <w:pPr>
              <w:pStyle w:val="Compact"/>
            </w:pPr>
          </w:p>
        </w:tc>
        <w:tc>
          <w:tcPr>
            <w:tcW w:w="0" w:type="auto"/>
          </w:tcPr>
          <w:p w14:paraId="5417039B" w14:textId="77777777" w:rsidR="00DC0632" w:rsidRDefault="00DC0632">
            <w:pPr>
              <w:pStyle w:val="Compact"/>
            </w:pPr>
          </w:p>
        </w:tc>
      </w:tr>
      <w:tr w:rsidR="00DC0632" w14:paraId="0CD4565C" w14:textId="77777777">
        <w:tc>
          <w:tcPr>
            <w:tcW w:w="0" w:type="auto"/>
          </w:tcPr>
          <w:p w14:paraId="1148EFAC" w14:textId="77777777" w:rsidR="00DC0632" w:rsidRDefault="00000000">
            <w:r>
              <w:t>No Education</w:t>
            </w:r>
          </w:p>
          <w:p w14:paraId="361F4ADD" w14:textId="77777777" w:rsidR="00DC0632" w:rsidRDefault="00000000">
            <w:r>
              <w:t>Primary</w:t>
            </w:r>
          </w:p>
          <w:p w14:paraId="6987CEA8" w14:textId="77777777" w:rsidR="00DC0632" w:rsidRDefault="00000000">
            <w:r>
              <w:t>Secondary</w:t>
            </w:r>
          </w:p>
          <w:p w14:paraId="1A100316" w14:textId="77777777" w:rsidR="00DC0632" w:rsidRDefault="00000000">
            <w:r>
              <w:t>Higher Education</w:t>
            </w:r>
          </w:p>
        </w:tc>
        <w:tc>
          <w:tcPr>
            <w:tcW w:w="0" w:type="auto"/>
          </w:tcPr>
          <w:p w14:paraId="735326B9" w14:textId="77777777" w:rsidR="00DC0632" w:rsidRDefault="00000000">
            <w:r>
              <w:t>3.2 (2.36, 4.39)</w:t>
            </w:r>
          </w:p>
          <w:p w14:paraId="58018F33" w14:textId="77777777" w:rsidR="00DC0632" w:rsidRDefault="00000000">
            <w:r>
              <w:t>2.49 (1.81, 3.46)</w:t>
            </w:r>
          </w:p>
          <w:p w14:paraId="4EDF8B71" w14:textId="77777777" w:rsidR="00DC0632" w:rsidRDefault="00000000">
            <w:r>
              <w:t>1.53 (1.12, 2.1)</w:t>
            </w:r>
          </w:p>
          <w:p w14:paraId="70F547D0" w14:textId="77777777" w:rsidR="00DC0632" w:rsidRDefault="00000000">
            <w:r>
              <w:t>Ref</w:t>
            </w:r>
          </w:p>
        </w:tc>
        <w:tc>
          <w:tcPr>
            <w:tcW w:w="0" w:type="auto"/>
          </w:tcPr>
          <w:p w14:paraId="0CD0E7A2" w14:textId="77777777" w:rsidR="00DC0632" w:rsidRDefault="00000000">
            <w:r>
              <w:t>&lt;0.001</w:t>
            </w:r>
          </w:p>
          <w:p w14:paraId="4552E913" w14:textId="77777777" w:rsidR="00DC0632" w:rsidRDefault="00000000">
            <w:r>
              <w:t>&lt;0.001</w:t>
            </w:r>
          </w:p>
          <w:p w14:paraId="18C452B9" w14:textId="77777777" w:rsidR="00DC0632" w:rsidRDefault="00000000">
            <w:r>
              <w:t>0.007</w:t>
            </w:r>
          </w:p>
          <w:p w14:paraId="3EA64E5C" w14:textId="77777777" w:rsidR="00DC0632" w:rsidRDefault="00000000">
            <w:r>
              <w:t>Ref</w:t>
            </w:r>
          </w:p>
        </w:tc>
        <w:tc>
          <w:tcPr>
            <w:tcW w:w="0" w:type="auto"/>
          </w:tcPr>
          <w:p w14:paraId="0D190062" w14:textId="77777777" w:rsidR="00DC0632" w:rsidRDefault="00000000">
            <w:r>
              <w:t>2.94 (2.03, 4.27)</w:t>
            </w:r>
          </w:p>
          <w:p w14:paraId="133064BB" w14:textId="77777777" w:rsidR="00DC0632" w:rsidRDefault="00000000">
            <w:r>
              <w:t>2.14 (1.58, 2.91)</w:t>
            </w:r>
          </w:p>
          <w:p w14:paraId="42950518" w14:textId="77777777" w:rsidR="00DC0632" w:rsidRDefault="00000000">
            <w:r>
              <w:t>1.7 (1.30, 2.23)</w:t>
            </w:r>
          </w:p>
          <w:p w14:paraId="69F1352B" w14:textId="77777777" w:rsidR="00DC0632" w:rsidRDefault="00000000">
            <w:r>
              <w:t>Ref</w:t>
            </w:r>
          </w:p>
        </w:tc>
        <w:tc>
          <w:tcPr>
            <w:tcW w:w="0" w:type="auto"/>
          </w:tcPr>
          <w:p w14:paraId="6591AF73" w14:textId="77777777" w:rsidR="00DC0632" w:rsidRDefault="00000000">
            <w:r>
              <w:t>&lt;0.001</w:t>
            </w:r>
          </w:p>
          <w:p w14:paraId="2104C025" w14:textId="77777777" w:rsidR="00DC0632" w:rsidRDefault="00000000">
            <w:r>
              <w:t>&lt;0.001</w:t>
            </w:r>
          </w:p>
          <w:p w14:paraId="4E4C1E76" w14:textId="77777777" w:rsidR="00DC0632" w:rsidRDefault="00000000">
            <w:r>
              <w:t>&lt;0.001</w:t>
            </w:r>
          </w:p>
          <w:p w14:paraId="59397898" w14:textId="77777777" w:rsidR="00DC0632" w:rsidRDefault="00000000">
            <w:r>
              <w:t>Ref</w:t>
            </w:r>
          </w:p>
        </w:tc>
      </w:tr>
      <w:tr w:rsidR="00DC0632" w14:paraId="7065471A" w14:textId="77777777">
        <w:tc>
          <w:tcPr>
            <w:tcW w:w="0" w:type="auto"/>
          </w:tcPr>
          <w:p w14:paraId="4901B38E" w14:textId="77777777" w:rsidR="00DC0632" w:rsidRDefault="00000000">
            <w:pPr>
              <w:pStyle w:val="Compact"/>
            </w:pPr>
            <w:r>
              <w:t>Wealth Index:</w:t>
            </w:r>
          </w:p>
        </w:tc>
        <w:tc>
          <w:tcPr>
            <w:tcW w:w="0" w:type="auto"/>
          </w:tcPr>
          <w:p w14:paraId="615227E6" w14:textId="77777777" w:rsidR="00DC0632" w:rsidRDefault="00DC0632">
            <w:pPr>
              <w:pStyle w:val="Compact"/>
            </w:pPr>
          </w:p>
        </w:tc>
        <w:tc>
          <w:tcPr>
            <w:tcW w:w="0" w:type="auto"/>
          </w:tcPr>
          <w:p w14:paraId="27D1902D" w14:textId="77777777" w:rsidR="00DC0632" w:rsidRDefault="00DC0632">
            <w:pPr>
              <w:pStyle w:val="Compact"/>
            </w:pPr>
          </w:p>
        </w:tc>
        <w:tc>
          <w:tcPr>
            <w:tcW w:w="0" w:type="auto"/>
          </w:tcPr>
          <w:p w14:paraId="2D94DE39" w14:textId="77777777" w:rsidR="00DC0632" w:rsidRDefault="00DC0632">
            <w:pPr>
              <w:pStyle w:val="Compact"/>
            </w:pPr>
          </w:p>
        </w:tc>
        <w:tc>
          <w:tcPr>
            <w:tcW w:w="0" w:type="auto"/>
          </w:tcPr>
          <w:p w14:paraId="431DFC4F" w14:textId="77777777" w:rsidR="00DC0632" w:rsidRDefault="00DC0632">
            <w:pPr>
              <w:pStyle w:val="Compact"/>
            </w:pPr>
          </w:p>
        </w:tc>
      </w:tr>
      <w:tr w:rsidR="00DC0632" w14:paraId="6BCE10CF" w14:textId="77777777">
        <w:tc>
          <w:tcPr>
            <w:tcW w:w="0" w:type="auto"/>
          </w:tcPr>
          <w:p w14:paraId="78659991" w14:textId="77777777" w:rsidR="00DC0632" w:rsidRDefault="00000000">
            <w:r>
              <w:t>Poorest</w:t>
            </w:r>
          </w:p>
          <w:p w14:paraId="6CC149E2" w14:textId="77777777" w:rsidR="00DC0632" w:rsidRDefault="00000000">
            <w:r>
              <w:t>Poorer</w:t>
            </w:r>
          </w:p>
          <w:p w14:paraId="4E3C46D5" w14:textId="77777777" w:rsidR="00DC0632" w:rsidRDefault="00000000">
            <w:r>
              <w:t>Middle</w:t>
            </w:r>
          </w:p>
          <w:p w14:paraId="79762A39" w14:textId="77777777" w:rsidR="00DC0632" w:rsidRDefault="00000000">
            <w:r>
              <w:lastRenderedPageBreak/>
              <w:t>Richer</w:t>
            </w:r>
          </w:p>
          <w:p w14:paraId="453ECC89" w14:textId="77777777" w:rsidR="00DC0632" w:rsidRDefault="00000000">
            <w:r>
              <w:t>Richest</w:t>
            </w:r>
          </w:p>
        </w:tc>
        <w:tc>
          <w:tcPr>
            <w:tcW w:w="0" w:type="auto"/>
          </w:tcPr>
          <w:p w14:paraId="1539791E" w14:textId="77777777" w:rsidR="00DC0632" w:rsidRDefault="00000000">
            <w:r>
              <w:lastRenderedPageBreak/>
              <w:t>2.57 (1.95, 3.39)</w:t>
            </w:r>
          </w:p>
          <w:p w14:paraId="58E8231A" w14:textId="77777777" w:rsidR="00DC0632" w:rsidRDefault="00000000">
            <w:r>
              <w:t>2.32 (1.77, 3.05)</w:t>
            </w:r>
          </w:p>
          <w:p w14:paraId="5C9786EB" w14:textId="77777777" w:rsidR="00DC0632" w:rsidRDefault="00000000">
            <w:r>
              <w:t>1.78 (1.37, 2.32)</w:t>
            </w:r>
          </w:p>
          <w:p w14:paraId="3C1FC37B" w14:textId="77777777" w:rsidR="00DC0632" w:rsidRDefault="00000000">
            <w:r>
              <w:lastRenderedPageBreak/>
              <w:t>1.29 (0.99, 1.68)</w:t>
            </w:r>
          </w:p>
          <w:p w14:paraId="299B24EB" w14:textId="77777777" w:rsidR="00DC0632" w:rsidRDefault="00000000">
            <w:r>
              <w:t>Ref</w:t>
            </w:r>
          </w:p>
        </w:tc>
        <w:tc>
          <w:tcPr>
            <w:tcW w:w="0" w:type="auto"/>
          </w:tcPr>
          <w:p w14:paraId="3FE4200A" w14:textId="77777777" w:rsidR="00DC0632" w:rsidRDefault="00000000">
            <w:r>
              <w:lastRenderedPageBreak/>
              <w:t>&lt;0.001</w:t>
            </w:r>
          </w:p>
          <w:p w14:paraId="2DAE0337" w14:textId="77777777" w:rsidR="00DC0632" w:rsidRDefault="00000000">
            <w:r>
              <w:t>&lt;0.001</w:t>
            </w:r>
          </w:p>
          <w:p w14:paraId="07BE17D2" w14:textId="77777777" w:rsidR="00DC0632" w:rsidRDefault="00000000">
            <w:r>
              <w:t>&lt;0.001</w:t>
            </w:r>
          </w:p>
          <w:p w14:paraId="22A487AB" w14:textId="77777777" w:rsidR="00DC0632" w:rsidRDefault="00000000">
            <w:r>
              <w:lastRenderedPageBreak/>
              <w:t>0.062</w:t>
            </w:r>
          </w:p>
          <w:p w14:paraId="1CF55D53" w14:textId="77777777" w:rsidR="00DC0632" w:rsidRDefault="00000000">
            <w:r>
              <w:t>Ref</w:t>
            </w:r>
          </w:p>
        </w:tc>
        <w:tc>
          <w:tcPr>
            <w:tcW w:w="0" w:type="auto"/>
          </w:tcPr>
          <w:p w14:paraId="0C0A0775" w14:textId="77777777" w:rsidR="00DC0632" w:rsidRDefault="00000000">
            <w:r>
              <w:lastRenderedPageBreak/>
              <w:t>1.96 (1.35, 2.83)</w:t>
            </w:r>
          </w:p>
          <w:p w14:paraId="77CCBFDC" w14:textId="77777777" w:rsidR="00DC0632" w:rsidRDefault="00000000">
            <w:r>
              <w:t>1.85 (1.40, 2.43)</w:t>
            </w:r>
          </w:p>
          <w:p w14:paraId="04E94925" w14:textId="77777777" w:rsidR="00DC0632" w:rsidRDefault="00000000">
            <w:r>
              <w:t>2.02 (1.62, 2.52)</w:t>
            </w:r>
          </w:p>
          <w:p w14:paraId="04A7CB6A" w14:textId="77777777" w:rsidR="00DC0632" w:rsidRDefault="00000000">
            <w:r>
              <w:lastRenderedPageBreak/>
              <w:t>1.38 (1.12, 1.70)</w:t>
            </w:r>
          </w:p>
          <w:p w14:paraId="3433531D" w14:textId="77777777" w:rsidR="00DC0632" w:rsidRDefault="00000000">
            <w:r>
              <w:t>Ref</w:t>
            </w:r>
          </w:p>
        </w:tc>
        <w:tc>
          <w:tcPr>
            <w:tcW w:w="0" w:type="auto"/>
          </w:tcPr>
          <w:p w14:paraId="30083C74" w14:textId="77777777" w:rsidR="00DC0632" w:rsidRDefault="00000000">
            <w:r>
              <w:lastRenderedPageBreak/>
              <w:t>&lt;0.001</w:t>
            </w:r>
          </w:p>
          <w:p w14:paraId="4703FB77" w14:textId="77777777" w:rsidR="00DC0632" w:rsidRDefault="00000000">
            <w:r>
              <w:t>&lt;0.001</w:t>
            </w:r>
          </w:p>
          <w:p w14:paraId="7ED2EF73" w14:textId="77777777" w:rsidR="00DC0632" w:rsidRDefault="00000000">
            <w:r>
              <w:t>&lt;0.001</w:t>
            </w:r>
          </w:p>
          <w:p w14:paraId="7D390C34" w14:textId="77777777" w:rsidR="00DC0632" w:rsidRDefault="00000000">
            <w:r>
              <w:lastRenderedPageBreak/>
              <w:t>0.003</w:t>
            </w:r>
          </w:p>
          <w:p w14:paraId="109629CB" w14:textId="77777777" w:rsidR="00DC0632" w:rsidRDefault="00000000">
            <w:r>
              <w:t>Ref</w:t>
            </w:r>
          </w:p>
        </w:tc>
      </w:tr>
      <w:tr w:rsidR="00DC0632" w14:paraId="06DC8A81" w14:textId="77777777">
        <w:tc>
          <w:tcPr>
            <w:tcW w:w="0" w:type="auto"/>
          </w:tcPr>
          <w:p w14:paraId="5B67BAA7" w14:textId="77777777" w:rsidR="00DC0632" w:rsidRDefault="00000000">
            <w:pPr>
              <w:pStyle w:val="Compact"/>
            </w:pPr>
            <w:r>
              <w:lastRenderedPageBreak/>
              <w:t>Employment:</w:t>
            </w:r>
          </w:p>
        </w:tc>
        <w:tc>
          <w:tcPr>
            <w:tcW w:w="0" w:type="auto"/>
          </w:tcPr>
          <w:p w14:paraId="35707069" w14:textId="77777777" w:rsidR="00DC0632" w:rsidRDefault="00DC0632">
            <w:pPr>
              <w:pStyle w:val="Compact"/>
            </w:pPr>
          </w:p>
        </w:tc>
        <w:tc>
          <w:tcPr>
            <w:tcW w:w="0" w:type="auto"/>
          </w:tcPr>
          <w:p w14:paraId="35953A85" w14:textId="77777777" w:rsidR="00DC0632" w:rsidRDefault="00DC0632">
            <w:pPr>
              <w:pStyle w:val="Compact"/>
            </w:pPr>
          </w:p>
        </w:tc>
        <w:tc>
          <w:tcPr>
            <w:tcW w:w="0" w:type="auto"/>
          </w:tcPr>
          <w:p w14:paraId="38F2DA02" w14:textId="77777777" w:rsidR="00DC0632" w:rsidRDefault="00DC0632">
            <w:pPr>
              <w:pStyle w:val="Compact"/>
            </w:pPr>
          </w:p>
        </w:tc>
        <w:tc>
          <w:tcPr>
            <w:tcW w:w="0" w:type="auto"/>
          </w:tcPr>
          <w:p w14:paraId="57A24276" w14:textId="77777777" w:rsidR="00DC0632" w:rsidRDefault="00DC0632">
            <w:pPr>
              <w:pStyle w:val="Compact"/>
            </w:pPr>
          </w:p>
        </w:tc>
      </w:tr>
      <w:tr w:rsidR="00DC0632" w14:paraId="4CBEDF95" w14:textId="77777777">
        <w:tc>
          <w:tcPr>
            <w:tcW w:w="0" w:type="auto"/>
          </w:tcPr>
          <w:p w14:paraId="55BA1DFA" w14:textId="77777777" w:rsidR="00DC0632" w:rsidRDefault="00000000">
            <w:r>
              <w:t>Not employed</w:t>
            </w:r>
          </w:p>
          <w:p w14:paraId="601CD29D" w14:textId="77777777" w:rsidR="00DC0632" w:rsidRDefault="00000000">
            <w:r>
              <w:t>Employed</w:t>
            </w:r>
          </w:p>
        </w:tc>
        <w:tc>
          <w:tcPr>
            <w:tcW w:w="0" w:type="auto"/>
          </w:tcPr>
          <w:p w14:paraId="4CC8C639" w14:textId="77777777" w:rsidR="00DC0632" w:rsidRDefault="00000000">
            <w:r>
              <w:t>1.05 (0.95, 1.17)</w:t>
            </w:r>
          </w:p>
          <w:p w14:paraId="4D6955D8" w14:textId="77777777" w:rsidR="00DC0632" w:rsidRDefault="00000000">
            <w:r>
              <w:t>Ref</w:t>
            </w:r>
          </w:p>
        </w:tc>
        <w:tc>
          <w:tcPr>
            <w:tcW w:w="0" w:type="auto"/>
          </w:tcPr>
          <w:p w14:paraId="5D0F10D7" w14:textId="77777777" w:rsidR="00DC0632" w:rsidRDefault="00000000">
            <w:r>
              <w:t>0.323</w:t>
            </w:r>
          </w:p>
          <w:p w14:paraId="2605EBFD" w14:textId="77777777" w:rsidR="00DC0632" w:rsidRDefault="00000000">
            <w:r>
              <w:t>Ref</w:t>
            </w:r>
          </w:p>
        </w:tc>
        <w:tc>
          <w:tcPr>
            <w:tcW w:w="0" w:type="auto"/>
          </w:tcPr>
          <w:p w14:paraId="4C3B0141" w14:textId="77777777" w:rsidR="00DC0632" w:rsidRDefault="00000000">
            <w:r>
              <w:t>0.85 (0.70 - 1.04)</w:t>
            </w:r>
          </w:p>
          <w:p w14:paraId="0EAC0B3C" w14:textId="77777777" w:rsidR="00DC0632" w:rsidRDefault="00000000">
            <w:r>
              <w:t>Ref</w:t>
            </w:r>
          </w:p>
        </w:tc>
        <w:tc>
          <w:tcPr>
            <w:tcW w:w="0" w:type="auto"/>
          </w:tcPr>
          <w:p w14:paraId="7937B07F" w14:textId="77777777" w:rsidR="00DC0632" w:rsidRDefault="00000000">
            <w:r>
              <w:t>0.118</w:t>
            </w:r>
          </w:p>
          <w:p w14:paraId="687ADEB6" w14:textId="77777777" w:rsidR="00DC0632" w:rsidRDefault="00000000">
            <w:r>
              <w:t>Ref</w:t>
            </w:r>
          </w:p>
        </w:tc>
      </w:tr>
    </w:tbl>
    <w:p w14:paraId="51942D72" w14:textId="77777777" w:rsidR="00DC0632" w:rsidRDefault="00000000">
      <w:pPr>
        <w:pStyle w:val="BodyText"/>
      </w:pPr>
      <w:r>
        <w:t>Table 6 shows the association between maternal deprivation factors and stunting stratified by region (North and South). Compared to children with mothers who had a higher education, the odds of stunting in children whose mothers had only primary and secondary education were 2.49 (OR = 2.49; 95% CI 1.81, 3.46; p &lt;0.001) and 1.53 (OR = 1.53; 95% CI 1.12, 2.1; p =0.007) times higher respectively in the North; and 2.14 (OR = 2.14; 95% CI 1.58, 2.91; p &lt;0.001) and 1.7 (OR = 1.7; 95% CI 1.30, 2.23; p &lt;0.001) times higher respectively in the South. There were similar odds of stunting among children whose mothers had no formal education in the North and South (OR = 3.2; 95% CI 2.58, 4.00; p &lt;0.001) and (OR = 2.94, 95% CI 2.03, 4.27; p &lt;0.001). In the North, children from the poorest, poorer, and middle-class households had 2.57 (OR = 2.57; 95% CI 1.95, 3.39; p &lt;0.001), 2.32 (OR = 2.32; 95% CI 1.77, 3.05; p &lt;0.001), and 1.78 (OR = 1.78; 95% CI 1.37, 2.32; p &lt;0.001) times greater odds respectively of stunting than those from the richest households. In the South however, the odds of stunting for children in similar households were 1.96 (OR = 1.96; 95% CI 1.35, 2.83; p &lt;0.001), 1.85 (OR = 1.85; 95% CI 1.40, 2.43; p &lt;0.001), and 2.02 (OR = 2.02; 95% CI 1.62, 2.52; p &lt;0.001) times greater respectively than for children from the richest households.</w:t>
      </w:r>
    </w:p>
    <w:p w14:paraId="3CA051D8" w14:textId="77777777" w:rsidR="00DC0632" w:rsidRDefault="00000000">
      <w:pPr>
        <w:pStyle w:val="BodyText"/>
      </w:pPr>
      <w:r>
        <w:rPr>
          <w:b/>
          <w:bCs/>
        </w:rPr>
        <w:lastRenderedPageBreak/>
        <w:t>Table 4: The association between Maternal Deprivation Factors and Underweight by Region</w:t>
      </w:r>
      <w:r>
        <w:t xml:space="preserve"> (NDHS 2018, n=11,470)</w:t>
      </w:r>
    </w:p>
    <w:tbl>
      <w:tblPr>
        <w:tblW w:w="5000" w:type="pct"/>
        <w:tblLook w:val="0020" w:firstRow="1" w:lastRow="0" w:firstColumn="0" w:lastColumn="0" w:noHBand="0" w:noVBand="0"/>
      </w:tblPr>
      <w:tblGrid>
        <w:gridCol w:w="2474"/>
        <w:gridCol w:w="2344"/>
        <w:gridCol w:w="1407"/>
        <w:gridCol w:w="2448"/>
        <w:gridCol w:w="1407"/>
      </w:tblGrid>
      <w:tr w:rsidR="00DC0632" w14:paraId="35A04A91" w14:textId="77777777">
        <w:trPr>
          <w:tblHeader/>
        </w:trPr>
        <w:tc>
          <w:tcPr>
            <w:tcW w:w="0" w:type="auto"/>
          </w:tcPr>
          <w:p w14:paraId="6D70A6BB" w14:textId="77777777" w:rsidR="00DC0632" w:rsidRDefault="00DC0632">
            <w:pPr>
              <w:pStyle w:val="Compact"/>
            </w:pPr>
          </w:p>
        </w:tc>
        <w:tc>
          <w:tcPr>
            <w:tcW w:w="0" w:type="auto"/>
          </w:tcPr>
          <w:p w14:paraId="15B936EB" w14:textId="77777777" w:rsidR="00DC0632" w:rsidRDefault="00000000">
            <w:pPr>
              <w:pStyle w:val="Compact"/>
            </w:pPr>
            <w:r>
              <w:t>North</w:t>
            </w:r>
          </w:p>
        </w:tc>
        <w:tc>
          <w:tcPr>
            <w:tcW w:w="0" w:type="auto"/>
          </w:tcPr>
          <w:p w14:paraId="7D7C86E5" w14:textId="77777777" w:rsidR="00DC0632" w:rsidRDefault="00DC0632">
            <w:pPr>
              <w:pStyle w:val="Compact"/>
            </w:pPr>
          </w:p>
        </w:tc>
        <w:tc>
          <w:tcPr>
            <w:tcW w:w="0" w:type="auto"/>
          </w:tcPr>
          <w:p w14:paraId="2D5001DE" w14:textId="77777777" w:rsidR="00DC0632" w:rsidRDefault="00000000">
            <w:pPr>
              <w:pStyle w:val="Compact"/>
            </w:pPr>
            <w:r>
              <w:t>South</w:t>
            </w:r>
          </w:p>
        </w:tc>
        <w:tc>
          <w:tcPr>
            <w:tcW w:w="0" w:type="auto"/>
          </w:tcPr>
          <w:p w14:paraId="71647318" w14:textId="77777777" w:rsidR="00DC0632" w:rsidRDefault="00DC0632">
            <w:pPr>
              <w:pStyle w:val="Compact"/>
            </w:pPr>
          </w:p>
        </w:tc>
      </w:tr>
      <w:tr w:rsidR="00DC0632" w14:paraId="26BAC016" w14:textId="77777777">
        <w:tc>
          <w:tcPr>
            <w:tcW w:w="0" w:type="auto"/>
          </w:tcPr>
          <w:p w14:paraId="6159776A" w14:textId="77777777" w:rsidR="00DC0632" w:rsidRDefault="00000000">
            <w:pPr>
              <w:pStyle w:val="Compact"/>
            </w:pPr>
            <w:r>
              <w:t>Predictor</w:t>
            </w:r>
          </w:p>
        </w:tc>
        <w:tc>
          <w:tcPr>
            <w:tcW w:w="0" w:type="auto"/>
          </w:tcPr>
          <w:p w14:paraId="4046F613" w14:textId="77777777" w:rsidR="00DC0632" w:rsidRDefault="00000000">
            <w:pPr>
              <w:pStyle w:val="Compact"/>
            </w:pPr>
            <w:r>
              <w:t>OR (95% CI)</w:t>
            </w:r>
          </w:p>
        </w:tc>
        <w:tc>
          <w:tcPr>
            <w:tcW w:w="0" w:type="auto"/>
          </w:tcPr>
          <w:p w14:paraId="7D5B0533" w14:textId="77777777" w:rsidR="00DC0632" w:rsidRDefault="00000000">
            <w:pPr>
              <w:pStyle w:val="Compact"/>
            </w:pPr>
            <w:r>
              <w:t>p- values</w:t>
            </w:r>
          </w:p>
        </w:tc>
        <w:tc>
          <w:tcPr>
            <w:tcW w:w="0" w:type="auto"/>
          </w:tcPr>
          <w:p w14:paraId="27E36E9D" w14:textId="77777777" w:rsidR="00DC0632" w:rsidRDefault="00000000">
            <w:pPr>
              <w:pStyle w:val="Compact"/>
            </w:pPr>
            <w:r>
              <w:t>OR (95% CI)</w:t>
            </w:r>
          </w:p>
        </w:tc>
        <w:tc>
          <w:tcPr>
            <w:tcW w:w="0" w:type="auto"/>
          </w:tcPr>
          <w:p w14:paraId="5B1744E4" w14:textId="77777777" w:rsidR="00DC0632" w:rsidRDefault="00000000">
            <w:pPr>
              <w:pStyle w:val="Compact"/>
            </w:pPr>
            <w:r>
              <w:t>p- values</w:t>
            </w:r>
          </w:p>
        </w:tc>
      </w:tr>
      <w:tr w:rsidR="00DC0632" w14:paraId="77FD0FF9" w14:textId="77777777">
        <w:tc>
          <w:tcPr>
            <w:tcW w:w="0" w:type="auto"/>
          </w:tcPr>
          <w:p w14:paraId="6567DCFD" w14:textId="77777777" w:rsidR="00DC0632" w:rsidRDefault="00000000">
            <w:pPr>
              <w:pStyle w:val="Compact"/>
            </w:pPr>
            <w:r>
              <w:t>Residence:</w:t>
            </w:r>
          </w:p>
        </w:tc>
        <w:tc>
          <w:tcPr>
            <w:tcW w:w="0" w:type="auto"/>
          </w:tcPr>
          <w:p w14:paraId="5C95BD4F" w14:textId="77777777" w:rsidR="00DC0632" w:rsidRDefault="00DC0632">
            <w:pPr>
              <w:pStyle w:val="Compact"/>
            </w:pPr>
          </w:p>
        </w:tc>
        <w:tc>
          <w:tcPr>
            <w:tcW w:w="0" w:type="auto"/>
          </w:tcPr>
          <w:p w14:paraId="778C7303" w14:textId="77777777" w:rsidR="00DC0632" w:rsidRDefault="00DC0632">
            <w:pPr>
              <w:pStyle w:val="Compact"/>
            </w:pPr>
          </w:p>
        </w:tc>
        <w:tc>
          <w:tcPr>
            <w:tcW w:w="0" w:type="auto"/>
          </w:tcPr>
          <w:p w14:paraId="622528D5" w14:textId="77777777" w:rsidR="00DC0632" w:rsidRDefault="00DC0632">
            <w:pPr>
              <w:pStyle w:val="Compact"/>
            </w:pPr>
          </w:p>
        </w:tc>
        <w:tc>
          <w:tcPr>
            <w:tcW w:w="0" w:type="auto"/>
          </w:tcPr>
          <w:p w14:paraId="469C5F33" w14:textId="77777777" w:rsidR="00DC0632" w:rsidRDefault="00DC0632">
            <w:pPr>
              <w:pStyle w:val="Compact"/>
            </w:pPr>
          </w:p>
        </w:tc>
      </w:tr>
      <w:tr w:rsidR="00DC0632" w14:paraId="0454072D" w14:textId="77777777">
        <w:tc>
          <w:tcPr>
            <w:tcW w:w="0" w:type="auto"/>
          </w:tcPr>
          <w:p w14:paraId="425ACB9A" w14:textId="77777777" w:rsidR="00DC0632" w:rsidRDefault="00000000">
            <w:r>
              <w:t>Rural</w:t>
            </w:r>
          </w:p>
          <w:p w14:paraId="3041AE6F" w14:textId="77777777" w:rsidR="00DC0632" w:rsidRDefault="00000000">
            <w:r>
              <w:t>Urban</w:t>
            </w:r>
          </w:p>
        </w:tc>
        <w:tc>
          <w:tcPr>
            <w:tcW w:w="0" w:type="auto"/>
          </w:tcPr>
          <w:p w14:paraId="62CDA9D8" w14:textId="77777777" w:rsidR="00DC0632" w:rsidRDefault="00000000">
            <w:r>
              <w:t>1.1 (0.94, 1.29)</w:t>
            </w:r>
          </w:p>
          <w:p w14:paraId="06F9B54A" w14:textId="77777777" w:rsidR="00DC0632" w:rsidRDefault="00000000">
            <w:r>
              <w:t>Ref</w:t>
            </w:r>
          </w:p>
        </w:tc>
        <w:tc>
          <w:tcPr>
            <w:tcW w:w="0" w:type="auto"/>
          </w:tcPr>
          <w:p w14:paraId="34AC87FD" w14:textId="77777777" w:rsidR="00DC0632" w:rsidRDefault="00000000">
            <w:r>
              <w:t>0.220</w:t>
            </w:r>
          </w:p>
          <w:p w14:paraId="59E9BFEA" w14:textId="77777777" w:rsidR="00DC0632" w:rsidRDefault="00000000">
            <w:r>
              <w:t>Ref</w:t>
            </w:r>
          </w:p>
        </w:tc>
        <w:tc>
          <w:tcPr>
            <w:tcW w:w="0" w:type="auto"/>
          </w:tcPr>
          <w:p w14:paraId="77744706" w14:textId="77777777" w:rsidR="00DC0632" w:rsidRDefault="00000000">
            <w:r>
              <w:t>0.95 (0.79, 1.15)</w:t>
            </w:r>
          </w:p>
          <w:p w14:paraId="42D5BB46" w14:textId="77777777" w:rsidR="00DC0632" w:rsidRDefault="00000000">
            <w:r>
              <w:t>Ref</w:t>
            </w:r>
          </w:p>
        </w:tc>
        <w:tc>
          <w:tcPr>
            <w:tcW w:w="0" w:type="auto"/>
          </w:tcPr>
          <w:p w14:paraId="1C7E3D48" w14:textId="77777777" w:rsidR="00DC0632" w:rsidRDefault="00000000">
            <w:r>
              <w:t>0.613</w:t>
            </w:r>
          </w:p>
          <w:p w14:paraId="3201A642" w14:textId="77777777" w:rsidR="00DC0632" w:rsidRDefault="00000000">
            <w:r>
              <w:t>Ref</w:t>
            </w:r>
          </w:p>
        </w:tc>
      </w:tr>
      <w:tr w:rsidR="00DC0632" w14:paraId="1EBD49DD" w14:textId="77777777">
        <w:tc>
          <w:tcPr>
            <w:tcW w:w="0" w:type="auto"/>
          </w:tcPr>
          <w:p w14:paraId="26A3EA9E" w14:textId="77777777" w:rsidR="00DC0632" w:rsidRDefault="00000000">
            <w:pPr>
              <w:pStyle w:val="Compact"/>
            </w:pPr>
            <w:r>
              <w:t>Education:</w:t>
            </w:r>
          </w:p>
        </w:tc>
        <w:tc>
          <w:tcPr>
            <w:tcW w:w="0" w:type="auto"/>
          </w:tcPr>
          <w:p w14:paraId="796C7BBF" w14:textId="77777777" w:rsidR="00DC0632" w:rsidRDefault="00DC0632">
            <w:pPr>
              <w:pStyle w:val="Compact"/>
            </w:pPr>
          </w:p>
        </w:tc>
        <w:tc>
          <w:tcPr>
            <w:tcW w:w="0" w:type="auto"/>
          </w:tcPr>
          <w:p w14:paraId="51D4521C" w14:textId="77777777" w:rsidR="00DC0632" w:rsidRDefault="00DC0632">
            <w:pPr>
              <w:pStyle w:val="Compact"/>
            </w:pPr>
          </w:p>
        </w:tc>
        <w:tc>
          <w:tcPr>
            <w:tcW w:w="0" w:type="auto"/>
          </w:tcPr>
          <w:p w14:paraId="595EE299" w14:textId="77777777" w:rsidR="00DC0632" w:rsidRDefault="00DC0632">
            <w:pPr>
              <w:pStyle w:val="Compact"/>
            </w:pPr>
          </w:p>
        </w:tc>
        <w:tc>
          <w:tcPr>
            <w:tcW w:w="0" w:type="auto"/>
          </w:tcPr>
          <w:p w14:paraId="2827ED09" w14:textId="77777777" w:rsidR="00DC0632" w:rsidRDefault="00DC0632">
            <w:pPr>
              <w:pStyle w:val="Compact"/>
            </w:pPr>
          </w:p>
        </w:tc>
      </w:tr>
      <w:tr w:rsidR="00DC0632" w14:paraId="1EC9FED2" w14:textId="77777777">
        <w:tc>
          <w:tcPr>
            <w:tcW w:w="0" w:type="auto"/>
          </w:tcPr>
          <w:p w14:paraId="5EC763B9" w14:textId="77777777" w:rsidR="00DC0632" w:rsidRDefault="00000000">
            <w:r>
              <w:t>No Education</w:t>
            </w:r>
          </w:p>
          <w:p w14:paraId="22499224" w14:textId="77777777" w:rsidR="00DC0632" w:rsidRDefault="00000000">
            <w:r>
              <w:t>Primary</w:t>
            </w:r>
          </w:p>
          <w:p w14:paraId="7B783210" w14:textId="77777777" w:rsidR="00DC0632" w:rsidRDefault="00000000">
            <w:r>
              <w:t>Secondary</w:t>
            </w:r>
          </w:p>
          <w:p w14:paraId="4D25787D" w14:textId="77777777" w:rsidR="00DC0632" w:rsidRDefault="00000000">
            <w:r>
              <w:t>Higher Education</w:t>
            </w:r>
          </w:p>
        </w:tc>
        <w:tc>
          <w:tcPr>
            <w:tcW w:w="0" w:type="auto"/>
          </w:tcPr>
          <w:p w14:paraId="318C23CF" w14:textId="77777777" w:rsidR="00DC0632" w:rsidRDefault="00000000">
            <w:r>
              <w:t>2.66 (1.86, 3.89)</w:t>
            </w:r>
          </w:p>
          <w:p w14:paraId="68469237" w14:textId="77777777" w:rsidR="00DC0632" w:rsidRDefault="00000000">
            <w:r>
              <w:t>1.56 (1.07, 2.32)</w:t>
            </w:r>
          </w:p>
          <w:p w14:paraId="766435E6" w14:textId="77777777" w:rsidR="00DC0632" w:rsidRDefault="00000000">
            <w:r>
              <w:t>1.12 (0.78, 1.65)</w:t>
            </w:r>
          </w:p>
          <w:p w14:paraId="7D74A44C" w14:textId="77777777" w:rsidR="00DC0632" w:rsidRDefault="00000000">
            <w:r>
              <w:t>Ref</w:t>
            </w:r>
          </w:p>
        </w:tc>
        <w:tc>
          <w:tcPr>
            <w:tcW w:w="0" w:type="auto"/>
          </w:tcPr>
          <w:p w14:paraId="7ECFFF9A" w14:textId="77777777" w:rsidR="00DC0632" w:rsidRDefault="00000000">
            <w:r>
              <w:t>&lt;0.001</w:t>
            </w:r>
          </w:p>
          <w:p w14:paraId="0C8DAADD" w14:textId="77777777" w:rsidR="00DC0632" w:rsidRDefault="00000000">
            <w:r>
              <w:t>0.024</w:t>
            </w:r>
          </w:p>
          <w:p w14:paraId="31E093C3" w14:textId="77777777" w:rsidR="00DC0632" w:rsidRDefault="00000000">
            <w:r>
              <w:t>0.547</w:t>
            </w:r>
          </w:p>
          <w:p w14:paraId="0F917184" w14:textId="77777777" w:rsidR="00DC0632" w:rsidRDefault="00000000">
            <w:r>
              <w:t>Ref</w:t>
            </w:r>
          </w:p>
        </w:tc>
        <w:tc>
          <w:tcPr>
            <w:tcW w:w="0" w:type="auto"/>
          </w:tcPr>
          <w:p w14:paraId="59BC87FA" w14:textId="77777777" w:rsidR="00DC0632" w:rsidRDefault="00000000">
            <w:r>
              <w:t>2.47 (1.59, 3.86)</w:t>
            </w:r>
          </w:p>
          <w:p w14:paraId="30B97669" w14:textId="77777777" w:rsidR="00DC0632" w:rsidRDefault="00000000">
            <w:r>
              <w:t>1.51 (1.04, 2.2)</w:t>
            </w:r>
          </w:p>
          <w:p w14:paraId="560065E5" w14:textId="77777777" w:rsidR="00DC0632" w:rsidRDefault="00000000">
            <w:r>
              <w:t>1.48 (1.08, 2.06)</w:t>
            </w:r>
          </w:p>
          <w:p w14:paraId="6851F488" w14:textId="77777777" w:rsidR="00DC0632" w:rsidRDefault="00000000">
            <w:r>
              <w:t>Ref</w:t>
            </w:r>
          </w:p>
        </w:tc>
        <w:tc>
          <w:tcPr>
            <w:tcW w:w="0" w:type="auto"/>
          </w:tcPr>
          <w:p w14:paraId="2B1EE64A" w14:textId="77777777" w:rsidR="00DC0632" w:rsidRDefault="00000000">
            <w:r>
              <w:t>&lt;0.001</w:t>
            </w:r>
          </w:p>
          <w:p w14:paraId="5B757967" w14:textId="77777777" w:rsidR="00DC0632" w:rsidRDefault="00000000">
            <w:r>
              <w:t>0.032</w:t>
            </w:r>
          </w:p>
          <w:p w14:paraId="44BF3A10" w14:textId="77777777" w:rsidR="00DC0632" w:rsidRDefault="00000000">
            <w:r>
              <w:t>0.018</w:t>
            </w:r>
          </w:p>
          <w:p w14:paraId="772342E3" w14:textId="77777777" w:rsidR="00DC0632" w:rsidRDefault="00000000">
            <w:r>
              <w:t>Ref</w:t>
            </w:r>
          </w:p>
        </w:tc>
      </w:tr>
      <w:tr w:rsidR="00DC0632" w14:paraId="1DDE9A2A" w14:textId="77777777">
        <w:tc>
          <w:tcPr>
            <w:tcW w:w="0" w:type="auto"/>
          </w:tcPr>
          <w:p w14:paraId="4641779C" w14:textId="77777777" w:rsidR="00DC0632" w:rsidRDefault="00000000">
            <w:pPr>
              <w:pStyle w:val="Compact"/>
            </w:pPr>
            <w:r>
              <w:t>Wealth Index:</w:t>
            </w:r>
          </w:p>
        </w:tc>
        <w:tc>
          <w:tcPr>
            <w:tcW w:w="0" w:type="auto"/>
          </w:tcPr>
          <w:p w14:paraId="589673C9" w14:textId="77777777" w:rsidR="00DC0632" w:rsidRDefault="00DC0632">
            <w:pPr>
              <w:pStyle w:val="Compact"/>
            </w:pPr>
          </w:p>
        </w:tc>
        <w:tc>
          <w:tcPr>
            <w:tcW w:w="0" w:type="auto"/>
          </w:tcPr>
          <w:p w14:paraId="1EE4D73D" w14:textId="77777777" w:rsidR="00DC0632" w:rsidRDefault="00DC0632">
            <w:pPr>
              <w:pStyle w:val="Compact"/>
            </w:pPr>
          </w:p>
        </w:tc>
        <w:tc>
          <w:tcPr>
            <w:tcW w:w="0" w:type="auto"/>
          </w:tcPr>
          <w:p w14:paraId="4C22043E" w14:textId="77777777" w:rsidR="00DC0632" w:rsidRDefault="00DC0632">
            <w:pPr>
              <w:pStyle w:val="Compact"/>
            </w:pPr>
          </w:p>
        </w:tc>
        <w:tc>
          <w:tcPr>
            <w:tcW w:w="0" w:type="auto"/>
          </w:tcPr>
          <w:p w14:paraId="5009AA7F" w14:textId="77777777" w:rsidR="00DC0632" w:rsidRDefault="00DC0632">
            <w:pPr>
              <w:pStyle w:val="Compact"/>
            </w:pPr>
          </w:p>
        </w:tc>
      </w:tr>
      <w:tr w:rsidR="00DC0632" w14:paraId="2D49F8EF" w14:textId="77777777">
        <w:tc>
          <w:tcPr>
            <w:tcW w:w="0" w:type="auto"/>
          </w:tcPr>
          <w:p w14:paraId="7FCCF06E" w14:textId="77777777" w:rsidR="00DC0632" w:rsidRDefault="00000000">
            <w:r>
              <w:t>Poorest</w:t>
            </w:r>
          </w:p>
          <w:p w14:paraId="7430AE7C" w14:textId="77777777" w:rsidR="00DC0632" w:rsidRDefault="00000000">
            <w:r>
              <w:t>Poorer</w:t>
            </w:r>
          </w:p>
          <w:p w14:paraId="0AA2B513" w14:textId="77777777" w:rsidR="00DC0632" w:rsidRDefault="00000000">
            <w:r>
              <w:t>Middle</w:t>
            </w:r>
          </w:p>
          <w:p w14:paraId="1F094E48" w14:textId="77777777" w:rsidR="00DC0632" w:rsidRDefault="00000000">
            <w:r>
              <w:lastRenderedPageBreak/>
              <w:t>Richer</w:t>
            </w:r>
          </w:p>
          <w:p w14:paraId="430CD25C" w14:textId="77777777" w:rsidR="00DC0632" w:rsidRDefault="00000000">
            <w:r>
              <w:t>Richest</w:t>
            </w:r>
          </w:p>
        </w:tc>
        <w:tc>
          <w:tcPr>
            <w:tcW w:w="0" w:type="auto"/>
          </w:tcPr>
          <w:p w14:paraId="5DEEE1B8" w14:textId="77777777" w:rsidR="00DC0632" w:rsidRDefault="00000000">
            <w:r>
              <w:lastRenderedPageBreak/>
              <w:t>2.06 (1.49, 2.86)</w:t>
            </w:r>
          </w:p>
          <w:p w14:paraId="305648EE" w14:textId="77777777" w:rsidR="00DC0632" w:rsidRDefault="00000000">
            <w:r>
              <w:t>1.71 (1.25, 2.38)</w:t>
            </w:r>
          </w:p>
          <w:p w14:paraId="79389A50" w14:textId="77777777" w:rsidR="00DC0632" w:rsidRDefault="00000000">
            <w:r>
              <w:t>1.41 (1.03, 1.94)</w:t>
            </w:r>
          </w:p>
          <w:p w14:paraId="0B84F6B0" w14:textId="77777777" w:rsidR="00DC0632" w:rsidRDefault="00000000">
            <w:r>
              <w:lastRenderedPageBreak/>
              <w:t>1.17 (0.85, 1.62)</w:t>
            </w:r>
          </w:p>
          <w:p w14:paraId="06F868BA" w14:textId="77777777" w:rsidR="00DC0632" w:rsidRDefault="00000000">
            <w:r>
              <w:t>Ref</w:t>
            </w:r>
          </w:p>
        </w:tc>
        <w:tc>
          <w:tcPr>
            <w:tcW w:w="0" w:type="auto"/>
          </w:tcPr>
          <w:p w14:paraId="02D6502F" w14:textId="77777777" w:rsidR="00DC0632" w:rsidRDefault="00000000">
            <w:r>
              <w:lastRenderedPageBreak/>
              <w:t>&lt;0.001</w:t>
            </w:r>
          </w:p>
          <w:p w14:paraId="72CEDFC8" w14:textId="77777777" w:rsidR="00DC0632" w:rsidRDefault="00000000">
            <w:r>
              <w:t>0.001</w:t>
            </w:r>
          </w:p>
          <w:p w14:paraId="056BEB28" w14:textId="77777777" w:rsidR="00DC0632" w:rsidRDefault="00000000">
            <w:r>
              <w:t>0.033</w:t>
            </w:r>
          </w:p>
          <w:p w14:paraId="18290C84" w14:textId="77777777" w:rsidR="00DC0632" w:rsidRDefault="00000000">
            <w:r>
              <w:lastRenderedPageBreak/>
              <w:t>0.332</w:t>
            </w:r>
          </w:p>
          <w:p w14:paraId="79D1D328" w14:textId="77777777" w:rsidR="00DC0632" w:rsidRDefault="00000000">
            <w:r>
              <w:t>Ref</w:t>
            </w:r>
          </w:p>
        </w:tc>
        <w:tc>
          <w:tcPr>
            <w:tcW w:w="0" w:type="auto"/>
          </w:tcPr>
          <w:p w14:paraId="019E9002" w14:textId="77777777" w:rsidR="00DC0632" w:rsidRDefault="00000000">
            <w:r>
              <w:lastRenderedPageBreak/>
              <w:t>1.71 (1.08, 2.66)</w:t>
            </w:r>
          </w:p>
          <w:p w14:paraId="3B07548C" w14:textId="77777777" w:rsidR="00DC0632" w:rsidRDefault="00000000">
            <w:r>
              <w:t>1.46 (1.03, 2.06)</w:t>
            </w:r>
          </w:p>
          <w:p w14:paraId="23436511" w14:textId="77777777" w:rsidR="00DC0632" w:rsidRDefault="00000000">
            <w:r>
              <w:t>1.79 (1.37, 2.35)</w:t>
            </w:r>
          </w:p>
          <w:p w14:paraId="6B88F2D2" w14:textId="77777777" w:rsidR="00DC0632" w:rsidRDefault="00000000">
            <w:r>
              <w:lastRenderedPageBreak/>
              <w:t>1.24 (0.96, 1.61)</w:t>
            </w:r>
          </w:p>
          <w:p w14:paraId="7FD86496" w14:textId="77777777" w:rsidR="00DC0632" w:rsidRDefault="00000000">
            <w:r>
              <w:t>Ref</w:t>
            </w:r>
          </w:p>
        </w:tc>
        <w:tc>
          <w:tcPr>
            <w:tcW w:w="0" w:type="auto"/>
          </w:tcPr>
          <w:p w14:paraId="2B97C9E7" w14:textId="77777777" w:rsidR="00DC0632" w:rsidRDefault="00000000">
            <w:r>
              <w:lastRenderedPageBreak/>
              <w:t>0.019</w:t>
            </w:r>
          </w:p>
          <w:p w14:paraId="79295CAF" w14:textId="77777777" w:rsidR="00DC0632" w:rsidRDefault="00000000">
            <w:r>
              <w:t>0.032</w:t>
            </w:r>
          </w:p>
          <w:p w14:paraId="42D5A780" w14:textId="77777777" w:rsidR="00DC0632" w:rsidRDefault="00000000">
            <w:r>
              <w:t>&lt;0.001</w:t>
            </w:r>
          </w:p>
          <w:p w14:paraId="1987B225" w14:textId="77777777" w:rsidR="00DC0632" w:rsidRDefault="00000000">
            <w:r>
              <w:lastRenderedPageBreak/>
              <w:t>0.095</w:t>
            </w:r>
          </w:p>
          <w:p w14:paraId="05C9E45A" w14:textId="77777777" w:rsidR="00DC0632" w:rsidRDefault="00000000">
            <w:r>
              <w:t>Ref</w:t>
            </w:r>
          </w:p>
        </w:tc>
      </w:tr>
      <w:tr w:rsidR="00DC0632" w14:paraId="5824995F" w14:textId="77777777">
        <w:tc>
          <w:tcPr>
            <w:tcW w:w="0" w:type="auto"/>
          </w:tcPr>
          <w:p w14:paraId="09DFB10F" w14:textId="77777777" w:rsidR="00DC0632" w:rsidRDefault="00000000">
            <w:pPr>
              <w:pStyle w:val="Compact"/>
            </w:pPr>
            <w:r>
              <w:lastRenderedPageBreak/>
              <w:t>Employment:</w:t>
            </w:r>
          </w:p>
        </w:tc>
        <w:tc>
          <w:tcPr>
            <w:tcW w:w="0" w:type="auto"/>
          </w:tcPr>
          <w:p w14:paraId="659843D2" w14:textId="77777777" w:rsidR="00DC0632" w:rsidRDefault="00DC0632">
            <w:pPr>
              <w:pStyle w:val="Compact"/>
            </w:pPr>
          </w:p>
        </w:tc>
        <w:tc>
          <w:tcPr>
            <w:tcW w:w="0" w:type="auto"/>
          </w:tcPr>
          <w:p w14:paraId="1D6EB20C" w14:textId="77777777" w:rsidR="00DC0632" w:rsidRDefault="00DC0632">
            <w:pPr>
              <w:pStyle w:val="Compact"/>
            </w:pPr>
          </w:p>
        </w:tc>
        <w:tc>
          <w:tcPr>
            <w:tcW w:w="0" w:type="auto"/>
          </w:tcPr>
          <w:p w14:paraId="3AB13945" w14:textId="77777777" w:rsidR="00DC0632" w:rsidRDefault="00DC0632">
            <w:pPr>
              <w:pStyle w:val="Compact"/>
            </w:pPr>
          </w:p>
        </w:tc>
        <w:tc>
          <w:tcPr>
            <w:tcW w:w="0" w:type="auto"/>
          </w:tcPr>
          <w:p w14:paraId="3BEEEDC6" w14:textId="77777777" w:rsidR="00DC0632" w:rsidRDefault="00DC0632">
            <w:pPr>
              <w:pStyle w:val="Compact"/>
            </w:pPr>
          </w:p>
        </w:tc>
      </w:tr>
      <w:tr w:rsidR="00DC0632" w14:paraId="75EEED37" w14:textId="77777777">
        <w:tc>
          <w:tcPr>
            <w:tcW w:w="0" w:type="auto"/>
          </w:tcPr>
          <w:p w14:paraId="0F1CC68E" w14:textId="77777777" w:rsidR="00DC0632" w:rsidRDefault="00000000">
            <w:r>
              <w:t>Not employed</w:t>
            </w:r>
          </w:p>
          <w:p w14:paraId="5DF9DE6C" w14:textId="77777777" w:rsidR="00DC0632" w:rsidRDefault="00000000">
            <w:r>
              <w:t>Employed</w:t>
            </w:r>
          </w:p>
        </w:tc>
        <w:tc>
          <w:tcPr>
            <w:tcW w:w="0" w:type="auto"/>
          </w:tcPr>
          <w:p w14:paraId="55D6AED9" w14:textId="77777777" w:rsidR="00DC0632" w:rsidRDefault="00000000">
            <w:r>
              <w:t>1.14 (1.02, 1.28)</w:t>
            </w:r>
          </w:p>
          <w:p w14:paraId="27FE9DF7" w14:textId="77777777" w:rsidR="00DC0632" w:rsidRDefault="00000000">
            <w:r>
              <w:t>Ref</w:t>
            </w:r>
          </w:p>
        </w:tc>
        <w:tc>
          <w:tcPr>
            <w:tcW w:w="0" w:type="auto"/>
          </w:tcPr>
          <w:p w14:paraId="6DFECC1E" w14:textId="77777777" w:rsidR="00DC0632" w:rsidRDefault="00000000">
            <w:r>
              <w:t>0.018</w:t>
            </w:r>
          </w:p>
          <w:p w14:paraId="62E98E5C" w14:textId="77777777" w:rsidR="00DC0632" w:rsidRDefault="00000000">
            <w:r>
              <w:t>Ref</w:t>
            </w:r>
          </w:p>
        </w:tc>
        <w:tc>
          <w:tcPr>
            <w:tcW w:w="0" w:type="auto"/>
          </w:tcPr>
          <w:p w14:paraId="35075C2E" w14:textId="77777777" w:rsidR="00DC0632" w:rsidRDefault="00000000">
            <w:r>
              <w:t>0.91 (0.72 - 1.15)</w:t>
            </w:r>
          </w:p>
          <w:p w14:paraId="766814BE" w14:textId="77777777" w:rsidR="00DC0632" w:rsidRDefault="00000000">
            <w:r>
              <w:t>Ref</w:t>
            </w:r>
          </w:p>
        </w:tc>
        <w:tc>
          <w:tcPr>
            <w:tcW w:w="0" w:type="auto"/>
          </w:tcPr>
          <w:p w14:paraId="11F0BA88" w14:textId="77777777" w:rsidR="00DC0632" w:rsidRDefault="00000000">
            <w:r>
              <w:t>0.454</w:t>
            </w:r>
          </w:p>
          <w:p w14:paraId="5B30B079" w14:textId="77777777" w:rsidR="00DC0632" w:rsidRDefault="00000000">
            <w:r>
              <w:t>Ref</w:t>
            </w:r>
          </w:p>
        </w:tc>
      </w:tr>
    </w:tbl>
    <w:p w14:paraId="6A0F6052" w14:textId="77777777" w:rsidR="00DC0632" w:rsidRDefault="00000000">
      <w:pPr>
        <w:pStyle w:val="BodyText"/>
      </w:pPr>
      <w:r>
        <w:t>Table 7 shows the association between maternal deprivation factors and underweight stratified by region (North and South). Factors that increased the odds of being underweight were having a mother without formal education (</w:t>
      </w:r>
      <w:proofErr w:type="spellStart"/>
      <w:r>
        <w:t>aOR</w:t>
      </w:r>
      <w:proofErr w:type="spellEnd"/>
      <w:r>
        <w:t xml:space="preserve"> = 2.66; 95 % CI 1.86, 3.89; p &lt;0.001), or with primary education only (</w:t>
      </w:r>
      <w:proofErr w:type="spellStart"/>
      <w:r>
        <w:t>aOR</w:t>
      </w:r>
      <w:proofErr w:type="spellEnd"/>
      <w:r>
        <w:t xml:space="preserve"> = 1·56; 95 % CI 1.07, 2.32; p =0.024); maternal unemployment in the North (OR = 1.14; 95% CI 1.02, 1.28; p =0.018), and children from the poorest, poorer, and middle class households. Compared to children from the richest homes, those from the poorest, poorer, and middle income homes had 2.06 (OR = 2.06; 95% CI 1.49, 2.86; p &lt;0.001), 1.71 (OR = 1.71; 95% CI 1.25, 2.38; p =0.001), and 1.41(OR = 1.41; 95% CI 1.03, 1.94; p =0.033) times greater odds respectively of underweight in the North and 1.71 (OR = 1.71; 95% CI 1.08, 2.66; p =0.019), 1.46 (OR = 1.46; 95% CI 1.03, 2.06; p =0.032), and 1.79 (OR = 1.79; 95% CI 1.37, 2.35; p &lt;0.001) times greater odds of underweight in the South. In the South, the association between employment and underweight was not significant (OR = 0.91; 95% CI 0.72, 1.15; p =0.454)</w:t>
      </w:r>
    </w:p>
    <w:p w14:paraId="6AEF280A" w14:textId="77777777" w:rsidR="00DC0632" w:rsidRDefault="00000000">
      <w:pPr>
        <w:pStyle w:val="Heading2"/>
      </w:pPr>
      <w:bookmarkStart w:id="19" w:name="discussion"/>
      <w:bookmarkEnd w:id="13"/>
      <w:bookmarkEnd w:id="14"/>
      <w:bookmarkEnd w:id="18"/>
      <w:r>
        <w:lastRenderedPageBreak/>
        <w:t>Discussion</w:t>
      </w:r>
    </w:p>
    <w:p w14:paraId="73E00A4E" w14:textId="77777777" w:rsidR="00DC0632" w:rsidRDefault="00000000">
      <w:pPr>
        <w:pStyle w:val="Heading3"/>
      </w:pPr>
      <w:bookmarkStart w:id="20" w:name="summary-of-results"/>
      <w:r>
        <w:t>Summary of Results</w:t>
      </w:r>
    </w:p>
    <w:p w14:paraId="74F84A25" w14:textId="77777777" w:rsidR="00DC0632" w:rsidRDefault="00000000">
      <w:pPr>
        <w:pStyle w:val="FirstParagraph"/>
      </w:pPr>
      <w:r>
        <w:t xml:space="preserve">This study examines the effects of living in the North vs. living in the South on undernutrition, the difference in maternal social deprivation factors by region, and the influence of these factors on undernutrition in children under 5 years in Nigeria. The study shows evidence that living in the North increases a child’s odds of being undernourished compared to living in the South. This association was modified by age of the child, with children between 2 and 5 years having greater odds of undernutrition than children below 2 years. However, this regional difference in the distribution of undernutrition can be explained partly by the differences in maternal deprivation in both regions. Results show that maternal social deprivation factors are more prevalent in the North. Children from the North were more likely to reside in rural areas, have mothers with no formal education, mothers who were unemployed, or be from poor households. This study also shows that maternal social deprivation is associated with undernutrition in children. All the indices of maternal deprivation except rural residence significantly increased the odds that a child is undernourished. Across all 3 indices of undernutrition, the most consistent factors affecting childhood undernutrition were the mother’s education (no formal education) and wealth index (poorest households). There was a reduced likelihood of undernutrition with each higher level of education. Children whose mothers had a lower level of education were more likely to be undernourished than children of mothers with a higher level of education. The odds of being undernourished also increased as the wealth index reduced. These factors were modified by region. The odds of being underweight or stunted across most measures were higher for the North than the South. Unemployment was not a significant predictor of underweight status in the South but raised the odds in </w:t>
      </w:r>
      <w:r>
        <w:lastRenderedPageBreak/>
        <w:t>the North by 14%. The study shows that these factors differ across regions with children in the North having mothers who are more socially deprived than those in the South.</w:t>
      </w:r>
    </w:p>
    <w:p w14:paraId="7441585C" w14:textId="77777777" w:rsidR="00DC0632" w:rsidRDefault="00000000">
      <w:pPr>
        <w:pStyle w:val="Heading3"/>
      </w:pPr>
      <w:bookmarkStart w:id="21" w:name="significance-of-results"/>
      <w:bookmarkEnd w:id="20"/>
      <w:r>
        <w:t>Significance of Results</w:t>
      </w:r>
    </w:p>
    <w:p w14:paraId="09E7C96C" w14:textId="77777777" w:rsidR="00DC0632" w:rsidRDefault="00000000">
      <w:pPr>
        <w:pStyle w:val="FirstParagraph"/>
      </w:pPr>
      <w:r>
        <w:t>There are disparities in the nutritional status of children across regions and these disparities affect mostly those who are from the poorest households and the uneducated. These disparities in undernutrition by region could be explained by the significant differences in maternal social deprivation between the North and the South. Poverty, lack of education, and unemployment were more prevalent among mothers in the North compared to the South. Parents who are poor may not be able to afford nutritious food for their children. Poverty may lead to undernutrition through the lack of adequate food, exposure to infections, and poor access to health care services.</w:t>
      </w:r>
      <w:r>
        <w:rPr>
          <w:vertAlign w:val="superscript"/>
        </w:rPr>
        <w:t>24,25</w:t>
      </w:r>
      <w:r>
        <w:t xml:space="preserve"> Likewise, uneducated parents may not be able to make informed decisions regarding the provision of nutritious foods from available food options. Also, parents who are educated are more likely to be </w:t>
      </w:r>
      <w:proofErr w:type="spellStart"/>
      <w:r>
        <w:t>be</w:t>
      </w:r>
      <w:proofErr w:type="spellEnd"/>
      <w:r>
        <w:t xml:space="preserve"> gainfully employed and financially empowered.</w:t>
      </w:r>
      <w:r>
        <w:rPr>
          <w:vertAlign w:val="superscript"/>
        </w:rPr>
        <w:t>26</w:t>
      </w:r>
      <w:r>
        <w:t xml:space="preserve"> Educated parents are also more likely to have access to information to make healthy food decisions for their children and allocate the household income and food resources to favor children.</w:t>
      </w:r>
      <w:r>
        <w:rPr>
          <w:vertAlign w:val="superscript"/>
        </w:rPr>
        <w:t>27</w:t>
      </w:r>
    </w:p>
    <w:p w14:paraId="1C26DB6D" w14:textId="77777777" w:rsidR="00DC0632" w:rsidRDefault="00000000">
      <w:pPr>
        <w:pStyle w:val="BodyText"/>
      </w:pPr>
      <w:r>
        <w:t>The higher burden of undernutrition in the North compared to the South may also be due to the growing security issues in the northern part of Nigeria which has led to an economic decline and increase in rates of poverty.</w:t>
      </w:r>
      <w:r>
        <w:rPr>
          <w:vertAlign w:val="superscript"/>
        </w:rPr>
        <w:t>28</w:t>
      </w:r>
      <w:r>
        <w:t xml:space="preserve"> Cultural practices and beliefs may also have a bearing on the burden of undernutrition. For instance, some homes may have intra-familial food allocation practices that favor adults over children, and this may be rooted in culture.</w:t>
      </w:r>
      <w:r>
        <w:rPr>
          <w:vertAlign w:val="superscript"/>
        </w:rPr>
        <w:t>29</w:t>
      </w:r>
      <w:r>
        <w:t xml:space="preserve"> These practices may prohibit children from eating some foods which they ideally require to have a balanced diet.</w:t>
      </w:r>
      <w:r>
        <w:rPr>
          <w:vertAlign w:val="superscript"/>
        </w:rPr>
        <w:t>30</w:t>
      </w:r>
      <w:r>
        <w:t xml:space="preserve"> Cultural practices may also determine the timing of, and type of foods introduced at weaning.</w:t>
      </w:r>
      <w:r>
        <w:rPr>
          <w:vertAlign w:val="superscript"/>
        </w:rPr>
        <w:t>31</w:t>
      </w:r>
      <w:r>
        <w:t xml:space="preserve"> The difference in odds of undernutrition by age groups may be </w:t>
      </w:r>
      <w:r>
        <w:lastRenderedPageBreak/>
        <w:t>explained by a shift in focus and attention from an older child by a mother, after the birth of a younger sibling, leaving the older child relatively neglected.</w:t>
      </w:r>
      <w:r>
        <w:rPr>
          <w:vertAlign w:val="superscript"/>
        </w:rPr>
        <w:t>32</w:t>
      </w:r>
    </w:p>
    <w:p w14:paraId="19BC9800" w14:textId="77777777" w:rsidR="00DC0632" w:rsidRDefault="00000000">
      <w:pPr>
        <w:pStyle w:val="BodyText"/>
      </w:pPr>
      <w:r>
        <w:t>Findings from the present study are consistent with other studies that have found associations between maternal deprivation and undernutrition.</w:t>
      </w:r>
      <w:r>
        <w:rPr>
          <w:vertAlign w:val="superscript"/>
        </w:rPr>
        <w:t>33–37</w:t>
      </w:r>
      <w:r>
        <w:t xml:space="preserve"> However, unlike some other studies, this present study found no association between rural residence and undernutrition.</w:t>
      </w:r>
      <w:r>
        <w:rPr>
          <w:vertAlign w:val="superscript"/>
        </w:rPr>
        <w:t>38–40</w:t>
      </w:r>
      <w:r>
        <w:t xml:space="preserve"> The finding of increased odds of undernutrition in children between 2 to 5 years compared to children less than 2 years is unexpected as several studies have shown and focused on the higher burden in those less than 2 years.</w:t>
      </w:r>
      <w:r>
        <w:rPr>
          <w:vertAlign w:val="superscript"/>
        </w:rPr>
        <w:t>41,42</w:t>
      </w:r>
      <w:r>
        <w:t xml:space="preserve"> However, </w:t>
      </w:r>
      <w:proofErr w:type="spellStart"/>
      <w:r>
        <w:t>Oninla</w:t>
      </w:r>
      <w:proofErr w:type="spellEnd"/>
      <w:r>
        <w:t xml:space="preserve"> et al also demonstrated an increased risk of undernutrition with increasing age in their study.</w:t>
      </w:r>
      <w:r>
        <w:rPr>
          <w:vertAlign w:val="superscript"/>
        </w:rPr>
        <w:t>43</w:t>
      </w:r>
    </w:p>
    <w:p w14:paraId="732002B3" w14:textId="77777777" w:rsidR="00DC0632" w:rsidRDefault="00000000">
      <w:pPr>
        <w:pStyle w:val="BodyText"/>
      </w:pPr>
      <w:r>
        <w:t>Another study conducted in Bangladesh also found geographical disparities in undernutrition and in the distribution of maternal deprivation factors like poor education and poverty.</w:t>
      </w:r>
      <w:r>
        <w:rPr>
          <w:vertAlign w:val="superscript"/>
        </w:rPr>
        <w:t>44</w:t>
      </w:r>
      <w:r>
        <w:t xml:space="preserve"> This highlights the social divide between the rich and the poor and how this may have adverse consequences on the health of children.</w:t>
      </w:r>
    </w:p>
    <w:p w14:paraId="2E1490E7" w14:textId="77777777" w:rsidR="00DC0632" w:rsidRDefault="00000000">
      <w:pPr>
        <w:pStyle w:val="Heading3"/>
      </w:pPr>
      <w:bookmarkStart w:id="22" w:name="policy-and-practice-implications"/>
      <w:bookmarkEnd w:id="21"/>
      <w:r>
        <w:t>Policy And Practice Implications</w:t>
      </w:r>
    </w:p>
    <w:p w14:paraId="6607BBC4" w14:textId="77777777" w:rsidR="00DC0632" w:rsidRDefault="00000000">
      <w:pPr>
        <w:pStyle w:val="FirstParagraph"/>
      </w:pPr>
      <w:r>
        <w:t xml:space="preserve">The findings in this study underscore the importance of policies aimed at reducing undernutrition to target mothers as well as children. Such policies should aim at improving maternal deprivation factors as well as empowering women financially and should focus on the most vulnerable groups such as households with low income and low educational achievement. There is a need to close the economic gap between regions in Nigeria. This can be done by redistributing resources and spreading development to the poorest areas. Infrastructural development and reduced taxation on industries located in these areas may encourage the migration of other companies to these areas, which will help improve the </w:t>
      </w:r>
      <w:r>
        <w:lastRenderedPageBreak/>
        <w:t>economic outlook of these areas and empower their residents. It is also imperative that programs to reduce undernutrition are tailored to regions rather than a one-size-fits-all national program that may not take into cognizance the peculiarities of the region in which it is being implemented.</w:t>
      </w:r>
    </w:p>
    <w:p w14:paraId="51BB43D7" w14:textId="77777777" w:rsidR="00DC0632" w:rsidRDefault="00000000">
      <w:pPr>
        <w:pStyle w:val="BodyText"/>
      </w:pPr>
      <w:r>
        <w:t>The implications for practice are those of planning and implementing programs targeted at undernutrition which should consider maternal literacy and family income in the design of food programs. Food programs should also teach in an easily understandable manner, how to access the most nutritious foods on a limited budget. It is also important to provide integrated health care with collaborations between clinical and public health professionals. Diagnosis of malnutrition in primary care facilities- where growth monitoring first highlights this issue and subsequent treatment should be followed by referral to appropriate community services to ensure that both children and their parents receive necessary aid to mitigate risk and subsequent relapse. Increased odds of undernutrition in children between ages 2 to 5 years have implications for focusing programs on this age group. Since most children in Nigeria begin schooling at age of 2-3 years, school-based food programs may be targeted at this age group with success.</w:t>
      </w:r>
    </w:p>
    <w:p w14:paraId="18266FB1" w14:textId="77777777" w:rsidR="00DC0632" w:rsidRDefault="00000000">
      <w:pPr>
        <w:pStyle w:val="Heading3"/>
      </w:pPr>
      <w:bookmarkStart w:id="23" w:name="limitations-and-strengths"/>
      <w:bookmarkEnd w:id="22"/>
      <w:r>
        <w:t>Limitations And Strengths</w:t>
      </w:r>
    </w:p>
    <w:p w14:paraId="159791F3" w14:textId="77777777" w:rsidR="00DC0632" w:rsidRDefault="00000000">
      <w:pPr>
        <w:pStyle w:val="FirstParagraph"/>
      </w:pPr>
      <w:r>
        <w:t>There are a few drawbacks to this study. First, the cross-sectional nature of this study does not permit making a causal inference. Secondly, wealth was not measured directly but was estimated using a proxy. This is because wealth is often difficult to measure in developing countries like Nigeria due to improper documentation of income and expenditure. Therefore, the use of a proxy measure like assets is often sufficient to estimate wealth.</w:t>
      </w:r>
    </w:p>
    <w:p w14:paraId="72C6D70A" w14:textId="77777777" w:rsidR="00DC0632" w:rsidRDefault="00000000">
      <w:pPr>
        <w:pStyle w:val="BodyText"/>
      </w:pPr>
      <w:r>
        <w:lastRenderedPageBreak/>
        <w:t>Despite these limitations, the study has some notable strengths including the large sample size which would increase the power of the study and enable the generalization of the study results to the entire population. Also, this study is useful in highlighting the huge disparities in maternal factors between regions and identifying the most important factors affecting childhood undernutrition.</w:t>
      </w:r>
    </w:p>
    <w:p w14:paraId="51348A93" w14:textId="77777777" w:rsidR="00DC0632" w:rsidRDefault="00000000">
      <w:pPr>
        <w:pStyle w:val="Heading3"/>
      </w:pPr>
      <w:bookmarkStart w:id="24" w:name="conclusions"/>
      <w:bookmarkEnd w:id="23"/>
      <w:r>
        <w:t>Conclusions</w:t>
      </w:r>
    </w:p>
    <w:p w14:paraId="67B511A0" w14:textId="77777777" w:rsidR="00DC0632" w:rsidRDefault="00000000">
      <w:pPr>
        <w:pStyle w:val="FirstParagraph"/>
      </w:pPr>
      <w:r>
        <w:t>This study confirms the role of maternal deprivation in childhood undernutrition. It also confirms that there are significant differences in maternal factors between the Northern parts of Nigeria and Southern Nigeria and these differences may be responsible for the differences in the prevalence of undernutrition between the two regions. Policies and programs targeted toward the improvement of childhood undernutrition should be community-centered and focus on mitigating these inequalities. Investing in maternal education, employment, and financial empowerment may be instrumental in reducing the rates of childhood undernutrition in areas deemed most at risk. The government should also be encouraged to tighten security in the North which will allow economic improvement and alleviate poverty. Programs currently being implemented in the North to address undernutrition should be evaluated to measure impact as well as to determine possible areas of modification and improvement. Programs that have been evaluated for their effectiveness in the South should also be adapted for implementation in the North if these programs have been shown to reduce the burden of undernutrition in the South. Future directions for research include assessing the role of environmental factors like inadequate water and sanitation, diarrhea, and other infections in childhood in the regional differences in undernutrition in Nigeria. This is necessary for the focusing of community-based interventions according to the region of need.</w:t>
      </w:r>
    </w:p>
    <w:p w14:paraId="28721A5E" w14:textId="77777777" w:rsidR="00DC0632" w:rsidRDefault="00000000">
      <w:pPr>
        <w:pStyle w:val="Heading2"/>
      </w:pPr>
      <w:bookmarkStart w:id="25" w:name="bibliography"/>
      <w:bookmarkEnd w:id="19"/>
      <w:bookmarkEnd w:id="24"/>
      <w:r>
        <w:lastRenderedPageBreak/>
        <w:t>Bibliography</w:t>
      </w:r>
    </w:p>
    <w:p w14:paraId="3C6A4990" w14:textId="77777777" w:rsidR="00DC0632" w:rsidRDefault="00000000">
      <w:pPr>
        <w:pStyle w:val="Bibliography"/>
      </w:pPr>
      <w:bookmarkStart w:id="26" w:name="ref-factshea"/>
      <w:bookmarkStart w:id="27" w:name="refs"/>
      <w:r>
        <w:t xml:space="preserve">1. </w:t>
      </w:r>
      <w:r>
        <w:tab/>
        <w:t xml:space="preserve">Fact sheets - malnutrition. </w:t>
      </w:r>
      <w:hyperlink r:id="rId8">
        <w:r>
          <w:rPr>
            <w:rStyle w:val="Hyperlink"/>
          </w:rPr>
          <w:t>https://www.who.int/news-room/fact-sheets/detail/malnutrition</w:t>
        </w:r>
      </w:hyperlink>
    </w:p>
    <w:p w14:paraId="5494E2BE" w14:textId="77777777" w:rsidR="00DC0632" w:rsidRDefault="00000000">
      <w:pPr>
        <w:pStyle w:val="Bibliography"/>
      </w:pPr>
      <w:bookmarkStart w:id="28" w:name="ref-maleta2006"/>
      <w:bookmarkEnd w:id="26"/>
      <w:r>
        <w:t xml:space="preserve">2. </w:t>
      </w:r>
      <w:r>
        <w:tab/>
        <w:t xml:space="preserve">Maleta P. Undernutrition. </w:t>
      </w:r>
      <w:r>
        <w:rPr>
          <w:i/>
          <w:iCs/>
        </w:rPr>
        <w:t xml:space="preserve">Malawi Medical </w:t>
      </w:r>
      <w:proofErr w:type="gramStart"/>
      <w:r>
        <w:rPr>
          <w:i/>
          <w:iCs/>
        </w:rPr>
        <w:t>Journal :</w:t>
      </w:r>
      <w:proofErr w:type="gramEnd"/>
      <w:r>
        <w:rPr>
          <w:i/>
          <w:iCs/>
        </w:rPr>
        <w:t xml:space="preserve"> The Journal of Medical Association of Malawi</w:t>
      </w:r>
      <w:r>
        <w:t>. 2006;18(4):189. doi:</w:t>
      </w:r>
      <w:hyperlink r:id="rId9">
        <w:r>
          <w:rPr>
            <w:rStyle w:val="Hyperlink"/>
          </w:rPr>
          <w:t>10.1002/9781444327779.ch17</w:t>
        </w:r>
      </w:hyperlink>
    </w:p>
    <w:p w14:paraId="6ECB6D29" w14:textId="77777777" w:rsidR="00DC0632" w:rsidRDefault="00000000">
      <w:pPr>
        <w:pStyle w:val="Bibliography"/>
      </w:pPr>
      <w:bookmarkStart w:id="29" w:name="ref-n2019"/>
      <w:bookmarkEnd w:id="28"/>
      <w:r>
        <w:t xml:space="preserve">3. </w:t>
      </w:r>
      <w:r>
        <w:tab/>
        <w:t xml:space="preserve">N A, N E, K Y, O F, RS K. Predictors of early childhood undernutrition in </w:t>
      </w:r>
      <w:proofErr w:type="spellStart"/>
      <w:r>
        <w:t>nigeria</w:t>
      </w:r>
      <w:proofErr w:type="spellEnd"/>
      <w:r>
        <w:t xml:space="preserve">: The role of maternal autonomy. </w:t>
      </w:r>
      <w:r>
        <w:rPr>
          <w:i/>
          <w:iCs/>
        </w:rPr>
        <w:t>Public health nutrition</w:t>
      </w:r>
      <w:r>
        <w:t>. 2019;22(12):2279-2289. doi:</w:t>
      </w:r>
      <w:hyperlink r:id="rId10">
        <w:r>
          <w:rPr>
            <w:rStyle w:val="Hyperlink"/>
          </w:rPr>
          <w:t>10.1017/S1368980019000818</w:t>
        </w:r>
      </w:hyperlink>
    </w:p>
    <w:p w14:paraId="0D27AB71" w14:textId="77777777" w:rsidR="00DC0632" w:rsidRDefault="00000000">
      <w:pPr>
        <w:pStyle w:val="Bibliography"/>
      </w:pPr>
      <w:bookmarkStart w:id="30" w:name="ref-factsheb"/>
      <w:bookmarkEnd w:id="29"/>
      <w:r>
        <w:t xml:space="preserve">4. </w:t>
      </w:r>
      <w:r>
        <w:tab/>
        <w:t xml:space="preserve">Fact sheets - malnutrition. </w:t>
      </w:r>
      <w:hyperlink r:id="rId11">
        <w:r>
          <w:rPr>
            <w:rStyle w:val="Hyperlink"/>
          </w:rPr>
          <w:t>https://www.who.int/news-room/fact-sheets/detail/malnutrition</w:t>
        </w:r>
      </w:hyperlink>
    </w:p>
    <w:p w14:paraId="45E8D71B" w14:textId="77777777" w:rsidR="00DC0632" w:rsidRDefault="00000000">
      <w:pPr>
        <w:pStyle w:val="Bibliography"/>
      </w:pPr>
      <w:bookmarkStart w:id="31" w:name="ref-factshec"/>
      <w:bookmarkEnd w:id="30"/>
      <w:r>
        <w:t xml:space="preserve">5. </w:t>
      </w:r>
      <w:r>
        <w:tab/>
        <w:t xml:space="preserve">Fact sheets - malnutrition. </w:t>
      </w:r>
      <w:hyperlink r:id="rId12">
        <w:r>
          <w:rPr>
            <w:rStyle w:val="Hyperlink"/>
          </w:rPr>
          <w:t>https://www.who.int/news-room/fact-sheets/detail/malnutrition</w:t>
        </w:r>
      </w:hyperlink>
    </w:p>
    <w:p w14:paraId="10910479" w14:textId="77777777" w:rsidR="00DC0632" w:rsidRDefault="00000000">
      <w:pPr>
        <w:pStyle w:val="Bibliography"/>
      </w:pPr>
      <w:bookmarkStart w:id="32" w:name="ref-nutritio"/>
      <w:bookmarkEnd w:id="31"/>
      <w:r>
        <w:t xml:space="preserve">6. </w:t>
      </w:r>
      <w:r>
        <w:tab/>
        <w:t xml:space="preserve">Nutrition landscape information system: Help content. </w:t>
      </w:r>
      <w:hyperlink r:id="rId13">
        <w:r>
          <w:rPr>
            <w:rStyle w:val="Hyperlink"/>
          </w:rPr>
          <w:t>https://apps.who.int/nutrition/landscape/help.aspx?menu=0&amp;helpid=391&amp;lang=EN</w:t>
        </w:r>
      </w:hyperlink>
    </w:p>
    <w:p w14:paraId="26654B62" w14:textId="77777777" w:rsidR="00DC0632" w:rsidRDefault="00000000">
      <w:pPr>
        <w:pStyle w:val="Bibliography"/>
      </w:pPr>
      <w:bookmarkStart w:id="33" w:name="ref-thefede2019"/>
      <w:bookmarkEnd w:id="32"/>
      <w:r>
        <w:t xml:space="preserve">7. </w:t>
      </w:r>
      <w:r>
        <w:tab/>
        <w:t xml:space="preserve">The federal republic of </w:t>
      </w:r>
      <w:proofErr w:type="spellStart"/>
      <w:r>
        <w:t>nigeria</w:t>
      </w:r>
      <w:proofErr w:type="spellEnd"/>
      <w:r>
        <w:t xml:space="preserve"> </w:t>
      </w:r>
      <w:proofErr w:type="spellStart"/>
      <w:r>
        <w:t>nigeria</w:t>
      </w:r>
      <w:proofErr w:type="spellEnd"/>
      <w:r>
        <w:t xml:space="preserve"> demographic and health survey 2018 national population commission </w:t>
      </w:r>
      <w:proofErr w:type="spellStart"/>
      <w:r>
        <w:t>abuja</w:t>
      </w:r>
      <w:proofErr w:type="spellEnd"/>
      <w:r>
        <w:t xml:space="preserve">, </w:t>
      </w:r>
      <w:proofErr w:type="spellStart"/>
      <w:r>
        <w:t>nigeria</w:t>
      </w:r>
      <w:proofErr w:type="spellEnd"/>
      <w:r>
        <w:t xml:space="preserve">. Published online 2019. </w:t>
      </w:r>
      <w:hyperlink r:id="rId14">
        <w:r>
          <w:rPr>
            <w:rStyle w:val="Hyperlink"/>
          </w:rPr>
          <w:t>www.DHSprogram.com.</w:t>
        </w:r>
      </w:hyperlink>
    </w:p>
    <w:p w14:paraId="1709B5A3" w14:textId="77777777" w:rsidR="00DC0632" w:rsidRDefault="00000000">
      <w:pPr>
        <w:pStyle w:val="Bibliography"/>
      </w:pPr>
      <w:bookmarkStart w:id="34" w:name="ref-thefede2019a"/>
      <w:bookmarkEnd w:id="33"/>
      <w:r>
        <w:t xml:space="preserve">8. </w:t>
      </w:r>
      <w:r>
        <w:tab/>
        <w:t xml:space="preserve">The federal republic of </w:t>
      </w:r>
      <w:proofErr w:type="spellStart"/>
      <w:r>
        <w:t>nigeria</w:t>
      </w:r>
      <w:proofErr w:type="spellEnd"/>
      <w:r>
        <w:t xml:space="preserve"> </w:t>
      </w:r>
      <w:proofErr w:type="spellStart"/>
      <w:r>
        <w:t>nigeria</w:t>
      </w:r>
      <w:proofErr w:type="spellEnd"/>
      <w:r>
        <w:t xml:space="preserve"> demographic and health survey 2018 national population commission </w:t>
      </w:r>
      <w:proofErr w:type="spellStart"/>
      <w:r>
        <w:t>abuja</w:t>
      </w:r>
      <w:proofErr w:type="spellEnd"/>
      <w:r>
        <w:t xml:space="preserve">, </w:t>
      </w:r>
      <w:proofErr w:type="spellStart"/>
      <w:r>
        <w:t>nigeria</w:t>
      </w:r>
      <w:proofErr w:type="spellEnd"/>
      <w:r>
        <w:t xml:space="preserve">. Published online 2019. </w:t>
      </w:r>
      <w:hyperlink r:id="rId15">
        <w:r>
          <w:rPr>
            <w:rStyle w:val="Hyperlink"/>
          </w:rPr>
          <w:t>www.DHSprogram.com.</w:t>
        </w:r>
      </w:hyperlink>
    </w:p>
    <w:p w14:paraId="6A89E92E" w14:textId="77777777" w:rsidR="00DC0632" w:rsidRDefault="00000000">
      <w:pPr>
        <w:pStyle w:val="Bibliography"/>
      </w:pPr>
      <w:bookmarkStart w:id="35" w:name="ref-adekanmbi2013"/>
      <w:bookmarkEnd w:id="34"/>
      <w:r>
        <w:t xml:space="preserve">9. </w:t>
      </w:r>
      <w:r>
        <w:tab/>
      </w:r>
      <w:proofErr w:type="spellStart"/>
      <w:r>
        <w:t>Adekanmbi</w:t>
      </w:r>
      <w:proofErr w:type="spellEnd"/>
      <w:r>
        <w:t xml:space="preserve"> VT, Uthman OA, </w:t>
      </w:r>
      <w:proofErr w:type="spellStart"/>
      <w:r>
        <w:t>Mudasiru</w:t>
      </w:r>
      <w:proofErr w:type="spellEnd"/>
      <w:r>
        <w:t xml:space="preserve"> OM. Exploring variations in childhood stunting in </w:t>
      </w:r>
      <w:proofErr w:type="spellStart"/>
      <w:r>
        <w:t>nigeria</w:t>
      </w:r>
      <w:proofErr w:type="spellEnd"/>
      <w:r>
        <w:t xml:space="preserve"> using league table, control chart and spatial analysis. </w:t>
      </w:r>
      <w:r>
        <w:rPr>
          <w:i/>
          <w:iCs/>
        </w:rPr>
        <w:t>BMC Public Health</w:t>
      </w:r>
      <w:r>
        <w:t>. 2013;13(1):361. doi:</w:t>
      </w:r>
      <w:hyperlink r:id="rId16">
        <w:r>
          <w:rPr>
            <w:rStyle w:val="Hyperlink"/>
          </w:rPr>
          <w:t>10.1186/1471-2458-13-361</w:t>
        </w:r>
      </w:hyperlink>
    </w:p>
    <w:p w14:paraId="47C3880A" w14:textId="77777777" w:rsidR="00DC0632" w:rsidRDefault="00000000">
      <w:pPr>
        <w:pStyle w:val="Bibliography"/>
      </w:pPr>
      <w:bookmarkStart w:id="36" w:name="ref-akombi2017"/>
      <w:bookmarkEnd w:id="35"/>
      <w:r>
        <w:lastRenderedPageBreak/>
        <w:t xml:space="preserve">10. </w:t>
      </w:r>
      <w:r>
        <w:tab/>
      </w:r>
      <w:proofErr w:type="spellStart"/>
      <w:r>
        <w:t>Akombi</w:t>
      </w:r>
      <w:proofErr w:type="spellEnd"/>
      <w:r>
        <w:t xml:space="preserve"> BJ, </w:t>
      </w:r>
      <w:proofErr w:type="spellStart"/>
      <w:r>
        <w:t>Agho</w:t>
      </w:r>
      <w:proofErr w:type="spellEnd"/>
      <w:r>
        <w:t xml:space="preserve"> KE, Hall JJ, Merom D, Astell-Burt T, </w:t>
      </w:r>
      <w:proofErr w:type="spellStart"/>
      <w:r>
        <w:t>Renzaho</w:t>
      </w:r>
      <w:proofErr w:type="spellEnd"/>
      <w:r>
        <w:t xml:space="preserve"> AMN. Stunting and severe stunting among children under-5 years in </w:t>
      </w:r>
      <w:proofErr w:type="spellStart"/>
      <w:r>
        <w:t>nigeria</w:t>
      </w:r>
      <w:proofErr w:type="spellEnd"/>
      <w:r>
        <w:t xml:space="preserve">: A multilevel analysis. </w:t>
      </w:r>
      <w:r>
        <w:rPr>
          <w:i/>
          <w:iCs/>
        </w:rPr>
        <w:t>BMC Pediatrics</w:t>
      </w:r>
      <w:r>
        <w:t>. 2017;17(1). doi:</w:t>
      </w:r>
      <w:hyperlink r:id="rId17">
        <w:r>
          <w:rPr>
            <w:rStyle w:val="Hyperlink"/>
          </w:rPr>
          <w:t>10.1186/S12887-016-0770-Z</w:t>
        </w:r>
      </w:hyperlink>
    </w:p>
    <w:p w14:paraId="3346CAEA" w14:textId="77777777" w:rsidR="00DC0632" w:rsidRDefault="00000000">
      <w:pPr>
        <w:pStyle w:val="Bibliography"/>
      </w:pPr>
      <w:bookmarkStart w:id="37" w:name="ref-amare2018"/>
      <w:bookmarkEnd w:id="36"/>
      <w:r>
        <w:t xml:space="preserve">11. </w:t>
      </w:r>
      <w:r>
        <w:tab/>
        <w:t xml:space="preserve">Amare M, Benson T, </w:t>
      </w:r>
      <w:proofErr w:type="spellStart"/>
      <w:r>
        <w:t>Fadare</w:t>
      </w:r>
      <w:proofErr w:type="spellEnd"/>
      <w:r>
        <w:t xml:space="preserve"> O, Oyeyemi M. Study of the determinants of chronic malnutrition in northern </w:t>
      </w:r>
      <w:proofErr w:type="spellStart"/>
      <w:r>
        <w:t>nigeria</w:t>
      </w:r>
      <w:proofErr w:type="spellEnd"/>
      <w:r>
        <w:t xml:space="preserve">: Quantitative evidence from the </w:t>
      </w:r>
      <w:proofErr w:type="spellStart"/>
      <w:r>
        <w:t>nigeria</w:t>
      </w:r>
      <w:proofErr w:type="spellEnd"/>
      <w:r>
        <w:t xml:space="preserve"> demographic and health surveys international food policy research institute (IFPRI) working paper 45 (</w:t>
      </w:r>
      <w:proofErr w:type="spellStart"/>
      <w:r>
        <w:t>september</w:t>
      </w:r>
      <w:proofErr w:type="spellEnd"/>
      <w:r>
        <w:t xml:space="preserve"> 2017): </w:t>
      </w:r>
      <w:r>
        <w:rPr>
          <w:i/>
          <w:iCs/>
        </w:rPr>
        <w:t>https://doiorg/101177/0379572118768568</w:t>
      </w:r>
      <w:r>
        <w:t>. 2018;39(2):296-314. doi:</w:t>
      </w:r>
      <w:hyperlink r:id="rId18">
        <w:r>
          <w:rPr>
            <w:rStyle w:val="Hyperlink"/>
          </w:rPr>
          <w:t>10.1177/0379572118768568</w:t>
        </w:r>
      </w:hyperlink>
    </w:p>
    <w:p w14:paraId="3DE34056" w14:textId="77777777" w:rsidR="00DC0632" w:rsidRDefault="00000000">
      <w:pPr>
        <w:pStyle w:val="Bibliography"/>
      </w:pPr>
      <w:bookmarkStart w:id="38" w:name="ref-n2019a"/>
      <w:bookmarkEnd w:id="37"/>
      <w:r>
        <w:t xml:space="preserve">12. </w:t>
      </w:r>
      <w:r>
        <w:tab/>
        <w:t xml:space="preserve">N A, N E, K Y, O F, RS K. Predictors of early childhood undernutrition in </w:t>
      </w:r>
      <w:proofErr w:type="spellStart"/>
      <w:r>
        <w:t>nigeria</w:t>
      </w:r>
      <w:proofErr w:type="spellEnd"/>
      <w:r>
        <w:t xml:space="preserve">: The role of maternal autonomy. </w:t>
      </w:r>
      <w:r>
        <w:rPr>
          <w:i/>
          <w:iCs/>
        </w:rPr>
        <w:t>Public health nutrition</w:t>
      </w:r>
      <w:r>
        <w:t>. 2019;22(12):2279-2289. doi:</w:t>
      </w:r>
      <w:hyperlink r:id="rId19">
        <w:r>
          <w:rPr>
            <w:rStyle w:val="Hyperlink"/>
          </w:rPr>
          <w:t>10.1017/S1368980019000818</w:t>
        </w:r>
      </w:hyperlink>
    </w:p>
    <w:p w14:paraId="5227E81A" w14:textId="77777777" w:rsidR="00DC0632" w:rsidRDefault="00000000">
      <w:pPr>
        <w:pStyle w:val="Bibliography"/>
      </w:pPr>
      <w:bookmarkStart w:id="39" w:name="ref-wariri2020"/>
      <w:bookmarkEnd w:id="38"/>
      <w:r>
        <w:t xml:space="preserve">13. </w:t>
      </w:r>
      <w:r>
        <w:tab/>
      </w:r>
      <w:proofErr w:type="spellStart"/>
      <w:r>
        <w:t>Wariri</w:t>
      </w:r>
      <w:proofErr w:type="spellEnd"/>
      <w:r>
        <w:t xml:space="preserve"> O, </w:t>
      </w:r>
      <w:proofErr w:type="spellStart"/>
      <w:r>
        <w:t>Akhimienho</w:t>
      </w:r>
      <w:proofErr w:type="spellEnd"/>
      <w:r>
        <w:t xml:space="preserve"> KI, Alhassan JAK, et al. Population and individual-level double burden of malnutrition among adolescents in two emerging cities in northern and southern </w:t>
      </w:r>
      <w:proofErr w:type="spellStart"/>
      <w:r>
        <w:t>nigeria</w:t>
      </w:r>
      <w:proofErr w:type="spellEnd"/>
      <w:r>
        <w:t xml:space="preserve">: A comparative cross-sectional study. </w:t>
      </w:r>
      <w:r>
        <w:rPr>
          <w:i/>
          <w:iCs/>
        </w:rPr>
        <w:t>Annals of Global Health</w:t>
      </w:r>
      <w:r>
        <w:t>. 2020;86(1):1-11. doi:</w:t>
      </w:r>
      <w:hyperlink r:id="rId20">
        <w:r>
          <w:rPr>
            <w:rStyle w:val="Hyperlink"/>
          </w:rPr>
          <w:t>10.5334/AOGH.3093</w:t>
        </w:r>
      </w:hyperlink>
    </w:p>
    <w:p w14:paraId="60000483" w14:textId="77777777" w:rsidR="00DC0632" w:rsidRDefault="00000000">
      <w:pPr>
        <w:pStyle w:val="Bibliography"/>
      </w:pPr>
      <w:bookmarkStart w:id="40" w:name="ref-n2019b"/>
      <w:bookmarkEnd w:id="39"/>
      <w:r>
        <w:t xml:space="preserve">14. </w:t>
      </w:r>
      <w:r>
        <w:tab/>
        <w:t xml:space="preserve">N A, N E, K Y, O F, RS K. Predictors of early childhood undernutrition in </w:t>
      </w:r>
      <w:proofErr w:type="spellStart"/>
      <w:r>
        <w:t>nigeria</w:t>
      </w:r>
      <w:proofErr w:type="spellEnd"/>
      <w:r>
        <w:t xml:space="preserve">: The role of maternal autonomy. </w:t>
      </w:r>
      <w:r>
        <w:rPr>
          <w:i/>
          <w:iCs/>
        </w:rPr>
        <w:t>Public health nutrition</w:t>
      </w:r>
      <w:r>
        <w:t>. 2019;22(12):2279-2289. doi:</w:t>
      </w:r>
      <w:hyperlink r:id="rId21">
        <w:r>
          <w:rPr>
            <w:rStyle w:val="Hyperlink"/>
          </w:rPr>
          <w:t>10.1017/S1368980019000818</w:t>
        </w:r>
      </w:hyperlink>
    </w:p>
    <w:p w14:paraId="7BB9F1F9" w14:textId="77777777" w:rsidR="00DC0632" w:rsidRDefault="00000000">
      <w:pPr>
        <w:pStyle w:val="Bibliography"/>
      </w:pPr>
      <w:bookmarkStart w:id="41" w:name="ref-akombi2019"/>
      <w:bookmarkEnd w:id="40"/>
      <w:r>
        <w:t xml:space="preserve">15. </w:t>
      </w:r>
      <w:r>
        <w:tab/>
      </w:r>
      <w:proofErr w:type="spellStart"/>
      <w:r>
        <w:t>Akombi</w:t>
      </w:r>
      <w:proofErr w:type="spellEnd"/>
      <w:r>
        <w:t xml:space="preserve"> BJ, </w:t>
      </w:r>
      <w:proofErr w:type="spellStart"/>
      <w:r>
        <w:t>Agho</w:t>
      </w:r>
      <w:proofErr w:type="spellEnd"/>
      <w:r>
        <w:t xml:space="preserve"> KE, </w:t>
      </w:r>
      <w:proofErr w:type="spellStart"/>
      <w:r>
        <w:t>Renzaho</w:t>
      </w:r>
      <w:proofErr w:type="spellEnd"/>
      <w:r>
        <w:t xml:space="preserve"> AM, Hall JJ, Merom DR. Trends in socioeconomic inequalities in child undernutrition: Evidence from </w:t>
      </w:r>
      <w:proofErr w:type="spellStart"/>
      <w:r>
        <w:t>nigeria</w:t>
      </w:r>
      <w:proofErr w:type="spellEnd"/>
      <w:r>
        <w:t xml:space="preserve"> demographic and health survey (</w:t>
      </w:r>
      <w:proofErr w:type="gramStart"/>
      <w:r>
        <w:t>2003  2013</w:t>
      </w:r>
      <w:proofErr w:type="gramEnd"/>
      <w:r>
        <w:t xml:space="preserve">). </w:t>
      </w:r>
      <w:proofErr w:type="spellStart"/>
      <w:r>
        <w:rPr>
          <w:i/>
          <w:iCs/>
        </w:rPr>
        <w:t>PLoS</w:t>
      </w:r>
      <w:proofErr w:type="spellEnd"/>
      <w:r>
        <w:rPr>
          <w:i/>
          <w:iCs/>
        </w:rPr>
        <w:t xml:space="preserve"> ONE</w:t>
      </w:r>
      <w:r>
        <w:t>. 2019;14(2). doi:</w:t>
      </w:r>
      <w:hyperlink r:id="rId22">
        <w:r>
          <w:rPr>
            <w:rStyle w:val="Hyperlink"/>
          </w:rPr>
          <w:t>10.1371/JOURNAL.PONE.0211883</w:t>
        </w:r>
      </w:hyperlink>
    </w:p>
    <w:p w14:paraId="2784DC3D" w14:textId="77777777" w:rsidR="00DC0632" w:rsidRDefault="00000000">
      <w:pPr>
        <w:pStyle w:val="Bibliography"/>
      </w:pPr>
      <w:bookmarkStart w:id="42" w:name="ref-owoo2020"/>
      <w:bookmarkEnd w:id="41"/>
      <w:r>
        <w:t xml:space="preserve">16. </w:t>
      </w:r>
      <w:r>
        <w:tab/>
      </w:r>
      <w:proofErr w:type="spellStart"/>
      <w:r>
        <w:t>Owoo</w:t>
      </w:r>
      <w:proofErr w:type="spellEnd"/>
      <w:r>
        <w:t xml:space="preserve"> NS. Demographic considerations and food security in </w:t>
      </w:r>
      <w:proofErr w:type="spellStart"/>
      <w:r>
        <w:t>nigeria</w:t>
      </w:r>
      <w:proofErr w:type="spellEnd"/>
      <w:r>
        <w:t xml:space="preserve">. </w:t>
      </w:r>
      <w:r>
        <w:rPr>
          <w:i/>
          <w:iCs/>
        </w:rPr>
        <w:t>Journal of Social and Economic Development 2020 23:1</w:t>
      </w:r>
      <w:r>
        <w:t>. 2020;23(1):128-167. doi:</w:t>
      </w:r>
      <w:hyperlink r:id="rId23">
        <w:r>
          <w:rPr>
            <w:rStyle w:val="Hyperlink"/>
          </w:rPr>
          <w:t>10.1007/S40847-020-00116-Y</w:t>
        </w:r>
      </w:hyperlink>
    </w:p>
    <w:p w14:paraId="2F01D086" w14:textId="77777777" w:rsidR="00DC0632" w:rsidRDefault="00000000">
      <w:pPr>
        <w:pStyle w:val="Bibliography"/>
      </w:pPr>
      <w:bookmarkStart w:id="43" w:name="ref-kingsley2017"/>
      <w:bookmarkEnd w:id="42"/>
      <w:r>
        <w:lastRenderedPageBreak/>
        <w:t xml:space="preserve">17. </w:t>
      </w:r>
      <w:r>
        <w:tab/>
        <w:t xml:space="preserve">Kingsley IC, Charlie IAU, Chidi CD. Socioeconomic determinants of under-five children health outcome among childbearing mothers in </w:t>
      </w:r>
      <w:proofErr w:type="spellStart"/>
      <w:r>
        <w:t>abia</w:t>
      </w:r>
      <w:proofErr w:type="spellEnd"/>
      <w:r>
        <w:t xml:space="preserve"> state, </w:t>
      </w:r>
      <w:proofErr w:type="spellStart"/>
      <w:r>
        <w:t>nigeria</w:t>
      </w:r>
      <w:proofErr w:type="spellEnd"/>
      <w:r>
        <w:t xml:space="preserve">. </w:t>
      </w:r>
      <w:r>
        <w:rPr>
          <w:i/>
          <w:iCs/>
        </w:rPr>
        <w:t>International Journal of Sociology and Anthropology</w:t>
      </w:r>
      <w:r>
        <w:t>. 2017;9(2):17-27. doi:</w:t>
      </w:r>
      <w:hyperlink r:id="rId24">
        <w:r>
          <w:rPr>
            <w:rStyle w:val="Hyperlink"/>
          </w:rPr>
          <w:t>10.5897/IJSA2016.0678</w:t>
        </w:r>
      </w:hyperlink>
    </w:p>
    <w:p w14:paraId="73A97FA4" w14:textId="77777777" w:rsidR="00DC0632" w:rsidRDefault="00000000">
      <w:pPr>
        <w:pStyle w:val="Bibliography"/>
      </w:pPr>
      <w:bookmarkStart w:id="44" w:name="ref-gibson2001"/>
      <w:bookmarkEnd w:id="43"/>
      <w:r>
        <w:t xml:space="preserve">18. </w:t>
      </w:r>
      <w:r>
        <w:tab/>
        <w:t xml:space="preserve">Gibson J. Literacy and intrahousehold externalities. </w:t>
      </w:r>
      <w:r>
        <w:rPr>
          <w:i/>
          <w:iCs/>
        </w:rPr>
        <w:t>World Development</w:t>
      </w:r>
      <w:r>
        <w:t>. 2001;29(1):155-166. doi:</w:t>
      </w:r>
      <w:hyperlink r:id="rId25">
        <w:r>
          <w:rPr>
            <w:rStyle w:val="Hyperlink"/>
          </w:rPr>
          <w:t>10.1016/S0305-750</w:t>
        </w:r>
        <w:proofErr w:type="gramStart"/>
        <w:r>
          <w:rPr>
            <w:rStyle w:val="Hyperlink"/>
          </w:rPr>
          <w:t>X(</w:t>
        </w:r>
        <w:proofErr w:type="gramEnd"/>
        <w:r>
          <w:rPr>
            <w:rStyle w:val="Hyperlink"/>
          </w:rPr>
          <w:t>00)00082-6</w:t>
        </w:r>
      </w:hyperlink>
    </w:p>
    <w:p w14:paraId="4892A40C" w14:textId="77777777" w:rsidR="00DC0632" w:rsidRDefault="00000000">
      <w:pPr>
        <w:pStyle w:val="Bibliography"/>
      </w:pPr>
      <w:bookmarkStart w:id="45" w:name="ref-igbokwe2017a"/>
      <w:bookmarkEnd w:id="44"/>
      <w:r>
        <w:t xml:space="preserve">19. </w:t>
      </w:r>
      <w:r>
        <w:tab/>
        <w:t xml:space="preserve">Igbokwe O, </w:t>
      </w:r>
      <w:proofErr w:type="spellStart"/>
      <w:r>
        <w:t>Adimorah</w:t>
      </w:r>
      <w:proofErr w:type="spellEnd"/>
      <w:r>
        <w:t xml:space="preserve"> G, </w:t>
      </w:r>
      <w:proofErr w:type="spellStart"/>
      <w:r>
        <w:t>Ikefuna</w:t>
      </w:r>
      <w:proofErr w:type="spellEnd"/>
      <w:r>
        <w:t xml:space="preserve"> A, et al. Socio-demographic determinants of malnutrition among primary school aged children in </w:t>
      </w:r>
      <w:proofErr w:type="spellStart"/>
      <w:r>
        <w:t>enugu</w:t>
      </w:r>
      <w:proofErr w:type="spellEnd"/>
      <w:r>
        <w:t xml:space="preserve">, </w:t>
      </w:r>
      <w:proofErr w:type="spellStart"/>
      <w:r>
        <w:t>nigeria</w:t>
      </w:r>
      <w:proofErr w:type="spellEnd"/>
      <w:r>
        <w:t xml:space="preserve">. </w:t>
      </w:r>
      <w:r>
        <w:rPr>
          <w:i/>
          <w:iCs/>
        </w:rPr>
        <w:t>The Pan African Medical Journal</w:t>
      </w:r>
      <w:r>
        <w:t>. 2017;28. doi:</w:t>
      </w:r>
      <w:hyperlink r:id="rId26">
        <w:r>
          <w:rPr>
            <w:rStyle w:val="Hyperlink"/>
          </w:rPr>
          <w:t>10.11604/PAMJ.2017.28.248.13171</w:t>
        </w:r>
      </w:hyperlink>
    </w:p>
    <w:p w14:paraId="3CAC48BC" w14:textId="77777777" w:rsidR="00DC0632" w:rsidRDefault="00000000">
      <w:pPr>
        <w:pStyle w:val="Bibliography"/>
      </w:pPr>
      <w:bookmarkStart w:id="46" w:name="ref-gopalan2000"/>
      <w:bookmarkEnd w:id="45"/>
      <w:r>
        <w:t xml:space="preserve">20. </w:t>
      </w:r>
      <w:r>
        <w:tab/>
        <w:t xml:space="preserve">Gopalan S. Malnutrition: Causes, consequences, and solutions. </w:t>
      </w:r>
      <w:r>
        <w:rPr>
          <w:i/>
          <w:iCs/>
        </w:rPr>
        <w:t>Nutrition</w:t>
      </w:r>
      <w:r>
        <w:t>. 2000;16(7-8):556-558. doi:</w:t>
      </w:r>
      <w:hyperlink r:id="rId27">
        <w:r>
          <w:rPr>
            <w:rStyle w:val="Hyperlink"/>
          </w:rPr>
          <w:t>10.1016/S0899-9007(00)00315-4</w:t>
        </w:r>
      </w:hyperlink>
    </w:p>
    <w:p w14:paraId="386F2F1C" w14:textId="77777777" w:rsidR="00DC0632" w:rsidRDefault="00000000">
      <w:pPr>
        <w:pStyle w:val="Bibliography"/>
      </w:pPr>
      <w:bookmarkStart w:id="47" w:name="ref-rnb2018"/>
      <w:bookmarkEnd w:id="46"/>
      <w:r>
        <w:t xml:space="preserve">21. </w:t>
      </w:r>
      <w:r>
        <w:tab/>
        <w:t xml:space="preserve">RNB A, IC A, EU M, EA U. Prevalence and predictors of under-nutrition among school children in a rural south-eastern </w:t>
      </w:r>
      <w:proofErr w:type="spellStart"/>
      <w:r>
        <w:t>nigerian</w:t>
      </w:r>
      <w:proofErr w:type="spellEnd"/>
      <w:r>
        <w:t xml:space="preserve"> community: A cross sectional study. </w:t>
      </w:r>
      <w:r>
        <w:rPr>
          <w:i/>
          <w:iCs/>
        </w:rPr>
        <w:t>BMC public health</w:t>
      </w:r>
      <w:r>
        <w:t>. 2018;18(1). doi:</w:t>
      </w:r>
      <w:hyperlink r:id="rId28">
        <w:r>
          <w:rPr>
            <w:rStyle w:val="Hyperlink"/>
          </w:rPr>
          <w:t>10.1186/S12889-018-5479-5</w:t>
        </w:r>
      </w:hyperlink>
    </w:p>
    <w:p w14:paraId="1C6F24B5" w14:textId="77777777" w:rsidR="00DC0632" w:rsidRDefault="00000000">
      <w:pPr>
        <w:pStyle w:val="Bibliography"/>
      </w:pPr>
      <w:bookmarkStart w:id="48" w:name="ref-senbanjo2013a"/>
      <w:bookmarkEnd w:id="47"/>
      <w:r>
        <w:t xml:space="preserve">22. </w:t>
      </w:r>
      <w:r>
        <w:tab/>
      </w:r>
      <w:proofErr w:type="spellStart"/>
      <w:r>
        <w:t>Senbanjo</w:t>
      </w:r>
      <w:proofErr w:type="spellEnd"/>
      <w:r>
        <w:t xml:space="preserve"> IO, </w:t>
      </w:r>
      <w:proofErr w:type="spellStart"/>
      <w:r>
        <w:t>Olayiwola</w:t>
      </w:r>
      <w:proofErr w:type="spellEnd"/>
      <w:r>
        <w:t xml:space="preserve"> IO, Afolabi WA, </w:t>
      </w:r>
      <w:proofErr w:type="spellStart"/>
      <w:r>
        <w:t>Senbanjo</w:t>
      </w:r>
      <w:proofErr w:type="spellEnd"/>
      <w:r>
        <w:t xml:space="preserve"> OC. Maternal and child under-nutrition in rural and urban communities of </w:t>
      </w:r>
      <w:proofErr w:type="spellStart"/>
      <w:r>
        <w:t>lagos</w:t>
      </w:r>
      <w:proofErr w:type="spellEnd"/>
      <w:r>
        <w:t xml:space="preserve"> state, </w:t>
      </w:r>
      <w:proofErr w:type="spellStart"/>
      <w:r>
        <w:t>nigeria</w:t>
      </w:r>
      <w:proofErr w:type="spellEnd"/>
      <w:r>
        <w:t xml:space="preserve">: The relationship and risk factors. </w:t>
      </w:r>
      <w:r>
        <w:rPr>
          <w:i/>
          <w:iCs/>
        </w:rPr>
        <w:t>BMC Research Notes</w:t>
      </w:r>
      <w:r>
        <w:t>. 2013;6(1):286. doi:</w:t>
      </w:r>
      <w:hyperlink r:id="rId29">
        <w:r>
          <w:rPr>
            <w:rStyle w:val="Hyperlink"/>
          </w:rPr>
          <w:t>10.1186/1756-0500-6-286</w:t>
        </w:r>
      </w:hyperlink>
    </w:p>
    <w:p w14:paraId="6EDFFDEE" w14:textId="77777777" w:rsidR="00DC0632" w:rsidRDefault="00000000">
      <w:pPr>
        <w:pStyle w:val="Bibliography"/>
      </w:pPr>
      <w:bookmarkStart w:id="49" w:name="ref-oninla2007b"/>
      <w:bookmarkEnd w:id="48"/>
      <w:r>
        <w:t xml:space="preserve">23. </w:t>
      </w:r>
      <w:r>
        <w:tab/>
      </w:r>
      <w:proofErr w:type="spellStart"/>
      <w:r>
        <w:t>Oninla</w:t>
      </w:r>
      <w:proofErr w:type="spellEnd"/>
      <w:r>
        <w:t xml:space="preserve"> SO, </w:t>
      </w:r>
      <w:proofErr w:type="spellStart"/>
      <w:r>
        <w:t>Owa</w:t>
      </w:r>
      <w:proofErr w:type="spellEnd"/>
      <w:r>
        <w:t xml:space="preserve"> JA, </w:t>
      </w:r>
      <w:proofErr w:type="spellStart"/>
      <w:r>
        <w:t>Onayade</w:t>
      </w:r>
      <w:proofErr w:type="spellEnd"/>
      <w:r>
        <w:t xml:space="preserve"> AA, Taiwo O. Comparative study of nutritional status of urban and rural </w:t>
      </w:r>
      <w:proofErr w:type="spellStart"/>
      <w:r>
        <w:t>nigerian</w:t>
      </w:r>
      <w:proofErr w:type="spellEnd"/>
      <w:r>
        <w:t xml:space="preserve"> school children. </w:t>
      </w:r>
      <w:r>
        <w:rPr>
          <w:i/>
          <w:iCs/>
        </w:rPr>
        <w:t>Journal of Tropical Pediatrics</w:t>
      </w:r>
      <w:r>
        <w:t>. 2007;53(1):39-43. doi:</w:t>
      </w:r>
      <w:hyperlink r:id="rId30">
        <w:r>
          <w:rPr>
            <w:rStyle w:val="Hyperlink"/>
          </w:rPr>
          <w:t>10.1093/TROPEJ/FML051</w:t>
        </w:r>
      </w:hyperlink>
    </w:p>
    <w:p w14:paraId="221D8CEC" w14:textId="77777777" w:rsidR="00DC0632" w:rsidRDefault="00000000">
      <w:pPr>
        <w:pStyle w:val="Bibliography"/>
      </w:pPr>
      <w:bookmarkStart w:id="50" w:name="ref-nandy2005"/>
      <w:bookmarkEnd w:id="49"/>
      <w:r>
        <w:lastRenderedPageBreak/>
        <w:t xml:space="preserve">24. </w:t>
      </w:r>
      <w:r>
        <w:tab/>
      </w:r>
      <w:proofErr w:type="spellStart"/>
      <w:r>
        <w:t>Nandy</w:t>
      </w:r>
      <w:proofErr w:type="spellEnd"/>
      <w:r>
        <w:t xml:space="preserve"> S, Irving M, Gordon D, Subramanian SV, George &amp;, Smith D. Poverty, child undernutrition and morbidity: </w:t>
      </w:r>
      <w:proofErr w:type="gramStart"/>
      <w:r>
        <w:t>New</w:t>
      </w:r>
      <w:proofErr w:type="gramEnd"/>
      <w:r>
        <w:t xml:space="preserve"> evidence from </w:t>
      </w:r>
      <w:proofErr w:type="spellStart"/>
      <w:r>
        <w:t>india</w:t>
      </w:r>
      <w:proofErr w:type="spellEnd"/>
      <w:r>
        <w:t xml:space="preserve">. </w:t>
      </w:r>
      <w:r>
        <w:rPr>
          <w:i/>
          <w:iCs/>
        </w:rPr>
        <w:t>Bulletin of the World Health Organization</w:t>
      </w:r>
      <w:r>
        <w:t xml:space="preserve">. 2005;83(3). </w:t>
      </w:r>
      <w:hyperlink r:id="rId31">
        <w:r>
          <w:rPr>
            <w:rStyle w:val="Hyperlink"/>
          </w:rPr>
          <w:t>http://www.measuredhs.com</w:t>
        </w:r>
      </w:hyperlink>
    </w:p>
    <w:p w14:paraId="62B3FE24" w14:textId="77777777" w:rsidR="00DC0632" w:rsidRDefault="00000000">
      <w:pPr>
        <w:pStyle w:val="Bibliography"/>
      </w:pPr>
      <w:bookmarkStart w:id="51" w:name="ref-manyong2021"/>
      <w:bookmarkEnd w:id="50"/>
      <w:r>
        <w:t xml:space="preserve">25. </w:t>
      </w:r>
      <w:r>
        <w:tab/>
      </w:r>
      <w:proofErr w:type="spellStart"/>
      <w:r>
        <w:t>Manyong</w:t>
      </w:r>
      <w:proofErr w:type="spellEnd"/>
      <w:r>
        <w:t xml:space="preserve"> VM, Abdoulaye T, </w:t>
      </w:r>
      <w:proofErr w:type="spellStart"/>
      <w:r>
        <w:t>Ojide</w:t>
      </w:r>
      <w:proofErr w:type="spellEnd"/>
      <w:r>
        <w:t xml:space="preserve"> M, et al. Household hunger, poverty, and childcare in 5 states of </w:t>
      </w:r>
      <w:proofErr w:type="spellStart"/>
      <w:r>
        <w:t>nigeria</w:t>
      </w:r>
      <w:proofErr w:type="spellEnd"/>
      <w:r>
        <w:t xml:space="preserve"> and their impacts on nutritional outcomes in preschool children. </w:t>
      </w:r>
      <w:r>
        <w:rPr>
          <w:i/>
          <w:iCs/>
        </w:rPr>
        <w:t>Food and Nutrition Bulletin</w:t>
      </w:r>
      <w:r>
        <w:t>. 2021;42(2):188-209. doi:</w:t>
      </w:r>
      <w:hyperlink r:id="rId32">
        <w:r>
          <w:rPr>
            <w:rStyle w:val="Hyperlink"/>
          </w:rPr>
          <w:t>10.1177/03795721211009482</w:t>
        </w:r>
      </w:hyperlink>
    </w:p>
    <w:p w14:paraId="2E29A510" w14:textId="77777777" w:rsidR="00DC0632" w:rsidRDefault="00000000">
      <w:pPr>
        <w:pStyle w:val="Bibliography"/>
      </w:pPr>
      <w:bookmarkStart w:id="52" w:name="ref-igbokwe2017c"/>
      <w:bookmarkEnd w:id="51"/>
      <w:r>
        <w:t xml:space="preserve">26. </w:t>
      </w:r>
      <w:r>
        <w:tab/>
        <w:t xml:space="preserve">Igbokwe O, </w:t>
      </w:r>
      <w:proofErr w:type="spellStart"/>
      <w:r>
        <w:t>Adimorah</w:t>
      </w:r>
      <w:proofErr w:type="spellEnd"/>
      <w:r>
        <w:t xml:space="preserve"> G, </w:t>
      </w:r>
      <w:proofErr w:type="spellStart"/>
      <w:r>
        <w:t>Ikefuna</w:t>
      </w:r>
      <w:proofErr w:type="spellEnd"/>
      <w:r>
        <w:t xml:space="preserve"> A, et al. Socio-demographic determinants of malnutrition among primary school aged children in </w:t>
      </w:r>
      <w:proofErr w:type="spellStart"/>
      <w:r>
        <w:t>enugu</w:t>
      </w:r>
      <w:proofErr w:type="spellEnd"/>
      <w:r>
        <w:t xml:space="preserve">, </w:t>
      </w:r>
      <w:proofErr w:type="spellStart"/>
      <w:r>
        <w:t>nigeria</w:t>
      </w:r>
      <w:proofErr w:type="spellEnd"/>
      <w:r>
        <w:t xml:space="preserve">. </w:t>
      </w:r>
      <w:r>
        <w:rPr>
          <w:i/>
          <w:iCs/>
        </w:rPr>
        <w:t>The Pan African Medical Journal</w:t>
      </w:r>
      <w:r>
        <w:t>. 2017;28. doi:</w:t>
      </w:r>
      <w:hyperlink r:id="rId33">
        <w:r>
          <w:rPr>
            <w:rStyle w:val="Hyperlink"/>
          </w:rPr>
          <w:t>10.11604/PAMJ.2017.28.248.13171</w:t>
        </w:r>
      </w:hyperlink>
    </w:p>
    <w:p w14:paraId="0EAE2591" w14:textId="77777777" w:rsidR="00DC0632" w:rsidRDefault="00000000">
      <w:pPr>
        <w:pStyle w:val="Bibliography"/>
      </w:pPr>
      <w:bookmarkStart w:id="53" w:name="ref-igbokwe2017b"/>
      <w:bookmarkEnd w:id="52"/>
      <w:r>
        <w:t xml:space="preserve">27. </w:t>
      </w:r>
      <w:r>
        <w:tab/>
        <w:t xml:space="preserve">Igbokwe O, </w:t>
      </w:r>
      <w:proofErr w:type="spellStart"/>
      <w:r>
        <w:t>Adimorah</w:t>
      </w:r>
      <w:proofErr w:type="spellEnd"/>
      <w:r>
        <w:t xml:space="preserve"> G, </w:t>
      </w:r>
      <w:proofErr w:type="spellStart"/>
      <w:r>
        <w:t>Ikefuna</w:t>
      </w:r>
      <w:proofErr w:type="spellEnd"/>
      <w:r>
        <w:t xml:space="preserve"> A, et al. Socio-demographic determinants of malnutrition among primary school aged children in </w:t>
      </w:r>
      <w:proofErr w:type="spellStart"/>
      <w:r>
        <w:t>enugu</w:t>
      </w:r>
      <w:proofErr w:type="spellEnd"/>
      <w:r>
        <w:t xml:space="preserve">, </w:t>
      </w:r>
      <w:proofErr w:type="spellStart"/>
      <w:r>
        <w:t>nigeria</w:t>
      </w:r>
      <w:proofErr w:type="spellEnd"/>
      <w:r>
        <w:t xml:space="preserve">. </w:t>
      </w:r>
      <w:r>
        <w:rPr>
          <w:i/>
          <w:iCs/>
        </w:rPr>
        <w:t>The Pan African Medical Journal</w:t>
      </w:r>
      <w:r>
        <w:t>. 2017;28. doi:</w:t>
      </w:r>
      <w:hyperlink r:id="rId34">
        <w:r>
          <w:rPr>
            <w:rStyle w:val="Hyperlink"/>
          </w:rPr>
          <w:t>10.11604/PAMJ.2017.28.248.13171</w:t>
        </w:r>
      </w:hyperlink>
    </w:p>
    <w:p w14:paraId="49E3DB7B" w14:textId="77777777" w:rsidR="00DC0632" w:rsidRDefault="00000000">
      <w:pPr>
        <w:pStyle w:val="Bibliography"/>
      </w:pPr>
      <w:bookmarkStart w:id="54" w:name="ref-worldbankgroup2015"/>
      <w:bookmarkEnd w:id="53"/>
      <w:r>
        <w:t xml:space="preserve">28. </w:t>
      </w:r>
      <w:r>
        <w:tab/>
        <w:t xml:space="preserve">World Bank Group. </w:t>
      </w:r>
      <w:r>
        <w:rPr>
          <w:i/>
          <w:iCs/>
        </w:rPr>
        <w:t>Nigeria Economic Report</w:t>
      </w:r>
      <w:r>
        <w:t>.; 2015.</w:t>
      </w:r>
    </w:p>
    <w:p w14:paraId="4567D32D" w14:textId="77777777" w:rsidR="00DC0632" w:rsidRDefault="00000000">
      <w:pPr>
        <w:pStyle w:val="Bibliography"/>
      </w:pPr>
      <w:bookmarkStart w:id="55" w:name="ref-mock1994"/>
      <w:bookmarkEnd w:id="54"/>
      <w:r>
        <w:t xml:space="preserve">29. </w:t>
      </w:r>
      <w:r>
        <w:tab/>
        <w:t xml:space="preserve">Mock NB, Magnani RJ, </w:t>
      </w:r>
      <w:proofErr w:type="spellStart"/>
      <w:r>
        <w:t>Abdoh</w:t>
      </w:r>
      <w:proofErr w:type="spellEnd"/>
      <w:r>
        <w:t xml:space="preserve"> AA, </w:t>
      </w:r>
      <w:proofErr w:type="spellStart"/>
      <w:r>
        <w:t>Konde</w:t>
      </w:r>
      <w:proofErr w:type="spellEnd"/>
      <w:r>
        <w:t xml:space="preserve"> MK. Intra-household correlations in maternal-child nutritional status in rural guinea: Implications for </w:t>
      </w:r>
      <w:proofErr w:type="spellStart"/>
      <w:r>
        <w:t>programme</w:t>
      </w:r>
      <w:proofErr w:type="spellEnd"/>
      <w:r>
        <w:t xml:space="preserve">-screening strategies. </w:t>
      </w:r>
      <w:r>
        <w:rPr>
          <w:i/>
          <w:iCs/>
        </w:rPr>
        <w:t>Bulletin of the World Health Organization</w:t>
      </w:r>
      <w:r>
        <w:t xml:space="preserve">. 1994;72(1):119. </w:t>
      </w:r>
      <w:hyperlink r:id="rId35">
        <w:r>
          <w:rPr>
            <w:rStyle w:val="Hyperlink"/>
          </w:rPr>
          <w:t>/</w:t>
        </w:r>
        <w:proofErr w:type="spellStart"/>
        <w:r>
          <w:rPr>
            <w:rStyle w:val="Hyperlink"/>
          </w:rPr>
          <w:t>pmc</w:t>
        </w:r>
        <w:proofErr w:type="spellEnd"/>
        <w:r>
          <w:rPr>
            <w:rStyle w:val="Hyperlink"/>
          </w:rPr>
          <w:t>/articles/PMC2486510/?report=abstract</w:t>
        </w:r>
      </w:hyperlink>
    </w:p>
    <w:p w14:paraId="3B1D48DA" w14:textId="77777777" w:rsidR="00DC0632" w:rsidRDefault="00000000">
      <w:pPr>
        <w:pStyle w:val="Bibliography"/>
      </w:pPr>
      <w:bookmarkStart w:id="56" w:name="ref-oninla2007c"/>
      <w:bookmarkEnd w:id="55"/>
      <w:r>
        <w:t xml:space="preserve">30. </w:t>
      </w:r>
      <w:r>
        <w:tab/>
      </w:r>
      <w:proofErr w:type="spellStart"/>
      <w:r>
        <w:t>Oninla</w:t>
      </w:r>
      <w:proofErr w:type="spellEnd"/>
      <w:r>
        <w:t xml:space="preserve"> SO, </w:t>
      </w:r>
      <w:proofErr w:type="spellStart"/>
      <w:r>
        <w:t>Owa</w:t>
      </w:r>
      <w:proofErr w:type="spellEnd"/>
      <w:r>
        <w:t xml:space="preserve"> JA, </w:t>
      </w:r>
      <w:proofErr w:type="spellStart"/>
      <w:r>
        <w:t>Onayade</w:t>
      </w:r>
      <w:proofErr w:type="spellEnd"/>
      <w:r>
        <w:t xml:space="preserve"> AA, Taiwo O. Comparative study of nutritional status of urban and rural </w:t>
      </w:r>
      <w:proofErr w:type="spellStart"/>
      <w:r>
        <w:t>nigerian</w:t>
      </w:r>
      <w:proofErr w:type="spellEnd"/>
      <w:r>
        <w:t xml:space="preserve"> school children. </w:t>
      </w:r>
      <w:r>
        <w:rPr>
          <w:i/>
          <w:iCs/>
        </w:rPr>
        <w:t>Journal of Tropical Pediatrics</w:t>
      </w:r>
      <w:r>
        <w:t>. 2007;53(1):39-43. doi:</w:t>
      </w:r>
      <w:hyperlink r:id="rId36">
        <w:r>
          <w:rPr>
            <w:rStyle w:val="Hyperlink"/>
          </w:rPr>
          <w:t>10.1093/TROPEJ/FML051</w:t>
        </w:r>
      </w:hyperlink>
    </w:p>
    <w:p w14:paraId="6D80B56D" w14:textId="77777777" w:rsidR="00DC0632" w:rsidRDefault="00000000">
      <w:pPr>
        <w:pStyle w:val="Bibliography"/>
      </w:pPr>
      <w:bookmarkStart w:id="57" w:name="ref-n2019e"/>
      <w:bookmarkEnd w:id="56"/>
      <w:r>
        <w:lastRenderedPageBreak/>
        <w:t xml:space="preserve">31. </w:t>
      </w:r>
      <w:r>
        <w:tab/>
        <w:t xml:space="preserve">N A, N E, K Y, O F, RS K. Predictors of early childhood undernutrition in </w:t>
      </w:r>
      <w:proofErr w:type="spellStart"/>
      <w:r>
        <w:t>nigeria</w:t>
      </w:r>
      <w:proofErr w:type="spellEnd"/>
      <w:r>
        <w:t xml:space="preserve">: The role of maternal autonomy. </w:t>
      </w:r>
      <w:r>
        <w:rPr>
          <w:i/>
          <w:iCs/>
        </w:rPr>
        <w:t>Public health nutrition</w:t>
      </w:r>
      <w:r>
        <w:t>. 2019;22(12):2279-2289. doi:</w:t>
      </w:r>
      <w:hyperlink r:id="rId37">
        <w:r>
          <w:rPr>
            <w:rStyle w:val="Hyperlink"/>
          </w:rPr>
          <w:t>10.1017/S1368980019000818</w:t>
        </w:r>
      </w:hyperlink>
    </w:p>
    <w:p w14:paraId="7DBCF574" w14:textId="77777777" w:rsidR="00DC0632" w:rsidRDefault="00000000">
      <w:pPr>
        <w:pStyle w:val="Bibliography"/>
      </w:pPr>
      <w:bookmarkStart w:id="58" w:name="ref-oninla2007d"/>
      <w:bookmarkEnd w:id="57"/>
      <w:r>
        <w:t xml:space="preserve">32. </w:t>
      </w:r>
      <w:r>
        <w:tab/>
      </w:r>
      <w:proofErr w:type="spellStart"/>
      <w:r>
        <w:t>Oninla</w:t>
      </w:r>
      <w:proofErr w:type="spellEnd"/>
      <w:r>
        <w:t xml:space="preserve"> SO, </w:t>
      </w:r>
      <w:proofErr w:type="spellStart"/>
      <w:r>
        <w:t>Owa</w:t>
      </w:r>
      <w:proofErr w:type="spellEnd"/>
      <w:r>
        <w:t xml:space="preserve"> JA, </w:t>
      </w:r>
      <w:proofErr w:type="spellStart"/>
      <w:r>
        <w:t>Onayade</w:t>
      </w:r>
      <w:proofErr w:type="spellEnd"/>
      <w:r>
        <w:t xml:space="preserve"> AA, Taiwo O. Comparative study of nutritional status of urban and rural </w:t>
      </w:r>
      <w:proofErr w:type="spellStart"/>
      <w:r>
        <w:t>nigerian</w:t>
      </w:r>
      <w:proofErr w:type="spellEnd"/>
      <w:r>
        <w:t xml:space="preserve"> school children. </w:t>
      </w:r>
      <w:r>
        <w:rPr>
          <w:i/>
          <w:iCs/>
        </w:rPr>
        <w:t>Journal of Tropical Pediatrics</w:t>
      </w:r>
      <w:r>
        <w:t>. 2007;53(1):39-43. doi:</w:t>
      </w:r>
      <w:hyperlink r:id="rId38">
        <w:r>
          <w:rPr>
            <w:rStyle w:val="Hyperlink"/>
          </w:rPr>
          <w:t>10.1093/TROPEJ/FML051</w:t>
        </w:r>
      </w:hyperlink>
    </w:p>
    <w:p w14:paraId="552161D8" w14:textId="77777777" w:rsidR="00DC0632" w:rsidRDefault="00000000">
      <w:pPr>
        <w:pStyle w:val="Bibliography"/>
      </w:pPr>
      <w:bookmarkStart w:id="59" w:name="ref-akombi2017a"/>
      <w:bookmarkEnd w:id="58"/>
      <w:r>
        <w:t xml:space="preserve">33. </w:t>
      </w:r>
      <w:r>
        <w:tab/>
      </w:r>
      <w:proofErr w:type="spellStart"/>
      <w:r>
        <w:t>Akombi</w:t>
      </w:r>
      <w:proofErr w:type="spellEnd"/>
      <w:r>
        <w:t xml:space="preserve"> BJ, </w:t>
      </w:r>
      <w:proofErr w:type="spellStart"/>
      <w:r>
        <w:t>Agho</w:t>
      </w:r>
      <w:proofErr w:type="spellEnd"/>
      <w:r>
        <w:t xml:space="preserve"> KE, Hall JJ, Merom D, Astell-Burt T, </w:t>
      </w:r>
      <w:proofErr w:type="spellStart"/>
      <w:r>
        <w:t>Renzaho</w:t>
      </w:r>
      <w:proofErr w:type="spellEnd"/>
      <w:r>
        <w:t xml:space="preserve"> AMN. Stunting and severe stunting among children under-5 years in </w:t>
      </w:r>
      <w:proofErr w:type="spellStart"/>
      <w:r>
        <w:t>nigeria</w:t>
      </w:r>
      <w:proofErr w:type="spellEnd"/>
      <w:r>
        <w:t xml:space="preserve">: A multilevel analysis. </w:t>
      </w:r>
      <w:r>
        <w:rPr>
          <w:i/>
          <w:iCs/>
        </w:rPr>
        <w:t>BMC Pediatrics</w:t>
      </w:r>
      <w:r>
        <w:t>. 2017;17(1). doi:</w:t>
      </w:r>
      <w:hyperlink r:id="rId39">
        <w:r>
          <w:rPr>
            <w:rStyle w:val="Hyperlink"/>
          </w:rPr>
          <w:t>10.1186/S12887-016-0770-Z</w:t>
        </w:r>
      </w:hyperlink>
    </w:p>
    <w:p w14:paraId="7CB37B4C" w14:textId="77777777" w:rsidR="00DC0632" w:rsidRDefault="00000000">
      <w:pPr>
        <w:pStyle w:val="Bibliography"/>
      </w:pPr>
      <w:bookmarkStart w:id="60" w:name="ref-fotso2005"/>
      <w:bookmarkEnd w:id="59"/>
      <w:r>
        <w:t xml:space="preserve">34. </w:t>
      </w:r>
      <w:r>
        <w:tab/>
      </w:r>
      <w:proofErr w:type="spellStart"/>
      <w:r>
        <w:t>Fotso</w:t>
      </w:r>
      <w:proofErr w:type="spellEnd"/>
      <w:r>
        <w:t xml:space="preserve"> JC, </w:t>
      </w:r>
      <w:proofErr w:type="spellStart"/>
      <w:r>
        <w:t>Kuate-Defo</w:t>
      </w:r>
      <w:proofErr w:type="spellEnd"/>
      <w:r>
        <w:t xml:space="preserve"> B. Socioeconomic inequalities in early childhood malnutrition and morbidity: Modification of the household-level effects by the community SES. </w:t>
      </w:r>
      <w:r>
        <w:rPr>
          <w:i/>
          <w:iCs/>
        </w:rPr>
        <w:t>Health &amp; Place</w:t>
      </w:r>
      <w:r>
        <w:t>. 2005;11(3):205-225. doi:</w:t>
      </w:r>
      <w:hyperlink r:id="rId40">
        <w:r>
          <w:rPr>
            <w:rStyle w:val="Hyperlink"/>
          </w:rPr>
          <w:t>10.1016/J.HEALTHPLACE.2004.06.004</w:t>
        </w:r>
      </w:hyperlink>
    </w:p>
    <w:p w14:paraId="0C8E1F07" w14:textId="77777777" w:rsidR="00DC0632" w:rsidRDefault="00000000">
      <w:pPr>
        <w:pStyle w:val="Bibliography"/>
      </w:pPr>
      <w:bookmarkStart w:id="61" w:name="ref-hasan2020"/>
      <w:bookmarkEnd w:id="60"/>
      <w:r>
        <w:t xml:space="preserve">35. </w:t>
      </w:r>
      <w:r>
        <w:tab/>
        <w:t xml:space="preserve">Hasan MM, Uddin J, </w:t>
      </w:r>
      <w:proofErr w:type="spellStart"/>
      <w:r>
        <w:t>Pulok</w:t>
      </w:r>
      <w:proofErr w:type="spellEnd"/>
      <w:r>
        <w:t xml:space="preserve"> MH, Zaman N, </w:t>
      </w:r>
      <w:proofErr w:type="spellStart"/>
      <w:r>
        <w:t>Hajizadeh</w:t>
      </w:r>
      <w:proofErr w:type="spellEnd"/>
      <w:r>
        <w:t xml:space="preserve"> M. Socioeconomic inequalities in child malnutrition in </w:t>
      </w:r>
      <w:proofErr w:type="spellStart"/>
      <w:r>
        <w:t>bangladesh</w:t>
      </w:r>
      <w:proofErr w:type="spellEnd"/>
      <w:r>
        <w:t xml:space="preserve">: Do they differ by region? </w:t>
      </w:r>
      <w:r>
        <w:rPr>
          <w:i/>
          <w:iCs/>
        </w:rPr>
        <w:t>International Journal of Environmental Research and Public Health</w:t>
      </w:r>
      <w:r>
        <w:t>. 2020;17(3). doi:</w:t>
      </w:r>
      <w:hyperlink r:id="rId41">
        <w:r>
          <w:rPr>
            <w:rStyle w:val="Hyperlink"/>
          </w:rPr>
          <w:t>10.3390/IJERPH17031079</w:t>
        </w:r>
      </w:hyperlink>
    </w:p>
    <w:p w14:paraId="4349124E" w14:textId="77777777" w:rsidR="00DC0632" w:rsidRDefault="00000000">
      <w:pPr>
        <w:pStyle w:val="Bibliography"/>
      </w:pPr>
      <w:bookmarkStart w:id="62" w:name="ref-n2019f"/>
      <w:bookmarkEnd w:id="61"/>
      <w:r>
        <w:t xml:space="preserve">36. </w:t>
      </w:r>
      <w:r>
        <w:tab/>
        <w:t xml:space="preserve">N A, N E, K Y, O F, RS K. Predictors of early childhood undernutrition in </w:t>
      </w:r>
      <w:proofErr w:type="spellStart"/>
      <w:r>
        <w:t>nigeria</w:t>
      </w:r>
      <w:proofErr w:type="spellEnd"/>
      <w:r>
        <w:t xml:space="preserve">: The role of maternal autonomy. </w:t>
      </w:r>
      <w:r>
        <w:rPr>
          <w:i/>
          <w:iCs/>
        </w:rPr>
        <w:t>Public health nutrition</w:t>
      </w:r>
      <w:r>
        <w:t>. 2019;22(12):2279-2289. doi:</w:t>
      </w:r>
      <w:hyperlink r:id="rId42">
        <w:r>
          <w:rPr>
            <w:rStyle w:val="Hyperlink"/>
          </w:rPr>
          <w:t>10.1017/S1368980019000818</w:t>
        </w:r>
      </w:hyperlink>
    </w:p>
    <w:p w14:paraId="65500E1B" w14:textId="77777777" w:rsidR="00DC0632" w:rsidRDefault="00000000">
      <w:pPr>
        <w:pStyle w:val="Bibliography"/>
      </w:pPr>
      <w:bookmarkStart w:id="63" w:name="ref-senbanjo2013b"/>
      <w:bookmarkEnd w:id="62"/>
      <w:r>
        <w:t xml:space="preserve">37. </w:t>
      </w:r>
      <w:r>
        <w:tab/>
      </w:r>
      <w:proofErr w:type="spellStart"/>
      <w:r>
        <w:t>Senbanjo</w:t>
      </w:r>
      <w:proofErr w:type="spellEnd"/>
      <w:r>
        <w:t xml:space="preserve"> IO, </w:t>
      </w:r>
      <w:proofErr w:type="spellStart"/>
      <w:r>
        <w:t>Olayiwola</w:t>
      </w:r>
      <w:proofErr w:type="spellEnd"/>
      <w:r>
        <w:t xml:space="preserve"> IO, Afolabi WA, </w:t>
      </w:r>
      <w:proofErr w:type="spellStart"/>
      <w:r>
        <w:t>Senbanjo</w:t>
      </w:r>
      <w:proofErr w:type="spellEnd"/>
      <w:r>
        <w:t xml:space="preserve"> OC. Maternal and child under-nutrition in rural and urban communities of </w:t>
      </w:r>
      <w:proofErr w:type="spellStart"/>
      <w:r>
        <w:t>lagos</w:t>
      </w:r>
      <w:proofErr w:type="spellEnd"/>
      <w:r>
        <w:t xml:space="preserve"> state, </w:t>
      </w:r>
      <w:proofErr w:type="spellStart"/>
      <w:r>
        <w:t>nigeria</w:t>
      </w:r>
      <w:proofErr w:type="spellEnd"/>
      <w:r>
        <w:t xml:space="preserve">: The relationship and risk factors. </w:t>
      </w:r>
      <w:r>
        <w:rPr>
          <w:i/>
          <w:iCs/>
        </w:rPr>
        <w:t>BMC Research Notes</w:t>
      </w:r>
      <w:r>
        <w:t>. 2013;6(1):286. doi:</w:t>
      </w:r>
      <w:hyperlink r:id="rId43">
        <w:r>
          <w:rPr>
            <w:rStyle w:val="Hyperlink"/>
          </w:rPr>
          <w:t>10.1186/1756-0500-6-286</w:t>
        </w:r>
      </w:hyperlink>
    </w:p>
    <w:p w14:paraId="4B39FE7F" w14:textId="77777777" w:rsidR="00DC0632" w:rsidRDefault="00000000">
      <w:pPr>
        <w:pStyle w:val="Bibliography"/>
      </w:pPr>
      <w:bookmarkStart w:id="64" w:name="ref-senbanjo2013c"/>
      <w:bookmarkEnd w:id="63"/>
      <w:r>
        <w:lastRenderedPageBreak/>
        <w:t xml:space="preserve">38. </w:t>
      </w:r>
      <w:r>
        <w:tab/>
      </w:r>
      <w:proofErr w:type="spellStart"/>
      <w:r>
        <w:t>Senbanjo</w:t>
      </w:r>
      <w:proofErr w:type="spellEnd"/>
      <w:r>
        <w:t xml:space="preserve"> IO, </w:t>
      </w:r>
      <w:proofErr w:type="spellStart"/>
      <w:r>
        <w:t>Olayiwola</w:t>
      </w:r>
      <w:proofErr w:type="spellEnd"/>
      <w:r>
        <w:t xml:space="preserve"> IO, Afolabi WA, </w:t>
      </w:r>
      <w:proofErr w:type="spellStart"/>
      <w:r>
        <w:t>Senbanjo</w:t>
      </w:r>
      <w:proofErr w:type="spellEnd"/>
      <w:r>
        <w:t xml:space="preserve"> OC. Maternal and child under-nutrition in rural and urban communities of </w:t>
      </w:r>
      <w:proofErr w:type="spellStart"/>
      <w:r>
        <w:t>lagos</w:t>
      </w:r>
      <w:proofErr w:type="spellEnd"/>
      <w:r>
        <w:t xml:space="preserve"> state, </w:t>
      </w:r>
      <w:proofErr w:type="spellStart"/>
      <w:r>
        <w:t>nigeria</w:t>
      </w:r>
      <w:proofErr w:type="spellEnd"/>
      <w:r>
        <w:t xml:space="preserve">: The relationship and risk factors. </w:t>
      </w:r>
      <w:r>
        <w:rPr>
          <w:i/>
          <w:iCs/>
        </w:rPr>
        <w:t>BMC Research Notes</w:t>
      </w:r>
      <w:r>
        <w:t>. 2013;6(1):286. doi:</w:t>
      </w:r>
      <w:hyperlink r:id="rId44">
        <w:r>
          <w:rPr>
            <w:rStyle w:val="Hyperlink"/>
          </w:rPr>
          <w:t>10.1186/1756-0500-6-286</w:t>
        </w:r>
      </w:hyperlink>
    </w:p>
    <w:p w14:paraId="0AE51C11" w14:textId="77777777" w:rsidR="00DC0632" w:rsidRDefault="00000000">
      <w:pPr>
        <w:pStyle w:val="Bibliography"/>
      </w:pPr>
      <w:bookmarkStart w:id="65" w:name="ref-imam2021"/>
      <w:bookmarkEnd w:id="64"/>
      <w:r>
        <w:t xml:space="preserve">39. </w:t>
      </w:r>
      <w:r>
        <w:tab/>
        <w:t>Imam A, Hassan-</w:t>
      </w:r>
      <w:proofErr w:type="spellStart"/>
      <w:r>
        <w:t>Hanga</w:t>
      </w:r>
      <w:proofErr w:type="spellEnd"/>
      <w:r>
        <w:t xml:space="preserve"> F, </w:t>
      </w:r>
      <w:proofErr w:type="spellStart"/>
      <w:r>
        <w:t>Sallahdeen</w:t>
      </w:r>
      <w:proofErr w:type="spellEnd"/>
      <w:r>
        <w:t xml:space="preserve"> A, Farouk ZL. A cross-sectional study of prevalence and risk factors for stunting among under-fives attending acute malnutrition treatment </w:t>
      </w:r>
      <w:proofErr w:type="spellStart"/>
      <w:r>
        <w:t>programmes</w:t>
      </w:r>
      <w:proofErr w:type="spellEnd"/>
      <w:r>
        <w:t xml:space="preserve"> in north-western </w:t>
      </w:r>
      <w:proofErr w:type="spellStart"/>
      <w:r>
        <w:t>nigeria</w:t>
      </w:r>
      <w:proofErr w:type="spellEnd"/>
      <w:r>
        <w:t xml:space="preserve">: Should these </w:t>
      </w:r>
      <w:proofErr w:type="spellStart"/>
      <w:r>
        <w:t>programmes</w:t>
      </w:r>
      <w:proofErr w:type="spellEnd"/>
      <w:r>
        <w:t xml:space="preserve"> be adapted to also manage stunting? </w:t>
      </w:r>
      <w:r>
        <w:rPr>
          <w:i/>
          <w:iCs/>
        </w:rPr>
        <w:t>International Health</w:t>
      </w:r>
      <w:r>
        <w:t>. 2021;13(3):262. doi:</w:t>
      </w:r>
      <w:hyperlink r:id="rId45">
        <w:r>
          <w:rPr>
            <w:rStyle w:val="Hyperlink"/>
          </w:rPr>
          <w:t>10.1093/INTHEALTH/IHAA043</w:t>
        </w:r>
      </w:hyperlink>
    </w:p>
    <w:p w14:paraId="1272680F" w14:textId="77777777" w:rsidR="00DC0632" w:rsidRDefault="00000000">
      <w:pPr>
        <w:pStyle w:val="Bibliography"/>
      </w:pPr>
      <w:bookmarkStart w:id="66" w:name="ref-oninla2007e"/>
      <w:bookmarkEnd w:id="65"/>
      <w:r>
        <w:t xml:space="preserve">40. </w:t>
      </w:r>
      <w:r>
        <w:tab/>
      </w:r>
      <w:proofErr w:type="spellStart"/>
      <w:r>
        <w:t>Oninla</w:t>
      </w:r>
      <w:proofErr w:type="spellEnd"/>
      <w:r>
        <w:t xml:space="preserve"> SO, </w:t>
      </w:r>
      <w:proofErr w:type="spellStart"/>
      <w:r>
        <w:t>Owa</w:t>
      </w:r>
      <w:proofErr w:type="spellEnd"/>
      <w:r>
        <w:t xml:space="preserve"> JA, </w:t>
      </w:r>
      <w:proofErr w:type="spellStart"/>
      <w:r>
        <w:t>Onayade</w:t>
      </w:r>
      <w:proofErr w:type="spellEnd"/>
      <w:r>
        <w:t xml:space="preserve"> AA, Taiwo O. Comparative study of nutritional status of urban and rural </w:t>
      </w:r>
      <w:proofErr w:type="spellStart"/>
      <w:r>
        <w:t>nigerian</w:t>
      </w:r>
      <w:proofErr w:type="spellEnd"/>
      <w:r>
        <w:t xml:space="preserve"> school children. </w:t>
      </w:r>
      <w:r>
        <w:rPr>
          <w:i/>
          <w:iCs/>
        </w:rPr>
        <w:t>Journal of Tropical Pediatrics</w:t>
      </w:r>
      <w:r>
        <w:t>. 2007;53(1):39-43. doi:</w:t>
      </w:r>
      <w:hyperlink r:id="rId46">
        <w:r>
          <w:rPr>
            <w:rStyle w:val="Hyperlink"/>
          </w:rPr>
          <w:t>10.1093/TROPEJ/FML051</w:t>
        </w:r>
      </w:hyperlink>
    </w:p>
    <w:p w14:paraId="4A0EBD8C" w14:textId="77777777" w:rsidR="00DC0632" w:rsidRDefault="00000000">
      <w:pPr>
        <w:pStyle w:val="Bibliography"/>
      </w:pPr>
      <w:bookmarkStart w:id="67" w:name="ref-imam2021a"/>
      <w:bookmarkEnd w:id="66"/>
      <w:r>
        <w:t xml:space="preserve">41. </w:t>
      </w:r>
      <w:r>
        <w:tab/>
        <w:t>Imam A, Hassan-</w:t>
      </w:r>
      <w:proofErr w:type="spellStart"/>
      <w:r>
        <w:t>Hanga</w:t>
      </w:r>
      <w:proofErr w:type="spellEnd"/>
      <w:r>
        <w:t xml:space="preserve"> F, </w:t>
      </w:r>
      <w:proofErr w:type="spellStart"/>
      <w:r>
        <w:t>Sallahdeen</w:t>
      </w:r>
      <w:proofErr w:type="spellEnd"/>
      <w:r>
        <w:t xml:space="preserve"> A, Farouk ZL. A cross-sectional study of prevalence and risk factors for stunting among under-fives attending acute malnutrition treatment </w:t>
      </w:r>
      <w:proofErr w:type="spellStart"/>
      <w:r>
        <w:t>programmes</w:t>
      </w:r>
      <w:proofErr w:type="spellEnd"/>
      <w:r>
        <w:t xml:space="preserve"> in north-western </w:t>
      </w:r>
      <w:proofErr w:type="spellStart"/>
      <w:r>
        <w:t>nigeria</w:t>
      </w:r>
      <w:proofErr w:type="spellEnd"/>
      <w:r>
        <w:t xml:space="preserve">: Should these </w:t>
      </w:r>
      <w:proofErr w:type="spellStart"/>
      <w:r>
        <w:t>programmes</w:t>
      </w:r>
      <w:proofErr w:type="spellEnd"/>
      <w:r>
        <w:t xml:space="preserve"> be adapted to also manage stunting? </w:t>
      </w:r>
      <w:r>
        <w:rPr>
          <w:i/>
          <w:iCs/>
        </w:rPr>
        <w:t>International Health</w:t>
      </w:r>
      <w:r>
        <w:t>. 2021;13(3):262. doi:</w:t>
      </w:r>
      <w:hyperlink r:id="rId47">
        <w:r>
          <w:rPr>
            <w:rStyle w:val="Hyperlink"/>
          </w:rPr>
          <w:t>10.1093/INTHEALTH/IHAA043</w:t>
        </w:r>
      </w:hyperlink>
    </w:p>
    <w:p w14:paraId="328A833F" w14:textId="77777777" w:rsidR="00DC0632" w:rsidRDefault="00000000">
      <w:pPr>
        <w:pStyle w:val="Bibliography"/>
      </w:pPr>
      <w:bookmarkStart w:id="68" w:name="ref-akombi2019a"/>
      <w:bookmarkEnd w:id="67"/>
      <w:r>
        <w:t xml:space="preserve">42. </w:t>
      </w:r>
      <w:r>
        <w:tab/>
      </w:r>
      <w:proofErr w:type="spellStart"/>
      <w:r>
        <w:t>Akombi</w:t>
      </w:r>
      <w:proofErr w:type="spellEnd"/>
      <w:r>
        <w:t xml:space="preserve"> BJ, </w:t>
      </w:r>
      <w:proofErr w:type="spellStart"/>
      <w:r>
        <w:t>Agho</w:t>
      </w:r>
      <w:proofErr w:type="spellEnd"/>
      <w:r>
        <w:t xml:space="preserve"> KE, </w:t>
      </w:r>
      <w:proofErr w:type="spellStart"/>
      <w:r>
        <w:t>Renzaho</w:t>
      </w:r>
      <w:proofErr w:type="spellEnd"/>
      <w:r>
        <w:t xml:space="preserve"> AM, Hall JJ, Merom DR. Trends in socioeconomic inequalities in child undernutrition: Evidence from </w:t>
      </w:r>
      <w:proofErr w:type="spellStart"/>
      <w:r>
        <w:t>nigeria</w:t>
      </w:r>
      <w:proofErr w:type="spellEnd"/>
      <w:r>
        <w:t xml:space="preserve"> demographic and health survey (</w:t>
      </w:r>
      <w:proofErr w:type="gramStart"/>
      <w:r>
        <w:t>2003  2013</w:t>
      </w:r>
      <w:proofErr w:type="gramEnd"/>
      <w:r>
        <w:t xml:space="preserve">). </w:t>
      </w:r>
      <w:proofErr w:type="spellStart"/>
      <w:r>
        <w:rPr>
          <w:i/>
          <w:iCs/>
        </w:rPr>
        <w:t>PLoS</w:t>
      </w:r>
      <w:proofErr w:type="spellEnd"/>
      <w:r>
        <w:rPr>
          <w:i/>
          <w:iCs/>
        </w:rPr>
        <w:t xml:space="preserve"> ONE</w:t>
      </w:r>
      <w:r>
        <w:t>. 2019;14(2). doi:</w:t>
      </w:r>
      <w:hyperlink r:id="rId48">
        <w:r>
          <w:rPr>
            <w:rStyle w:val="Hyperlink"/>
          </w:rPr>
          <w:t>10.1371/JOURNAL.PONE.0211883</w:t>
        </w:r>
      </w:hyperlink>
    </w:p>
    <w:p w14:paraId="06D9C422" w14:textId="77777777" w:rsidR="00DC0632" w:rsidRDefault="00000000">
      <w:pPr>
        <w:pStyle w:val="Bibliography"/>
      </w:pPr>
      <w:bookmarkStart w:id="69" w:name="ref-oninla2007f"/>
      <w:bookmarkEnd w:id="68"/>
      <w:r>
        <w:t xml:space="preserve">43. </w:t>
      </w:r>
      <w:r>
        <w:tab/>
      </w:r>
      <w:proofErr w:type="spellStart"/>
      <w:r>
        <w:t>Oninla</w:t>
      </w:r>
      <w:proofErr w:type="spellEnd"/>
      <w:r>
        <w:t xml:space="preserve"> SO, </w:t>
      </w:r>
      <w:proofErr w:type="spellStart"/>
      <w:r>
        <w:t>Owa</w:t>
      </w:r>
      <w:proofErr w:type="spellEnd"/>
      <w:r>
        <w:t xml:space="preserve"> JA, </w:t>
      </w:r>
      <w:proofErr w:type="spellStart"/>
      <w:r>
        <w:t>Onayade</w:t>
      </w:r>
      <w:proofErr w:type="spellEnd"/>
      <w:r>
        <w:t xml:space="preserve"> AA, Taiwo O. Comparative study of nutritional status of urban and rural </w:t>
      </w:r>
      <w:proofErr w:type="spellStart"/>
      <w:r>
        <w:t>nigerian</w:t>
      </w:r>
      <w:proofErr w:type="spellEnd"/>
      <w:r>
        <w:t xml:space="preserve"> school children. </w:t>
      </w:r>
      <w:r>
        <w:rPr>
          <w:i/>
          <w:iCs/>
        </w:rPr>
        <w:t>Journal of Tropical Pediatrics</w:t>
      </w:r>
      <w:r>
        <w:t>. 2007;53(1):39-43. doi:</w:t>
      </w:r>
      <w:hyperlink r:id="rId49">
        <w:r>
          <w:rPr>
            <w:rStyle w:val="Hyperlink"/>
          </w:rPr>
          <w:t>10.1093/TROPEJ/FML051</w:t>
        </w:r>
      </w:hyperlink>
    </w:p>
    <w:p w14:paraId="6B460153" w14:textId="77777777" w:rsidR="00DC0632" w:rsidRDefault="00000000">
      <w:pPr>
        <w:pStyle w:val="Bibliography"/>
      </w:pPr>
      <w:bookmarkStart w:id="70" w:name="ref-hasan2020a"/>
      <w:bookmarkEnd w:id="69"/>
      <w:r>
        <w:lastRenderedPageBreak/>
        <w:t xml:space="preserve">44. </w:t>
      </w:r>
      <w:r>
        <w:tab/>
        <w:t xml:space="preserve">Hasan MM, Uddin J, </w:t>
      </w:r>
      <w:proofErr w:type="spellStart"/>
      <w:r>
        <w:t>Pulok</w:t>
      </w:r>
      <w:proofErr w:type="spellEnd"/>
      <w:r>
        <w:t xml:space="preserve"> MH, Zaman N, </w:t>
      </w:r>
      <w:proofErr w:type="spellStart"/>
      <w:r>
        <w:t>Hajizadeh</w:t>
      </w:r>
      <w:proofErr w:type="spellEnd"/>
      <w:r>
        <w:t xml:space="preserve"> M. Socioeconomic inequalities in child malnutrition in </w:t>
      </w:r>
      <w:proofErr w:type="spellStart"/>
      <w:r>
        <w:t>bangladesh</w:t>
      </w:r>
      <w:proofErr w:type="spellEnd"/>
      <w:r>
        <w:t xml:space="preserve">: Do they differ by region? </w:t>
      </w:r>
      <w:r>
        <w:rPr>
          <w:i/>
          <w:iCs/>
        </w:rPr>
        <w:t>International Journal of Environmental Research and Public Health</w:t>
      </w:r>
      <w:r>
        <w:t>. 2020;17(3). doi:</w:t>
      </w:r>
      <w:hyperlink r:id="rId50">
        <w:r>
          <w:rPr>
            <w:rStyle w:val="Hyperlink"/>
          </w:rPr>
          <w:t>10.3390/IJERPH17031079</w:t>
        </w:r>
      </w:hyperlink>
      <w:bookmarkEnd w:id="25"/>
      <w:bookmarkEnd w:id="27"/>
      <w:bookmarkEnd w:id="70"/>
    </w:p>
    <w:sectPr w:rsidR="00DC0632" w:rsidSect="00A6207E">
      <w:footerReference w:type="default" r:id="rId51"/>
      <w:pgSz w:w="12240" w:h="15840"/>
      <w:pgMar w:top="1440" w:right="1080" w:bottom="1440" w:left="108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A6DF" w14:textId="77777777" w:rsidR="00C16C55" w:rsidRDefault="00C16C55">
      <w:pPr>
        <w:spacing w:before="0" w:line="240" w:lineRule="auto"/>
      </w:pPr>
      <w:r>
        <w:separator/>
      </w:r>
    </w:p>
  </w:endnote>
  <w:endnote w:type="continuationSeparator" w:id="0">
    <w:p w14:paraId="2AD12FBC" w14:textId="77777777" w:rsidR="00C16C55" w:rsidRDefault="00C16C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21153965"/>
      <w:docPartObj>
        <w:docPartGallery w:val="Page Numbers (Bottom of Page)"/>
        <w:docPartUnique/>
      </w:docPartObj>
    </w:sdtPr>
    <w:sdtContent>
      <w:p w14:paraId="0EAE32B4" w14:textId="77777777" w:rsidR="00C65341" w:rsidRPr="00790B07" w:rsidRDefault="00000000" w:rsidP="00790B07">
        <w:pPr>
          <w:pStyle w:val="Footer"/>
          <w:ind w:firstLine="720"/>
          <w:rPr>
            <w:rFonts w:ascii="Times New Roman" w:hAnsi="Times New Roman" w:cs="Times New Roman"/>
            <w:sz w:val="24"/>
            <w:szCs w:val="24"/>
          </w:rPr>
        </w:pPr>
        <w:r w:rsidRPr="00790B07">
          <w:rPr>
            <w:rFonts w:ascii="Times New Roman" w:hAnsi="Times New Roman" w:cs="Times New Roman"/>
            <w:sz w:val="24"/>
            <w:szCs w:val="24"/>
          </w:rPr>
          <w:fldChar w:fldCharType="begin"/>
        </w:r>
        <w:r w:rsidRPr="00790B07">
          <w:rPr>
            <w:rFonts w:ascii="Times New Roman" w:hAnsi="Times New Roman" w:cs="Times New Roman"/>
            <w:sz w:val="24"/>
            <w:szCs w:val="24"/>
          </w:rPr>
          <w:instrText xml:space="preserve"> PAGE   \* MERGEFORMAT </w:instrText>
        </w:r>
        <w:r w:rsidRPr="00790B07">
          <w:rPr>
            <w:rFonts w:ascii="Times New Roman" w:hAnsi="Times New Roman" w:cs="Times New Roman"/>
            <w:sz w:val="24"/>
            <w:szCs w:val="24"/>
          </w:rPr>
          <w:fldChar w:fldCharType="separate"/>
        </w:r>
        <w:r w:rsidRPr="00790B07">
          <w:rPr>
            <w:rFonts w:ascii="Times New Roman" w:hAnsi="Times New Roman" w:cs="Times New Roman"/>
            <w:sz w:val="24"/>
            <w:szCs w:val="24"/>
          </w:rPr>
          <w:t>2</w:t>
        </w:r>
        <w:r w:rsidRPr="00790B07">
          <w:rPr>
            <w:rFonts w:ascii="Times New Roman" w:hAnsi="Times New Roman" w:cs="Times New Roman"/>
            <w:sz w:val="24"/>
            <w:szCs w:val="24"/>
          </w:rPr>
          <w:fldChar w:fldCharType="end"/>
        </w:r>
      </w:p>
    </w:sdtContent>
  </w:sdt>
  <w:p w14:paraId="4BDBE16E" w14:textId="77777777" w:rsidR="00C65341" w:rsidRDefault="00000000" w:rsidP="00581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57326" w14:textId="77777777" w:rsidR="00C16C55" w:rsidRDefault="00C16C55">
      <w:r>
        <w:separator/>
      </w:r>
    </w:p>
  </w:footnote>
  <w:footnote w:type="continuationSeparator" w:id="0">
    <w:p w14:paraId="3102662B" w14:textId="77777777" w:rsidR="00C16C55" w:rsidRDefault="00C16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7E4DA8"/>
    <w:multiLevelType w:val="multilevel"/>
    <w:tmpl w:val="606A23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78C7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D762DF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6A8D58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E94F1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C3A361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3B05D4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DA0C7DB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F506E0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89A0E9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2ADE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026C66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FECEBF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07699537">
    <w:abstractNumId w:val="1"/>
  </w:num>
  <w:num w:numId="2" w16cid:durableId="2031373533">
    <w:abstractNumId w:val="0"/>
  </w:num>
  <w:num w:numId="3" w16cid:durableId="1766028345">
    <w:abstractNumId w:val="11"/>
  </w:num>
  <w:num w:numId="4" w16cid:durableId="1788116865">
    <w:abstractNumId w:val="9"/>
  </w:num>
  <w:num w:numId="5" w16cid:durableId="170948534">
    <w:abstractNumId w:val="8"/>
  </w:num>
  <w:num w:numId="6" w16cid:durableId="1088502711">
    <w:abstractNumId w:val="7"/>
  </w:num>
  <w:num w:numId="7" w16cid:durableId="1073241518">
    <w:abstractNumId w:val="6"/>
  </w:num>
  <w:num w:numId="8" w16cid:durableId="1258178099">
    <w:abstractNumId w:val="10"/>
  </w:num>
  <w:num w:numId="9" w16cid:durableId="308561119">
    <w:abstractNumId w:val="5"/>
  </w:num>
  <w:num w:numId="10" w16cid:durableId="1595824651">
    <w:abstractNumId w:val="4"/>
  </w:num>
  <w:num w:numId="11" w16cid:durableId="1860504537">
    <w:abstractNumId w:val="3"/>
  </w:num>
  <w:num w:numId="12" w16cid:durableId="1496799857">
    <w:abstractNumId w:val="2"/>
  </w:num>
  <w:num w:numId="13" w16cid:durableId="18379572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32"/>
    <w:rsid w:val="00956EBC"/>
    <w:rsid w:val="00B01875"/>
    <w:rsid w:val="00C07AF6"/>
    <w:rsid w:val="00C16C55"/>
    <w:rsid w:val="00DC0632"/>
    <w:rsid w:val="00F418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8AAF8"/>
  <w15:docId w15:val="{A28227EA-9D4B-1B43-A582-33B9BC4F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03A1"/>
    <w:pPr>
      <w:spacing w:before="240" w:after="0" w:line="480" w:lineRule="auto"/>
    </w:pPr>
    <w:rPr>
      <w:rFonts w:ascii="Times New Roman" w:hAnsi="Times New Roman"/>
    </w:rPr>
  </w:style>
  <w:style w:type="paragraph" w:styleId="Heading1">
    <w:name w:val="heading 1"/>
    <w:basedOn w:val="Heading2"/>
    <w:next w:val="BodyText"/>
    <w:uiPriority w:val="9"/>
    <w:qFormat/>
    <w:rsid w:val="007A7C00"/>
    <w:pPr>
      <w:outlineLvl w:val="0"/>
    </w:pPr>
    <w:rPr>
      <w:sz w:val="36"/>
      <w:szCs w:val="28"/>
    </w:rPr>
  </w:style>
  <w:style w:type="paragraph" w:styleId="Heading2">
    <w:name w:val="heading 2"/>
    <w:basedOn w:val="Normal"/>
    <w:next w:val="BodyText"/>
    <w:uiPriority w:val="9"/>
    <w:unhideWhenUsed/>
    <w:qFormat/>
    <w:rsid w:val="007A7C00"/>
    <w:pPr>
      <w:keepNext/>
      <w:keepLines/>
      <w:spacing w:before="200"/>
      <w:outlineLvl w:val="1"/>
    </w:pPr>
    <w:rPr>
      <w:rFonts w:eastAsiaTheme="majorEastAsia" w:cstheme="majorBidi"/>
      <w:b/>
      <w:bCs/>
      <w:sz w:val="32"/>
    </w:rPr>
  </w:style>
  <w:style w:type="paragraph" w:styleId="Heading3">
    <w:name w:val="heading 3"/>
    <w:basedOn w:val="Normal"/>
    <w:next w:val="BodyText"/>
    <w:uiPriority w:val="9"/>
    <w:unhideWhenUsed/>
    <w:qFormat/>
    <w:rsid w:val="007A7C00"/>
    <w:pPr>
      <w:keepNext/>
      <w:keepLines/>
      <w:spacing w:before="200"/>
      <w:outlineLvl w:val="2"/>
    </w:pPr>
    <w:rPr>
      <w:rFonts w:eastAsiaTheme="majorEastAsia" w:cstheme="majorBidi"/>
      <w:b/>
      <w:bCs/>
      <w:sz w:val="26"/>
      <w:szCs w:val="28"/>
    </w:rPr>
  </w:style>
  <w:style w:type="paragraph" w:styleId="Heading4">
    <w:name w:val="heading 4"/>
    <w:basedOn w:val="Normal"/>
    <w:next w:val="BodyText"/>
    <w:uiPriority w:val="9"/>
    <w:unhideWhenUsed/>
    <w:qFormat/>
    <w:rsid w:val="00FB7DC9"/>
    <w:pPr>
      <w:keepNext/>
      <w:keepLines/>
      <w:spacing w:before="0"/>
      <w:outlineLvl w:val="3"/>
    </w:pPr>
    <w:rPr>
      <w:rFonts w:eastAsiaTheme="majorEastAsia" w:cstheme="majorBidi"/>
      <w:bCs/>
      <w:color w:val="FFFFFF" w:themeColor="background1"/>
    </w:rPr>
  </w:style>
  <w:style w:type="paragraph" w:styleId="Heading5">
    <w:name w:val="heading 5"/>
    <w:basedOn w:val="Normal"/>
    <w:next w:val="Normal"/>
    <w:uiPriority w:val="9"/>
    <w:unhideWhenUsed/>
    <w:qFormat/>
    <w:rsid w:val="003B6DF0"/>
    <w:pPr>
      <w:spacing w:before="720" w:after="480"/>
      <w:outlineLvl w:val="4"/>
    </w:pPr>
    <w:rPr>
      <w:iCs/>
    </w:rPr>
  </w:style>
  <w:style w:type="paragraph" w:styleId="Heading6">
    <w:name w:val="heading 6"/>
    <w:basedOn w:val="Normal"/>
    <w:next w:val="BodyText"/>
    <w:uiPriority w:val="9"/>
    <w:unhideWhenUsed/>
    <w:qFormat/>
    <w:rsid w:val="00C85F98"/>
    <w:pPr>
      <w:keepNext/>
      <w:keepLines/>
      <w:pageBreakBefore/>
      <w:suppressLineNumbers/>
      <w:spacing w:before="0" w:line="240" w:lineRule="auto"/>
      <w:outlineLvl w:val="5"/>
    </w:pPr>
    <w:rPr>
      <w:rFonts w:eastAsiaTheme="majorEastAsia" w:cstheme="majorBidi"/>
      <w:color w:val="FFFFFF" w:themeColor="background1"/>
      <w:sz w:val="4"/>
    </w:rPr>
  </w:style>
  <w:style w:type="paragraph" w:styleId="Heading7">
    <w:name w:val="heading 7"/>
    <w:basedOn w:val="Normal"/>
    <w:next w:val="Normal"/>
    <w:link w:val="Heading7Char"/>
    <w:rsid w:val="00FB7DC9"/>
    <w:pPr>
      <w:keepNext/>
      <w:keepLines/>
      <w:spacing w:before="0"/>
      <w:outlineLvl w:val="6"/>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3A1"/>
    <w:rPr>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C65341"/>
  </w:style>
  <w:style w:type="character" w:customStyle="1" w:styleId="BodyTextChar">
    <w:name w:val="Body Text Char"/>
    <w:basedOn w:val="DefaultParagraphFont"/>
    <w:link w:val="BodyText"/>
    <w:rsid w:val="001B03A1"/>
    <w:rPr>
      <w:rFonts w:ascii="Times New Roman" w:hAnsi="Times New Roman"/>
      <w:szCs w:val="22"/>
    </w:rPr>
  </w:style>
  <w:style w:type="paragraph" w:styleId="Header">
    <w:name w:val="header"/>
    <w:basedOn w:val="Normal"/>
    <w:link w:val="HeaderChar"/>
    <w:unhideWhenUsed/>
    <w:rsid w:val="00C65341"/>
    <w:pPr>
      <w:tabs>
        <w:tab w:val="center" w:pos="4680"/>
        <w:tab w:val="right" w:pos="9360"/>
      </w:tabs>
    </w:pPr>
  </w:style>
  <w:style w:type="character" w:customStyle="1" w:styleId="HeaderChar">
    <w:name w:val="Header Char"/>
    <w:basedOn w:val="DefaultParagraphFont"/>
    <w:link w:val="Header"/>
    <w:rsid w:val="00C65341"/>
  </w:style>
  <w:style w:type="paragraph" w:styleId="Footer">
    <w:name w:val="footer"/>
    <w:basedOn w:val="Normal"/>
    <w:link w:val="FooterChar"/>
    <w:uiPriority w:val="99"/>
    <w:unhideWhenUsed/>
    <w:rsid w:val="00581725"/>
    <w:pPr>
      <w:tabs>
        <w:tab w:val="center" w:pos="4680"/>
        <w:tab w:val="right" w:pos="9360"/>
      </w:tabs>
      <w:jc w:val="right"/>
    </w:pPr>
    <w:rPr>
      <w:rFonts w:ascii="Helvetica" w:hAnsi="Helvetica"/>
      <w:sz w:val="22"/>
      <w:szCs w:val="22"/>
    </w:rPr>
  </w:style>
  <w:style w:type="character" w:customStyle="1" w:styleId="FooterChar">
    <w:name w:val="Footer Char"/>
    <w:basedOn w:val="DefaultParagraphFont"/>
    <w:link w:val="Footer"/>
    <w:uiPriority w:val="99"/>
    <w:rsid w:val="00581725"/>
    <w:rPr>
      <w:rFonts w:ascii="Helvetica" w:hAnsi="Helvetica"/>
      <w:sz w:val="22"/>
      <w:szCs w:val="22"/>
    </w:rPr>
  </w:style>
  <w:style w:type="paragraph" w:styleId="BalloonText">
    <w:name w:val="Balloon Text"/>
    <w:basedOn w:val="Normal"/>
    <w:link w:val="BalloonTextChar"/>
    <w:semiHidden/>
    <w:unhideWhenUsed/>
    <w:rsid w:val="001452DF"/>
    <w:rPr>
      <w:rFonts w:ascii="Segoe UI" w:hAnsi="Segoe UI" w:cs="Segoe UI"/>
      <w:sz w:val="18"/>
      <w:szCs w:val="18"/>
    </w:rPr>
  </w:style>
  <w:style w:type="character" w:customStyle="1" w:styleId="BalloonTextChar">
    <w:name w:val="Balloon Text Char"/>
    <w:basedOn w:val="DefaultParagraphFont"/>
    <w:link w:val="BalloonText"/>
    <w:semiHidden/>
    <w:rsid w:val="001452DF"/>
    <w:rPr>
      <w:rFonts w:ascii="Segoe UI" w:hAnsi="Segoe UI" w:cs="Segoe UI"/>
      <w:sz w:val="18"/>
      <w:szCs w:val="18"/>
    </w:rPr>
  </w:style>
  <w:style w:type="character" w:customStyle="1" w:styleId="Heading7Char">
    <w:name w:val="Heading 7 Char"/>
    <w:basedOn w:val="DefaultParagraphFont"/>
    <w:link w:val="Heading7"/>
    <w:rsid w:val="00FB7DC9"/>
    <w:rPr>
      <w:rFonts w:ascii="Times New Roman" w:eastAsiaTheme="majorEastAsia" w:hAnsi="Times New Roman" w:cstheme="majorBidi"/>
      <w:iCs/>
    </w:rPr>
  </w:style>
  <w:style w:type="character" w:customStyle="1" w:styleId="stratlabel">
    <w:name w:val="stratlabel"/>
    <w:basedOn w:val="DefaultParagraphFont"/>
    <w:rsid w:val="00956EBC"/>
  </w:style>
  <w:style w:type="character" w:customStyle="1" w:styleId="stratn">
    <w:name w:val="stratn"/>
    <w:basedOn w:val="DefaultParagraphFont"/>
    <w:rsid w:val="0095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8163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who.int/nutrition/landscape/help.aspx?menu=0&amp;helpid=391&amp;lang=EN" TargetMode="External"/><Relationship Id="rId18" Type="http://schemas.openxmlformats.org/officeDocument/2006/relationships/hyperlink" Target="https://doi.org/10.1177/0379572118768568" TargetMode="External"/><Relationship Id="rId26" Type="http://schemas.openxmlformats.org/officeDocument/2006/relationships/hyperlink" Target="https://doi.org/10.11604/PAMJ.2017.28.248.13171" TargetMode="External"/><Relationship Id="rId39" Type="http://schemas.openxmlformats.org/officeDocument/2006/relationships/hyperlink" Target="https://doi.org/10.1186/S12887-016-0770-Z" TargetMode="External"/><Relationship Id="rId21" Type="http://schemas.openxmlformats.org/officeDocument/2006/relationships/hyperlink" Target="https://doi.org/10.1017/S1368980019000818" TargetMode="External"/><Relationship Id="rId34" Type="http://schemas.openxmlformats.org/officeDocument/2006/relationships/hyperlink" Target="https://doi.org/10.11604/PAMJ.2017.28.248.13171" TargetMode="External"/><Relationship Id="rId42" Type="http://schemas.openxmlformats.org/officeDocument/2006/relationships/hyperlink" Target="https://doi.org/10.1017/S1368980019000818" TargetMode="External"/><Relationship Id="rId47" Type="http://schemas.openxmlformats.org/officeDocument/2006/relationships/hyperlink" Target="https://doi.org/10.1093/INTHEALTH/IHAA043" TargetMode="External"/><Relationship Id="rId50" Type="http://schemas.openxmlformats.org/officeDocument/2006/relationships/hyperlink" Target="https://doi.org/10.3390/IJERPH17031079" TargetMode="External"/><Relationship Id="rId7" Type="http://schemas.openxmlformats.org/officeDocument/2006/relationships/hyperlink" Target="mailto:n.obi@wustl.edu" TargetMode="External"/><Relationship Id="rId2" Type="http://schemas.openxmlformats.org/officeDocument/2006/relationships/styles" Target="styles.xml"/><Relationship Id="rId16" Type="http://schemas.openxmlformats.org/officeDocument/2006/relationships/hyperlink" Target="https://doi.org/10.1186/1471-2458-13-361" TargetMode="External"/><Relationship Id="rId29" Type="http://schemas.openxmlformats.org/officeDocument/2006/relationships/hyperlink" Target="https://doi.org/10.1186/1756-0500-6-286" TargetMode="External"/><Relationship Id="rId11" Type="http://schemas.openxmlformats.org/officeDocument/2006/relationships/hyperlink" Target="https://www.who.int/news-room/fact-sheets/detail/malnutrition" TargetMode="External"/><Relationship Id="rId24" Type="http://schemas.openxmlformats.org/officeDocument/2006/relationships/hyperlink" Target="https://doi.org/10.5897/IJSA2016.0678" TargetMode="External"/><Relationship Id="rId32" Type="http://schemas.openxmlformats.org/officeDocument/2006/relationships/hyperlink" Target="https://doi.org/10.1177/03795721211009482" TargetMode="External"/><Relationship Id="rId37" Type="http://schemas.openxmlformats.org/officeDocument/2006/relationships/hyperlink" Target="https://doi.org/10.1017/S1368980019000818" TargetMode="External"/><Relationship Id="rId40" Type="http://schemas.openxmlformats.org/officeDocument/2006/relationships/hyperlink" Target="https://doi.org/10.1016/J.HEALTHPLACE.2004.06.004" TargetMode="External"/><Relationship Id="rId45" Type="http://schemas.openxmlformats.org/officeDocument/2006/relationships/hyperlink" Target="https://doi.org/10.1093/INTHEALTH/IHAA043"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doi.org/10.1017/S1368980019000818" TargetMode="External"/><Relationship Id="rId19" Type="http://schemas.openxmlformats.org/officeDocument/2006/relationships/hyperlink" Target="https://doi.org/10.1017/S1368980019000818" TargetMode="External"/><Relationship Id="rId31" Type="http://schemas.openxmlformats.org/officeDocument/2006/relationships/hyperlink" Target="http://www.measuredhs.com" TargetMode="External"/><Relationship Id="rId44" Type="http://schemas.openxmlformats.org/officeDocument/2006/relationships/hyperlink" Target="https://doi.org/10.1186/1756-0500-6-28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9781444327779.ch17" TargetMode="External"/><Relationship Id="rId14" Type="http://schemas.openxmlformats.org/officeDocument/2006/relationships/hyperlink" Target="https://www.DHSprogram.com." TargetMode="External"/><Relationship Id="rId22" Type="http://schemas.openxmlformats.org/officeDocument/2006/relationships/hyperlink" Target="https://doi.org/10.1371/JOURNAL.PONE.0211883" TargetMode="External"/><Relationship Id="rId27" Type="http://schemas.openxmlformats.org/officeDocument/2006/relationships/hyperlink" Target="https://doi.org/10.1016/S0899-9007(00)00315-4" TargetMode="External"/><Relationship Id="rId30" Type="http://schemas.openxmlformats.org/officeDocument/2006/relationships/hyperlink" Target="https://doi.org/10.1093/TROPEJ/FML051" TargetMode="External"/><Relationship Id="rId35" Type="http://schemas.openxmlformats.org/officeDocument/2006/relationships/hyperlink" Target="https:///pmc/articles/PMC2486510/?report=abstract" TargetMode="External"/><Relationship Id="rId43" Type="http://schemas.openxmlformats.org/officeDocument/2006/relationships/hyperlink" Target="https://doi.org/10.1186/1756-0500-6-286" TargetMode="External"/><Relationship Id="rId48" Type="http://schemas.openxmlformats.org/officeDocument/2006/relationships/hyperlink" Target="https://doi.org/10.1371/JOURNAL.PONE.0211883" TargetMode="External"/><Relationship Id="rId8" Type="http://schemas.openxmlformats.org/officeDocument/2006/relationships/hyperlink" Target="https://www.who.int/news-room/fact-sheets/detail/malnutrition"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who.int/news-room/fact-sheets/detail/malnutrition" TargetMode="External"/><Relationship Id="rId17" Type="http://schemas.openxmlformats.org/officeDocument/2006/relationships/hyperlink" Target="https://doi.org/10.1186/S12887-016-0770-Z" TargetMode="External"/><Relationship Id="rId25" Type="http://schemas.openxmlformats.org/officeDocument/2006/relationships/hyperlink" Target="https://doi.org/10.1016/S0305-750X(00)00082-6" TargetMode="External"/><Relationship Id="rId33" Type="http://schemas.openxmlformats.org/officeDocument/2006/relationships/hyperlink" Target="https://doi.org/10.11604/PAMJ.2017.28.248.13171" TargetMode="External"/><Relationship Id="rId38" Type="http://schemas.openxmlformats.org/officeDocument/2006/relationships/hyperlink" Target="https://doi.org/10.1093/TROPEJ/FML051" TargetMode="External"/><Relationship Id="rId46" Type="http://schemas.openxmlformats.org/officeDocument/2006/relationships/hyperlink" Target="https://doi.org/10.1093/TROPEJ/FML051" TargetMode="External"/><Relationship Id="rId20" Type="http://schemas.openxmlformats.org/officeDocument/2006/relationships/hyperlink" Target="https://doi.org/10.5334/AOGH.3093" TargetMode="External"/><Relationship Id="rId41" Type="http://schemas.openxmlformats.org/officeDocument/2006/relationships/hyperlink" Target="https://doi.org/10.3390/IJERPH1703107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DHSprogram.com." TargetMode="External"/><Relationship Id="rId23" Type="http://schemas.openxmlformats.org/officeDocument/2006/relationships/hyperlink" Target="https://doi.org/10.1007/S40847-020-00116-Y" TargetMode="External"/><Relationship Id="rId28" Type="http://schemas.openxmlformats.org/officeDocument/2006/relationships/hyperlink" Target="https://doi.org/10.1186/S12889-018-5479-5" TargetMode="External"/><Relationship Id="rId36" Type="http://schemas.openxmlformats.org/officeDocument/2006/relationships/hyperlink" Target="https://doi.org/10.1093/TROPEJ/FML051" TargetMode="External"/><Relationship Id="rId49" Type="http://schemas.openxmlformats.org/officeDocument/2006/relationships/hyperlink" Target="https://doi.org/10.1093/TROPEJ/FML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6407</Words>
  <Characters>36524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keywords/>
  <cp:lastModifiedBy>Harris, Jenine</cp:lastModifiedBy>
  <cp:revision>3</cp:revision>
  <dcterms:created xsi:type="dcterms:W3CDTF">2022-08-24T02:58:00Z</dcterms:created>
  <dcterms:modified xsi:type="dcterms:W3CDTF">2022-08-24T03:24:00Z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american-medical-association.csl</vt:lpwstr>
  </property>
  <property fmtid="{D5CDD505-2E9C-101B-9397-08002B2CF9AE}" pid="4" name="output">
    <vt:lpwstr/>
  </property>
</Properties>
</file>