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image3.png" ContentType="image/png"/>
  <Override PartName="/word/media/image1.png" ContentType="image/png"/>
  <Override PartName="/word/media/image2.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Document</w:t>
      </w:r>
      <w:r>
        <w:t xml:space="preserve"> </w:t>
      </w:r>
      <w:r>
        <w:t xml:space="preserve">for</w:t>
      </w:r>
      <w:r>
        <w:t xml:space="preserve"> </w:t>
      </w:r>
      <w:r>
        <w:t xml:space="preserve">MS</w:t>
      </w:r>
      <w:r>
        <w:t xml:space="preserve"> </w:t>
      </w:r>
      <w:r>
        <w:t xml:space="preserve">Word</w:t>
      </w:r>
    </w:p>
    <w:p>
      <w:pPr>
        <w:pStyle w:val="Author"/>
      </w:pPr>
      <w:r>
        <w:t xml:space="preserve">Jenine</w:t>
      </w:r>
      <w:r>
        <w:t xml:space="preserve"> </w:t>
      </w:r>
      <w:r>
        <w:t xml:space="preserve">K.</w:t>
      </w:r>
      <w:r>
        <w:t xml:space="preserve"> </w:t>
      </w:r>
      <w:r>
        <w:t xml:space="preserve">Harris,</w:t>
      </w:r>
      <w:r>
        <w:t xml:space="preserve"> </w:t>
      </w:r>
      <w:r>
        <w:t xml:space="preserve">PhD</w:t>
      </w:r>
    </w:p>
    <w:bookmarkStart w:id="22" w:name="introduction"/>
    <w:p>
      <w:pPr>
        <w:pStyle w:val="Heading4"/>
      </w:pPr>
      <w:r>
        <w:t xml:space="preserve">Introduction</w:t>
      </w:r>
    </w:p>
    <w:p>
      <w:pPr>
        <w:pStyle w:val="FirstParagraph"/>
      </w:pPr>
      <w:r>
        <w:t xml:space="preserve">Using the</w:t>
      </w:r>
      <w:r>
        <w:t xml:space="preserve"> </w:t>
      </w:r>
      <w:r>
        <w:rPr>
          <w:bCs/>
          <w:b/>
        </w:rPr>
        <w:t xml:space="preserve">2019</w:t>
      </w:r>
      <w:r>
        <w:rPr>
          <w:bCs/>
          <w:b/>
        </w:rPr>
        <w:t xml:space="preserve"> </w:t>
      </w:r>
      <w:hyperlink r:id="rId20">
        <w:r>
          <w:rPr>
            <w:rStyle w:val="Hyperlink"/>
            <w:bCs/>
            <w:b/>
          </w:rPr>
          <w:t xml:space="preserve">Global Attitudes &amp; Trends</w:t>
        </w:r>
      </w:hyperlink>
      <w:r>
        <w:t xml:space="preserve"> </w:t>
      </w:r>
      <w:r>
        <w:t xml:space="preserve">data set from the</w:t>
      </w:r>
      <w:r>
        <w:t xml:space="preserve"> </w:t>
      </w:r>
      <w:hyperlink r:id="rId21">
        <w:r>
          <w:rPr>
            <w:rStyle w:val="Hyperlink"/>
            <w:bCs/>
            <w:b/>
          </w:rPr>
          <w:t xml:space="preserve">Pew Research Center</w:t>
        </w:r>
      </w:hyperlink>
      <w:r>
        <w:t xml:space="preserve"> </w:t>
      </w:r>
      <w:r>
        <w:t xml:space="preserve">website, this short report summarizes participant responses to the research question,</w:t>
      </w:r>
      <w:r>
        <w:t xml:space="preserve"> </w:t>
      </w:r>
      <w:r>
        <w:rPr>
          <w:iCs/>
          <w:i/>
        </w:rPr>
        <w:t xml:space="preserve">Thinking about the future of (survey country), please tell me whether you feel generally optimistic or generally pessimistic about the following areas.</w:t>
      </w:r>
      <w:r>
        <w:t xml:space="preserve"> </w:t>
      </w:r>
      <w:r>
        <w:t xml:space="preserve">The areas of interest are culture, the gap between rich and poor, the availability of well-paying jobs, and the country’s educational system.</w:t>
      </w:r>
    </w:p>
    <w:bookmarkEnd w:id="22"/>
    <w:bookmarkStart w:id="23" w:name="data"/>
    <w:p>
      <w:pPr>
        <w:pStyle w:val="Heading4"/>
      </w:pPr>
      <w:r>
        <w:t xml:space="preserve">Data</w:t>
      </w:r>
    </w:p>
    <w:p>
      <w:pPr>
        <w:pStyle w:val="FirstParagraph"/>
      </w:pPr>
      <w:r>
        <w:t xml:space="preserve">To answer the research question, I used a subset of the data that included survey participants responses to the following questions:</w:t>
      </w:r>
      <w:r>
        <w:t xml:space="preserve"> </w:t>
      </w:r>
      <w:r>
        <w:rPr>
          <w:iCs/>
          <w:i/>
        </w:rPr>
        <w:t xml:space="preserve">Thinking about the future of (survey country), please tell me whether you feel generally optimistic or generally pessimistic about the following areas.</w:t>
      </w:r>
    </w:p>
    <w:p>
      <w:pPr>
        <w:pStyle w:val="BodyText"/>
      </w:pPr>
      <w:r>
        <w:t xml:space="preserve">The areas of interest are culture, the gap between rich and poor, the availability of well-paying jobs, and the country’s educational system. The areas of interest are culture, the gap between rich and poor, the availability of well-paying jobs, and the country’s educational system. The areas of interest are culture, the gap between rich and poor, the availability of well-paying jobs, and the country’s educational system.</w:t>
      </w:r>
    </w:p>
    <w:bookmarkEnd w:id="23"/>
    <w:bookmarkStart w:id="41" w:name="results"/>
    <w:p>
      <w:pPr>
        <w:pStyle w:val="Heading4"/>
      </w:pPr>
      <w:r>
        <w:t xml:space="preserve">Results</w:t>
      </w:r>
    </w:p>
    <w:p>
      <w:pPr>
        <w:pStyle w:val="FirstParagraph"/>
      </w:pPr>
      <w:r>
        <w:t xml:space="preserve">Maybe add some text here pointing out anything interesting or unexpected in the table that the readers might want to view more closely. Also explain anything in the table that suggests how the research question might eventually be answered.</w:t>
      </w:r>
    </w:p>
    <w:bookmarkStart w:id="24" w:name="tbl-descrip"/>
    <w:p>
      <w:pPr>
        <w:pStyle w:val="TableCaption"/>
      </w:pPr>
      <w:r>
        <w:t xml:space="preserve">Table 1: Overall optimism about culture, wealth gap, jobs, and education for 10,000 survey participants in 5 countries.</w:t>
      </w:r>
    </w:p>
    <w:tbl>
      <w:tblPr>
        <w:tblStyle w:val="Table"/>
        <w:tblW w:type="pct" w:w="5000"/>
        <w:tblLook w:firstRow="1" w:lastRow="0" w:firstColumn="0" w:lastColumn="0" w:noHBand="0" w:noVBand="0" w:val="0020"/>
        <w:tblCaption w:val="Table 1: Overall optimism about culture, wealth gap, jobs, and education for 10,000 survey participants in 5 countries."/>
      </w:tblPr>
      <w:tblGrid>
        <w:gridCol w:w="4752"/>
        <w:gridCol w:w="1584"/>
        <w:gridCol w:w="1584"/>
      </w:tblGrid>
      <w:tr>
        <w:trPr>
          <w:tblHeader w:val="true"/>
        </w:trPr>
        <w:tc>
          <w:tcPr/>
          <w:p>
            <w:pPr>
              <w:pStyle w:val="Compact"/>
              <w:jc w:val="left"/>
            </w:pPr>
            <w:r>
              <w:t xml:space="preserve">Area</w:t>
            </w:r>
          </w:p>
        </w:tc>
        <w:tc>
          <w:tcPr/>
          <w:p>
            <w:pPr>
              <w:pStyle w:val="Compact"/>
              <w:jc w:val="left"/>
            </w:pPr>
            <w:r>
              <w:t xml:space="preserve">Optimism</w:t>
            </w:r>
          </w:p>
        </w:tc>
        <w:tc>
          <w:tcPr/>
          <w:p>
            <w:pPr>
              <w:pStyle w:val="Compact"/>
              <w:jc w:val="right"/>
            </w:pPr>
            <w:r>
              <w:t xml:space="preserve">n (%)</w:t>
            </w:r>
          </w:p>
        </w:tc>
      </w:tr>
      <w:tr>
        <w:tc>
          <w:tcPr/>
          <w:p>
            <w:pPr>
              <w:pStyle w:val="Compact"/>
              <w:jc w:val="left"/>
            </w:pPr>
            <w:r>
              <w:t xml:space="preserve">Our country’s culture</w:t>
            </w:r>
          </w:p>
        </w:tc>
        <w:tc>
          <w:tcPr/>
          <w:p>
            <w:pPr>
              <w:pStyle w:val="Compact"/>
              <w:jc w:val="left"/>
            </w:pPr>
            <w:r>
              <w:t xml:space="preserve">Optimistic</w:t>
            </w:r>
          </w:p>
        </w:tc>
        <w:tc>
          <w:tcPr/>
          <w:p>
            <w:pPr>
              <w:pStyle w:val="Compact"/>
              <w:jc w:val="right"/>
            </w:pPr>
            <w:r>
              <w:t xml:space="preserve">922 (65.9)</w:t>
            </w:r>
          </w:p>
        </w:tc>
      </w:tr>
      <w:tr>
        <w:tc>
          <w:tcPr/>
          <w:p>
            <w:pPr>
              <w:pStyle w:val="Compact"/>
            </w:pPr>
          </w:p>
        </w:tc>
        <w:tc>
          <w:tcPr/>
          <w:p>
            <w:pPr>
              <w:pStyle w:val="Compact"/>
              <w:jc w:val="left"/>
            </w:pPr>
            <w:r>
              <w:t xml:space="preserve">Pessimistic</w:t>
            </w:r>
          </w:p>
        </w:tc>
        <w:tc>
          <w:tcPr/>
          <w:p>
            <w:pPr>
              <w:pStyle w:val="Compact"/>
              <w:jc w:val="right"/>
            </w:pPr>
            <w:r>
              <w:t xml:space="preserve">457 (32.6)</w:t>
            </w:r>
          </w:p>
        </w:tc>
      </w:tr>
      <w:tr>
        <w:tc>
          <w:tcPr/>
          <w:p>
            <w:pPr>
              <w:pStyle w:val="Compact"/>
            </w:pPr>
          </w:p>
        </w:tc>
        <w:tc>
          <w:tcPr/>
          <w:p>
            <w:pPr>
              <w:pStyle w:val="Compact"/>
              <w:jc w:val="left"/>
            </w:pPr>
            <w:r>
              <w:t xml:space="preserve">Neither</w:t>
            </w:r>
          </w:p>
        </w:tc>
        <w:tc>
          <w:tcPr/>
          <w:p>
            <w:pPr>
              <w:pStyle w:val="Compact"/>
              <w:jc w:val="right"/>
            </w:pPr>
            <w:r>
              <w:t xml:space="preserve">21 (1.5)</w:t>
            </w:r>
          </w:p>
        </w:tc>
      </w:tr>
      <w:tr>
        <w:tc>
          <w:tcPr/>
          <w:p>
            <w:pPr>
              <w:pStyle w:val="Compact"/>
              <w:jc w:val="left"/>
            </w:pPr>
            <w:r>
              <w:t xml:space="preserve">Reducing the gap between the rich and poor</w:t>
            </w:r>
          </w:p>
        </w:tc>
        <w:tc>
          <w:tcPr/>
          <w:p>
            <w:pPr>
              <w:pStyle w:val="Compact"/>
              <w:jc w:val="left"/>
            </w:pPr>
            <w:r>
              <w:t xml:space="preserve">Optimistic</w:t>
            </w:r>
          </w:p>
        </w:tc>
        <w:tc>
          <w:tcPr/>
          <w:p>
            <w:pPr>
              <w:pStyle w:val="Compact"/>
              <w:jc w:val="right"/>
            </w:pPr>
            <w:r>
              <w:t xml:space="preserve">479 (34.5)</w:t>
            </w:r>
          </w:p>
        </w:tc>
      </w:tr>
      <w:tr>
        <w:tc>
          <w:tcPr/>
          <w:p>
            <w:pPr>
              <w:pStyle w:val="Compact"/>
            </w:pPr>
          </w:p>
        </w:tc>
        <w:tc>
          <w:tcPr/>
          <w:p>
            <w:pPr>
              <w:pStyle w:val="Compact"/>
              <w:jc w:val="left"/>
            </w:pPr>
            <w:r>
              <w:t xml:space="preserve">Pessimistic</w:t>
            </w:r>
          </w:p>
        </w:tc>
        <w:tc>
          <w:tcPr/>
          <w:p>
            <w:pPr>
              <w:pStyle w:val="Compact"/>
              <w:jc w:val="right"/>
            </w:pPr>
            <w:r>
              <w:t xml:space="preserve">875 (63.0)</w:t>
            </w:r>
          </w:p>
        </w:tc>
      </w:tr>
      <w:tr>
        <w:tc>
          <w:tcPr/>
          <w:p>
            <w:pPr>
              <w:pStyle w:val="Compact"/>
            </w:pPr>
          </w:p>
        </w:tc>
        <w:tc>
          <w:tcPr/>
          <w:p>
            <w:pPr>
              <w:pStyle w:val="Compact"/>
              <w:jc w:val="left"/>
            </w:pPr>
            <w:r>
              <w:t xml:space="preserve">Neither</w:t>
            </w:r>
          </w:p>
        </w:tc>
        <w:tc>
          <w:tcPr/>
          <w:p>
            <w:pPr>
              <w:pStyle w:val="Compact"/>
              <w:jc w:val="right"/>
            </w:pPr>
            <w:r>
              <w:t xml:space="preserve">34 (2.4)</w:t>
            </w:r>
          </w:p>
        </w:tc>
      </w:tr>
      <w:tr>
        <w:tc>
          <w:tcPr/>
          <w:p>
            <w:pPr>
              <w:pStyle w:val="Compact"/>
              <w:jc w:val="left"/>
            </w:pPr>
            <w:r>
              <w:t xml:space="preserve">Our country’s education system</w:t>
            </w:r>
          </w:p>
        </w:tc>
        <w:tc>
          <w:tcPr/>
          <w:p>
            <w:pPr>
              <w:pStyle w:val="Compact"/>
              <w:jc w:val="left"/>
            </w:pPr>
            <w:r>
              <w:t xml:space="preserve">Optimistic</w:t>
            </w:r>
          </w:p>
        </w:tc>
        <w:tc>
          <w:tcPr/>
          <w:p>
            <w:pPr>
              <w:pStyle w:val="Compact"/>
              <w:jc w:val="right"/>
            </w:pPr>
            <w:r>
              <w:t xml:space="preserve">665 (46.9)</w:t>
            </w:r>
          </w:p>
        </w:tc>
      </w:tr>
      <w:tr>
        <w:tc>
          <w:tcPr/>
          <w:p>
            <w:pPr>
              <w:pStyle w:val="Compact"/>
            </w:pPr>
          </w:p>
        </w:tc>
        <w:tc>
          <w:tcPr/>
          <w:p>
            <w:pPr>
              <w:pStyle w:val="Compact"/>
              <w:jc w:val="left"/>
            </w:pPr>
            <w:r>
              <w:t xml:space="preserve">Pessimistic</w:t>
            </w:r>
          </w:p>
        </w:tc>
        <w:tc>
          <w:tcPr/>
          <w:p>
            <w:pPr>
              <w:pStyle w:val="Compact"/>
              <w:jc w:val="right"/>
            </w:pPr>
            <w:r>
              <w:t xml:space="preserve">731 (51.6)</w:t>
            </w:r>
          </w:p>
        </w:tc>
      </w:tr>
      <w:tr>
        <w:tc>
          <w:tcPr/>
          <w:p>
            <w:pPr>
              <w:pStyle w:val="Compact"/>
            </w:pPr>
          </w:p>
        </w:tc>
        <w:tc>
          <w:tcPr/>
          <w:p>
            <w:pPr>
              <w:pStyle w:val="Compact"/>
              <w:jc w:val="left"/>
            </w:pPr>
            <w:r>
              <w:t xml:space="preserve">Neither</w:t>
            </w:r>
          </w:p>
        </w:tc>
        <w:tc>
          <w:tcPr/>
          <w:p>
            <w:pPr>
              <w:pStyle w:val="Compact"/>
              <w:jc w:val="right"/>
            </w:pPr>
            <w:r>
              <w:t xml:space="preserve">21 (1.5)</w:t>
            </w:r>
          </w:p>
        </w:tc>
      </w:tr>
      <w:tr>
        <w:tc>
          <w:tcPr/>
          <w:p>
            <w:pPr>
              <w:pStyle w:val="Compact"/>
              <w:jc w:val="left"/>
            </w:pPr>
            <w:r>
              <w:t xml:space="preserve">The availability of well-paying jobs</w:t>
            </w:r>
          </w:p>
        </w:tc>
        <w:tc>
          <w:tcPr/>
          <w:p>
            <w:pPr>
              <w:pStyle w:val="Compact"/>
              <w:jc w:val="left"/>
            </w:pPr>
            <w:r>
              <w:t xml:space="preserve">Optimistic</w:t>
            </w:r>
          </w:p>
        </w:tc>
        <w:tc>
          <w:tcPr/>
          <w:p>
            <w:pPr>
              <w:pStyle w:val="Compact"/>
              <w:jc w:val="right"/>
            </w:pPr>
            <w:r>
              <w:t xml:space="preserve">655 (46.6)</w:t>
            </w:r>
          </w:p>
        </w:tc>
      </w:tr>
      <w:tr>
        <w:tc>
          <w:tcPr/>
          <w:p>
            <w:pPr>
              <w:pStyle w:val="Compact"/>
            </w:pPr>
          </w:p>
        </w:tc>
        <w:tc>
          <w:tcPr/>
          <w:p>
            <w:pPr>
              <w:pStyle w:val="Compact"/>
              <w:jc w:val="left"/>
            </w:pPr>
            <w:r>
              <w:t xml:space="preserve">Pessimistic</w:t>
            </w:r>
          </w:p>
        </w:tc>
        <w:tc>
          <w:tcPr/>
          <w:p>
            <w:pPr>
              <w:pStyle w:val="Compact"/>
              <w:jc w:val="right"/>
            </w:pPr>
            <w:r>
              <w:t xml:space="preserve">725 (51.5)</w:t>
            </w:r>
          </w:p>
        </w:tc>
      </w:tr>
      <w:tr>
        <w:tc>
          <w:tcPr/>
          <w:p>
            <w:pPr>
              <w:pStyle w:val="Compact"/>
            </w:pPr>
          </w:p>
        </w:tc>
        <w:tc>
          <w:tcPr/>
          <w:p>
            <w:pPr>
              <w:pStyle w:val="Compact"/>
              <w:jc w:val="left"/>
            </w:pPr>
            <w:r>
              <w:t xml:space="preserve">Neither</w:t>
            </w:r>
          </w:p>
        </w:tc>
        <w:tc>
          <w:tcPr/>
          <w:p>
            <w:pPr>
              <w:pStyle w:val="Compact"/>
              <w:jc w:val="right"/>
            </w:pPr>
            <w:r>
              <w:t xml:space="preserve">27 (1.9)</w:t>
            </w:r>
          </w:p>
        </w:tc>
      </w:tr>
    </w:tbl>
    <w:bookmarkEnd w:id="24"/>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8" w:name="fig-countries-1"/>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Formatted-reproducible-project-word_files/figure-docx/fig-countries-1.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Our country’s culture</w:t>
                  </w:r>
                </w:p>
                <w:bookmarkEnd w:id="28"/>
              </w:tc>
            </w:tr>
          </w:tbl>
          <w:p/>
        </w:tc>
        <w:tc>
          <w:tcPr/>
          <w:tbl>
            <w:tblPr>
              <w:tblStyle w:val="Table"/>
              <w:tblW w:type="pct" w:w="5000"/>
              <w:tblLook w:firstRow="0" w:lastRow="0" w:firstColumn="0" w:lastColumn="0" w:noHBand="0" w:noVBand="0" w:val="0000"/>
            </w:tblPr>
            <w:tblGrid>
              <w:gridCol w:w="7920"/>
            </w:tblGrid>
            <w:tr>
              <w:tc>
                <w:tcPr/>
                <w:bookmarkStart w:id="32" w:name="fig-countries-2"/>
                <w:p>
                  <w:pPr>
                    <w:pStyle w:val="Figure"/>
                    <w:jc w:val="center"/>
                    <w:jc w:val="center"/>
                  </w:pPr>
                  <w:r>
                    <w:drawing>
                      <wp:inline>
                        <wp:extent cx="2971800" cy="2377440"/>
                        <wp:effectExtent b="0" l="0" r="0" t="0"/>
                        <wp:docPr descr="" title="" id="30" name="Picture"/>
                        <a:graphic>
                          <a:graphicData uri="http://schemas.openxmlformats.org/drawingml/2006/picture">
                            <pic:pic>
                              <pic:nvPicPr>
                                <pic:cNvPr descr="Formatted-reproducible-project-word_files/figure-docx/fig-countries-2.png" id="31" name="Picture"/>
                                <pic:cNvPicPr>
                                  <a:picLocks noChangeArrowheads="1" noChangeAspect="1"/>
                                </pic:cNvPicPr>
                              </pic:nvPicPr>
                              <pic:blipFill>
                                <a:blip r:embed="rId2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Our country’s education system</w:t>
                  </w:r>
                </w:p>
                <w:bookmarkEnd w:id="32"/>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6" w:name="fig-countries-3"/>
                <w:p>
                  <w:pPr>
                    <w:pStyle w:val="Figure"/>
                    <w:jc w:val="center"/>
                    <w:jc w:val="center"/>
                  </w:pPr>
                  <w:r>
                    <w:drawing>
                      <wp:inline>
                        <wp:extent cx="2971800" cy="2377440"/>
                        <wp:effectExtent b="0" l="0" r="0" t="0"/>
                        <wp:docPr descr="" title="" id="34" name="Picture"/>
                        <a:graphic>
                          <a:graphicData uri="http://schemas.openxmlformats.org/drawingml/2006/picture">
                            <pic:pic>
                              <pic:nvPicPr>
                                <pic:cNvPr descr="Formatted-reproducible-project-word_files/figure-docx/fig-countries-3.png" id="35" name="Picture"/>
                                <pic:cNvPicPr>
                                  <a:picLocks noChangeArrowheads="1" noChangeAspect="1"/>
                                </pic:cNvPicPr>
                              </pic:nvPicPr>
                              <pic:blipFill>
                                <a:blip r:embed="rId3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The availability of well-paying jobs</w:t>
                  </w:r>
                </w:p>
                <w:bookmarkEnd w:id="36"/>
              </w:tc>
            </w:tr>
          </w:tbl>
          <w:p/>
        </w:tc>
        <w:tc>
          <w:tcPr/>
          <w:tbl>
            <w:tblPr>
              <w:tblStyle w:val="Table"/>
              <w:tblW w:type="pct" w:w="5000"/>
              <w:tblLook w:firstRow="0" w:lastRow="0" w:firstColumn="0" w:lastColumn="0" w:noHBand="0" w:noVBand="0" w:val="0000"/>
            </w:tblPr>
            <w:tblGrid>
              <w:gridCol w:w="7920"/>
            </w:tblGrid>
            <w:tr>
              <w:tc>
                <w:tcPr/>
                <w:bookmarkStart w:id="40" w:name="fig-countries-4"/>
                <w:p>
                  <w:pPr>
                    <w:pStyle w:val="Figure"/>
                    <w:jc w:val="center"/>
                    <w:jc w:val="center"/>
                  </w:pPr>
                  <w:r>
                    <w:drawing>
                      <wp:inline>
                        <wp:extent cx="2971800" cy="2377440"/>
                        <wp:effectExtent b="0" l="0" r="0" t="0"/>
                        <wp:docPr descr="" title="" id="38" name="Picture"/>
                        <a:graphic>
                          <a:graphicData uri="http://schemas.openxmlformats.org/drawingml/2006/picture">
                            <pic:pic>
                              <pic:nvPicPr>
                                <pic:cNvPr descr="Formatted-reproducible-project-word_files/figure-docx/fig-countries-4.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(d) Reducing gap between rich and poor</w:t>
                  </w:r>
                </w:p>
                <w:bookmarkEnd w:id="40"/>
              </w:tc>
            </w:tr>
          </w:tbl>
          <w:p/>
        </w:tc>
      </w:tr>
    </w:tbl>
    <w:p>
      <w:pPr>
        <w:pStyle w:val="BodyText"/>
      </w:pPr>
      <w:pPr>
        <w:spacing w:before="200"/>
        <w:pStyle w:val="ImageCaption"/>
      </w:pPr>
      <w:r>
        <w:t xml:space="preserve">Figure 1: Percent of participants in each country who feel optimistic about the future of their country culture, wealth gap, jobs, and education.</w:t>
      </w:r>
    </w:p>
    <w:bookmarkEnd w:id="41"/>
    <w:bookmarkStart w:id="48" w:name="conclusion"/>
    <w:p>
      <w:pPr>
        <w:pStyle w:val="Heading4"/>
      </w:pPr>
      <w:r>
        <w:t xml:space="preserve">Conclusion</w:t>
      </w:r>
    </w:p>
    <w:p>
      <w:pPr>
        <w:pStyle w:val="FirstParagraph"/>
      </w:pPr>
      <w:r>
        <w:t xml:space="preserve">After all the methods and results, you would usually summarize the key points from your analyses and add some context by connecting your results to published evidence relevant to your work. Here is where you might add citations. More discussion of the findings that cite some of the literature in this area</w:t>
      </w:r>
      <w:r>
        <w:t xml:space="preserve"> </w:t>
      </w:r>
      <w:r>
        <w:t xml:space="preserve">(Kolencik 2022)</w:t>
      </w:r>
      <w:r>
        <w:t xml:space="preserve">. Another statement about the literature and citing it goes here</w:t>
      </w:r>
      <w:r>
        <w:t xml:space="preserve"> </w:t>
      </w:r>
      <w:r>
        <w:t xml:space="preserve">(Sully et al. 2022)</w:t>
      </w:r>
      <w:r>
        <w:t xml:space="preserve">.</w:t>
      </w:r>
    </w:p>
    <w:bookmarkStart w:id="47" w:name="references"/>
    <w:p>
      <w:pPr>
        <w:pStyle w:val="Heading5"/>
      </w:pPr>
      <w:r>
        <w:t xml:space="preserve">References</w:t>
      </w:r>
    </w:p>
    <w:bookmarkStart w:id="46" w:name="refs"/>
    <w:bookmarkStart w:id="43" w:name="ref-Kolencik2022"/>
    <w:p>
      <w:pPr>
        <w:pStyle w:val="Bibliography"/>
      </w:pPr>
      <w:r>
        <w:t xml:space="preserve">Kolencik, Gabrielle M. 2022.</w:t>
      </w:r>
      <w:r>
        <w:t xml:space="preserve"> </w:t>
      </w:r>
      <w:r>
        <w:t xml:space="preserve">“Harmony Between Man and His Environment: Reviewing the Trump Administration</w:t>
      </w:r>
      <w:r>
        <w:t xml:space="preserve">’</w:t>
      </w:r>
      <w:r>
        <w:t xml:space="preserve">s Changes to the National Environmental Policy Act in the Context of Environmental Racism.”</w:t>
      </w:r>
      <w:r>
        <w:t xml:space="preserve"> </w:t>
      </w:r>
      <w:r>
        <w:rPr>
          <w:iCs/>
          <w:i/>
        </w:rPr>
        <w:t xml:space="preserve">Journal of Law, Medicine &amp; Ethics</w:t>
      </w:r>
      <w:r>
        <w:t xml:space="preserve"> </w:t>
      </w:r>
      <w:r>
        <w:t xml:space="preserve">50 (1): 76–84.</w:t>
      </w:r>
      <w:r>
        <w:t xml:space="preserve"> </w:t>
      </w:r>
      <w:hyperlink r:id="rId42">
        <w:r>
          <w:rPr>
            <w:rStyle w:val="Hyperlink"/>
          </w:rPr>
          <w:t xml:space="preserve">https://doi.org/10.1017/jme.2022.11</w:t>
        </w:r>
      </w:hyperlink>
      <w:r>
        <w:t xml:space="preserve">.</w:t>
      </w:r>
    </w:p>
    <w:bookmarkEnd w:id="43"/>
    <w:bookmarkStart w:id="45" w:name="ref-Sully2022"/>
    <w:p>
      <w:pPr>
        <w:pStyle w:val="Bibliography"/>
      </w:pPr>
      <w:r>
        <w:t xml:space="preserve">Sully, Elizabeth A., Solomon Shiferaw, Assefa Seme, Suzanne O. Bell, and Margaret Giorgio. 2022.</w:t>
      </w:r>
      <w:r>
        <w:t xml:space="preserve"> </w:t>
      </w:r>
      <w:r>
        <w:t xml:space="preserve">“Impact of the Trump Administration’s Expanded Global Gag Rule Policy on Family Planning Service Provision in Ethiopia.”</w:t>
      </w:r>
      <w:r>
        <w:t xml:space="preserve"> </w:t>
      </w:r>
      <w:r>
        <w:rPr>
          <w:iCs/>
          <w:i/>
        </w:rPr>
        <w:t xml:space="preserve">Studies in Family Planning</w:t>
      </w:r>
      <w:r>
        <w:t xml:space="preserve">, May.</w:t>
      </w:r>
      <w:r>
        <w:t xml:space="preserve"> </w:t>
      </w:r>
      <w:hyperlink r:id="rId44">
        <w:r>
          <w:rPr>
            <w:rStyle w:val="Hyperlink"/>
          </w:rPr>
          <w:t xml:space="preserve">https://doi.org/10.1111/sifp.12196</w:t>
        </w:r>
      </w:hyperlink>
      <w:r>
        <w:t xml:space="preserve">.</w:t>
      </w:r>
    </w:p>
    <w:bookmarkEnd w:id="45"/>
    <w:bookmarkEnd w:id="46"/>
    <w:bookmarkEnd w:id="47"/>
    <w:bookmarkEnd w:id="48"/>
    <w:sectPr w:rsidR="0061585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06514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F24CF1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F02E3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34B1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020AC8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6D689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32A0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124851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D486BB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08DA3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C28D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17582405" w:numId="1">
    <w:abstractNumId w:val="10"/>
  </w:num>
  <w:num w16cid:durableId="312879022" w:numId="2">
    <w:abstractNumId w:val="0"/>
  </w:num>
  <w:num w16cid:durableId="633562965" w:numId="3">
    <w:abstractNumId w:val="1"/>
  </w:num>
  <w:num w16cid:durableId="356857820" w:numId="4">
    <w:abstractNumId w:val="2"/>
  </w:num>
  <w:num w16cid:durableId="1537348861" w:numId="5">
    <w:abstractNumId w:val="3"/>
  </w:num>
  <w:num w16cid:durableId="1689680253" w:numId="6">
    <w:abstractNumId w:val="8"/>
  </w:num>
  <w:num w16cid:durableId="478348736" w:numId="7">
    <w:abstractNumId w:val="4"/>
  </w:num>
  <w:num w16cid:durableId="977495966" w:numId="8">
    <w:abstractNumId w:val="5"/>
  </w:num>
  <w:num w16cid:durableId="1034424553" w:numId="9">
    <w:abstractNumId w:val="6"/>
  </w:num>
  <w:num w16cid:durableId="1531726673" w:numId="10">
    <w:abstractNumId w:val="7"/>
  </w:num>
  <w:num w16cid:durableId="2127893308"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rsid w:val="009E34CA"/>
    <w:pPr>
      <w:keepNext/>
      <w:keepLines/>
      <w:spacing w:after="0" w:line="480" w:lineRule="auto"/>
      <w:outlineLvl w:val="3"/>
    </w:pPr>
    <w:rPr>
      <w:rFonts w:ascii="Times New Roman" w:cstheme="majorBidi" w:eastAsiaTheme="majorEastAsia" w:hAnsi="Times New Roman"/>
      <w:bCs/>
      <w:i/>
      <w:sz w:val="28"/>
    </w:rPr>
  </w:style>
  <w:style w:styleId="Heading5" w:type="paragraph">
    <w:name w:val="heading 5"/>
    <w:basedOn w:val="Normal"/>
    <w:next w:val="BodyText"/>
    <w:uiPriority w:val="9"/>
    <w:unhideWhenUsed/>
    <w:qFormat/>
    <w:rsid w:val="006B1CE7"/>
    <w:pPr>
      <w:keepNext/>
      <w:keepLines/>
      <w:pageBreakBefore/>
      <w:outlineLvl w:val="4"/>
    </w:pPr>
    <w:rPr>
      <w:rFonts w:ascii="Times New Roman" w:cstheme="majorBidi" w:eastAsiaTheme="majorEastAsia" w:hAnsi="Times New Roman"/>
      <w:i/>
      <w:iCs/>
      <w:sz w:val="28"/>
    </w:rPr>
  </w:style>
  <w:style w:styleId="Heading6" w:type="paragraph">
    <w:name w:val="heading 6"/>
    <w:basedOn w:val="Normal"/>
    <w:next w:val="BodyText"/>
    <w:uiPriority w:val="9"/>
    <w:unhideWhenUsed/>
    <w:qFormat/>
    <w:rsid w:val="007659A2"/>
    <w:pPr>
      <w:keepNext/>
      <w:keepLines/>
      <w:spacing w:after="0" w:before="200" w:line="480" w:lineRule="auto"/>
      <w:outlineLvl w:val="5"/>
    </w:pPr>
    <w:rPr>
      <w:rFonts w:ascii="Times New Roman" w:cstheme="majorBidi" w:eastAsiaTheme="majorEastAsia" w:hAnsi="Times New Roman"/>
      <w:b/>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E34CA"/>
    <w:pPr>
      <w:spacing w:after="0" w:line="480" w:lineRule="auto"/>
      <w:ind w:firstLine="7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E1FED"/>
    <w:pPr>
      <w:keepNext/>
      <w:keepLines/>
      <w:spacing w:after="240" w:before="480"/>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3F1AE2"/>
    <w:pPr>
      <w:keepNext/>
      <w:keepLines/>
      <w:spacing w:line="480" w:lineRule="auto"/>
    </w:pPr>
    <w:rPr>
      <w:rFonts w:ascii="Times New Roman" w:hAnsi="Times New Roman"/>
      <w:b/>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9E34C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42" Target="https://doi.org/10.1017/jme.2022.11" TargetMode="External" /><Relationship Type="http://schemas.openxmlformats.org/officeDocument/2006/relationships/hyperlink" Id="rId44" Target="https://doi.org/10.1111/sifp.12196" TargetMode="External" /><Relationship Type="http://schemas.openxmlformats.org/officeDocument/2006/relationships/hyperlink" Id="rId21" Target="https://www.pewresearch.org" TargetMode="External" /><Relationship Type="http://schemas.openxmlformats.org/officeDocument/2006/relationships/hyperlink" Id="rId20" Target="https://www.pewresearch.org/global/dataset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17/jme.2022.11" TargetMode="External" /><Relationship Type="http://schemas.openxmlformats.org/officeDocument/2006/relationships/hyperlink" Id="rId44" Target="https://doi.org/10.1111/sifp.12196" TargetMode="External" /><Relationship Type="http://schemas.openxmlformats.org/officeDocument/2006/relationships/hyperlink" Id="rId21" Target="https://www.pewresearch.org" TargetMode="External" /><Relationship Type="http://schemas.openxmlformats.org/officeDocument/2006/relationships/hyperlink" Id="rId20" Target="https://www.pewresearch.org/global/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Document for MS Word</dc:title>
  <dc:creator>Jenine K. Harris, PhD</dc:creator>
  <cp:keywords/>
  <dcterms:created xsi:type="dcterms:W3CDTF">2022-11-26T18:45:37Z</dcterms:created>
  <dcterms:modified xsi:type="dcterms:W3CDTF">2022-11-26T18:45:37Z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