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C8C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User Testing Strategy</w:t>
            </w:r>
          </w:p>
          <w:p>
            <w:r>
              <w:rPr>
                <w:rFonts w:ascii="Arial" w:cs="Arial" w:eastAsia="Arial" w:hAnsi="Arial"/>
                <w:color w:val="B2DDE3"/>
                <w:sz w:val="22"/>
                <w:szCs w:val="22"/>
              </w:rPr>
              <w:t xml:space="preserve">Partner Integration Program  —  TL;DR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A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April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5B8E8"/>
                <w:sz w:val="18"/>
                <w:szCs w:val="18"/>
              </w:rPr>
              <w:t xml:space="preserve">Director of Design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7C8C"/>
          <w:spacing w:val="40"/>
          <w:sz w:val="16"/>
          <w:szCs w:val="16"/>
        </w:rPr>
        <w:t xml:space="preserve">THE GOAL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Map user testing across two partner integrations to validate our onboarding, assessment, and personalization experience — using moderated sessions via User Interviews, qualitative synthesis, and a phased beta rollout — while protecting member PHI/PII and keeping partners in the loop.</w:t>
      </w:r>
    </w:p>
    <w:p>
      <w:pPr>
        <w:spacing w:after="20" w:before="0"/>
      </w:pPr>
      <w:r>
        <w:t xml:space="preserve"/>
      </w:r>
    </w:p>
    <w:p>
      <w:pPr>
        <w:pBdr>
          <w:bottom w:val="single" w:color="B2DDE3" w:sz="3"/>
        </w:pBd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hd w:fill="1A7C8C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Partner 1 — Handoff Journey</w:t>
            </w:r>
          </w:p>
          <w:p>
            <w:pPr>
              <w:spacing w:after="2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Enters from partner app via a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 pre-filled with partner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Personalized recs on first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Guided to care manager for 1:1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rewards only inside our experience</w:t>
            </w:r>
          </w:p>
          <w:p>
            <w:pPr>
              <w:spacing w:after="2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C8C"/>
                <w:sz w:val="20"/>
                <w:szCs w:val="20"/>
              </w:rPr>
              <w:t xml:space="preserve">Test focus: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Does the pre-fill feel helpful vs. invasive? Is the handoff seamless?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hd w:fill="5B4FA8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Partner 2 — White-Label Standalone</w:t>
            </w:r>
          </w:p>
          <w:p>
            <w:pPr>
              <w:spacing w:after="2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Comes directly to our white-labeled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assessment — starts from zero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personalized product/service/article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Boosted rewards reflecting higher monetary value</w:t>
            </w:r>
          </w:p>
          <w:p>
            <w:pPr>
              <w:spacing w:after="20" w:before="0"/>
            </w:pPr>
            <w:r>
              <w:t xml:space="preserve"/>
            </w:r>
          </w:p>
          <w:p>
            <w:pPr>
              <w:spacing w:after="2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4FA8"/>
                <w:sz w:val="20"/>
                <w:szCs w:val="20"/>
              </w:rPr>
              <w:t xml:space="preserve">Test focus: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Is starting from zero overwhelming? Do boosted rewards drive completion?</w:t>
            </w:r>
          </w:p>
        </w:tc>
      </w:tr>
    </w:tbl>
    <w:p>
      <w:pPr>
        <w:spacing w:after="20" w:before="0"/>
      </w:pPr>
      <w:r>
        <w:t xml:space="preserve"/>
      </w:r>
    </w:p>
    <w:p>
      <w:pPr>
        <w:pBdr>
          <w:bottom w:val="single" w:color="B2DDE3" w:sz="3"/>
        </w:pBd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7C8C"/>
          <w:spacing w:val="40"/>
          <w:sz w:val="16"/>
          <w:szCs w:val="16"/>
        </w:rPr>
        <w:t xml:space="preserve">WHAT WE MEASURE — 8 EVALUATION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E6F4F6" w:sz="1"/>
              <w:left w:val="single" w:color="E6F4F6" w:sz="1"/>
              <w:bottom w:val="single" w:color="E6F4F6" w:sz="1"/>
              <w:right w:val="single" w:color="E6F4F6" w:sz="1"/>
            </w:tcBorders>
            <w:shd w:fill="E6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C8C"/>
                <w:sz w:val="18"/>
                <w:szCs w:val="18"/>
              </w:rPr>
              <w:t xml:space="preserve">Compelling</w:t>
            </w:r>
          </w:p>
        </w:tc>
        <w:tc>
          <w:tcPr>
            <w:tcW w:type="dxa" w:w="1170"/>
            <w:tcBorders>
              <w:top w:val="single" w:color="E6F4F6" w:sz="1"/>
              <w:left w:val="single" w:color="E6F4F6" w:sz="1"/>
              <w:bottom w:val="single" w:color="E6F4F6" w:sz="1"/>
              <w:right w:val="single" w:color="E6F4F6" w:sz="1"/>
            </w:tcBorders>
            <w:shd w:fill="E6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C8C"/>
                <w:sz w:val="18"/>
                <w:szCs w:val="18"/>
              </w:rPr>
              <w:t xml:space="preserve">Seamless</w:t>
            </w:r>
          </w:p>
        </w:tc>
        <w:tc>
          <w:tcPr>
            <w:tcW w:type="dxa" w:w="1170"/>
            <w:tcBorders>
              <w:top w:val="single" w:color="EEECF8" w:sz="1"/>
              <w:left w:val="single" w:color="EEECF8" w:sz="1"/>
              <w:bottom w:val="single" w:color="EEECF8" w:sz="1"/>
              <w:right w:val="single" w:color="EEECF8" w:sz="1"/>
            </w:tcBorders>
            <w:shd w:fill="EEEC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A8"/>
                <w:sz w:val="18"/>
                <w:szCs w:val="18"/>
              </w:rPr>
              <w:t xml:space="preserve">Trustworthy</w:t>
            </w:r>
          </w:p>
        </w:tc>
        <w:tc>
          <w:tcPr>
            <w:tcW w:type="dxa" w:w="1170"/>
            <w:tcBorders>
              <w:top w:val="single" w:color="EEECF8" w:sz="1"/>
              <w:left w:val="single" w:color="EEECF8" w:sz="1"/>
              <w:bottom w:val="single" w:color="EEECF8" w:sz="1"/>
              <w:right w:val="single" w:color="EEECF8" w:sz="1"/>
            </w:tcBorders>
            <w:shd w:fill="EEEC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A8"/>
                <w:sz w:val="18"/>
                <w:szCs w:val="18"/>
              </w:rPr>
              <w:t xml:space="preserve">Useful</w:t>
            </w:r>
          </w:p>
        </w:tc>
        <w:tc>
          <w:tcPr>
            <w:tcW w:type="dxa" w:w="1170"/>
            <w:tcBorders>
              <w:top w:val="single" w:color="E6F4EE" w:sz="1"/>
              <w:left w:val="single" w:color="E6F4EE" w:sz="1"/>
              <w:bottom w:val="single" w:color="E6F4EE" w:sz="1"/>
              <w:right w:val="single" w:color="E6F4EE" w:sz="1"/>
            </w:tcBorders>
            <w:shd w:fill="E6F4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E"/>
                <w:sz w:val="18"/>
                <w:szCs w:val="18"/>
              </w:rPr>
              <w:t xml:space="preserve">Meets Expectations</w:t>
            </w:r>
          </w:p>
        </w:tc>
        <w:tc>
          <w:tcPr>
            <w:tcW w:type="dxa" w:w="1170"/>
            <w:tcBorders>
              <w:top w:val="single" w:color="E6F4EE" w:sz="1"/>
              <w:left w:val="single" w:color="E6F4EE" w:sz="1"/>
              <w:bottom w:val="single" w:color="E6F4EE" w:sz="1"/>
              <w:right w:val="single" w:color="E6F4EE" w:sz="1"/>
            </w:tcBorders>
            <w:shd w:fill="E6F4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E"/>
                <w:sz w:val="18"/>
                <w:szCs w:val="18"/>
              </w:rPr>
              <w:t xml:space="preserve">Return-Worthy</w:t>
            </w:r>
          </w:p>
        </w:tc>
        <w:tc>
          <w:tcPr>
            <w:tcW w:type="dxa" w:w="1170"/>
            <w:tcBorders>
              <w:top w:val="single" w:color="FDF1E3" w:sz="1"/>
              <w:left w:val="single" w:color="FDF1E3" w:sz="1"/>
              <w:bottom w:val="single" w:color="FDF1E3" w:sz="1"/>
              <w:right w:val="single" w:color="FDF1E3" w:sz="1"/>
            </w:tcBorders>
            <w:shd w:fill="FDF1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07A28"/>
                <w:sz w:val="18"/>
                <w:szCs w:val="18"/>
              </w:rPr>
              <w:t xml:space="preserve">Recommend</w:t>
            </w:r>
          </w:p>
        </w:tc>
        <w:tc>
          <w:tcPr>
            <w:tcW w:type="dxa" w:w="1170"/>
            <w:tcBorders>
              <w:top w:val="single" w:color="FDF1E3" w:sz="1"/>
              <w:left w:val="single" w:color="FDF1E3" w:sz="1"/>
              <w:bottom w:val="single" w:color="FDF1E3" w:sz="1"/>
              <w:right w:val="single" w:color="FDF1E3" w:sz="1"/>
            </w:tcBorders>
            <w:shd w:fill="FDF1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07A28"/>
                <w:sz w:val="18"/>
                <w:szCs w:val="18"/>
              </w:rPr>
              <w:t xml:space="preserve">Feels Understood</w:t>
            </w:r>
          </w:p>
        </w:tc>
      </w:tr>
    </w:tbl>
    <w:p>
      <w:pPr>
        <w:spacing w:after="20" w:before="0"/>
      </w:pPr>
      <w:r>
        <w:t xml:space="preserve"/>
      </w:r>
    </w:p>
    <w:p>
      <w:pPr>
        <w:pBdr>
          <w:bottom w:val="single" w:color="B2DDE3" w:sz="3"/>
        </w:pBd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1A7C8C"/>
                <w:spacing w:val="40"/>
                <w:sz w:val="16"/>
                <w:szCs w:val="16"/>
              </w:rPr>
              <w:t xml:space="preserve">HOW WE TEST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C8C"/>
                <w:sz w:val="20"/>
                <w:szCs w:val="20"/>
              </w:rPr>
              <w:t xml:space="preserve">Moderated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8–10 participants / partner · 60 min · User Interviews · Live with partner observer seat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C8C"/>
                <w:sz w:val="20"/>
                <w:szCs w:val="20"/>
              </w:rPr>
              <w:t xml:space="preserve">Unmoderated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 participants / partner · 15–25 min · Async tasks · Scale + completion rates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C8C"/>
                <w:sz w:val="20"/>
                <w:szCs w:val="20"/>
              </w:rPr>
              <w:t xml:space="preserve">Partner observes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Silent observer seat · Post-session debrief · No PHI/PII collected · Synthetic data only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1A7C8C"/>
                <w:spacing w:val="40"/>
                <w:sz w:val="16"/>
                <w:szCs w:val="16"/>
              </w:rPr>
              <w:t xml:space="preserve">HOW WE RECRUIT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intercept — triggered after meaningful action (not first open)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Campaign outreach — targeted email/push coordinated with partner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 manager referral — nominated power users + edge cases</w:t>
            </w:r>
          </w:p>
        </w:tc>
      </w:tr>
    </w:tbl>
    <w:p>
      <w:pPr>
        <w:spacing w:after="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7C8C"/>
          <w:spacing w:val="40"/>
          <w:sz w:val="16"/>
          <w:szCs w:val="16"/>
        </w:rPr>
        <w:t xml:space="preserve">QUALITATIVE → DESIGN PIPELINE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E6F4F6" w:sz="1"/>
              <w:left w:val="single" w:color="E6F4F6" w:sz="1"/>
              <w:bottom w:val="single" w:color="E6F4F6" w:sz="1"/>
              <w:right w:val="single" w:color="E6F4F6" w:sz="1"/>
            </w:tcBorders>
            <w:shd w:fill="E6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C8C"/>
                <w:sz w:val="24"/>
                <w:szCs w:val="24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Session Capture</w:t>
            </w:r>
          </w:p>
        </w:tc>
        <w:tc>
          <w:tcPr>
            <w:tcW w:type="dxa" w:w="1337"/>
            <w:tcBorders>
              <w:top w:val="single" w:color="E6F4F6" w:sz="1"/>
              <w:left w:val="single" w:color="E6F4F6" w:sz="1"/>
              <w:bottom w:val="single" w:color="E6F4F6" w:sz="1"/>
              <w:right w:val="single" w:color="E6F4F6" w:sz="1"/>
            </w:tcBorders>
            <w:shd w:fill="E6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C8C"/>
                <w:sz w:val="24"/>
                <w:szCs w:val="24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Team Debrief</w:t>
            </w:r>
          </w:p>
        </w:tc>
        <w:tc>
          <w:tcPr>
            <w:tcW w:type="dxa" w:w="1337"/>
            <w:tcBorders>
              <w:top w:val="single" w:color="EEECF8" w:sz="1"/>
              <w:left w:val="single" w:color="EEECF8" w:sz="1"/>
              <w:bottom w:val="single" w:color="EEECF8" w:sz="1"/>
              <w:right w:val="single" w:color="EEECF8" w:sz="1"/>
            </w:tcBorders>
            <w:shd w:fill="EEEC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A8"/>
                <w:sz w:val="24"/>
                <w:szCs w:val="2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Affinity Mapping</w:t>
            </w:r>
          </w:p>
        </w:tc>
        <w:tc>
          <w:tcPr>
            <w:tcW w:type="dxa" w:w="1337"/>
            <w:tcBorders>
              <w:top w:val="single" w:color="EEECF8" w:sz="1"/>
              <w:left w:val="single" w:color="EEECF8" w:sz="1"/>
              <w:bottom w:val="single" w:color="EEECF8" w:sz="1"/>
              <w:right w:val="single" w:color="EEECF8" w:sz="1"/>
            </w:tcBorders>
            <w:shd w:fill="EEEC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A8"/>
                <w:sz w:val="24"/>
                <w:szCs w:val="24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Insight Extraction</w:t>
            </w:r>
          </w:p>
        </w:tc>
        <w:tc>
          <w:tcPr>
            <w:tcW w:type="dxa" w:w="1337"/>
            <w:tcBorders>
              <w:top w:val="single" w:color="E6F4EE" w:sz="1"/>
              <w:left w:val="single" w:color="E6F4EE" w:sz="1"/>
              <w:bottom w:val="single" w:color="E6F4EE" w:sz="1"/>
              <w:right w:val="single" w:color="E6F4EE" w:sz="1"/>
            </w:tcBorders>
            <w:shd w:fill="E6F4E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E"/>
                <w:sz w:val="24"/>
                <w:szCs w:val="24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Design Implication</w:t>
            </w:r>
          </w:p>
        </w:tc>
        <w:tc>
          <w:tcPr>
            <w:tcW w:type="dxa" w:w="1337"/>
            <w:tcBorders>
              <w:top w:val="single" w:color="E6F4EE" w:sz="1"/>
              <w:left w:val="single" w:color="E6F4EE" w:sz="1"/>
              <w:bottom w:val="single" w:color="E6F4EE" w:sz="1"/>
              <w:right w:val="single" w:color="E6F4EE" w:sz="1"/>
            </w:tcBorders>
            <w:shd w:fill="E6F4E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E"/>
                <w:sz w:val="24"/>
                <w:szCs w:val="24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Decision Log</w:t>
            </w:r>
          </w:p>
        </w:tc>
        <w:tc>
          <w:tcPr>
            <w:tcW w:type="dxa" w:w="1337"/>
            <w:tcBorders>
              <w:top w:val="single" w:color="FDF1E3" w:sz="1"/>
              <w:left w:val="single" w:color="FDF1E3" w:sz="1"/>
              <w:bottom w:val="single" w:color="FDF1E3" w:sz="1"/>
              <w:right w:val="single" w:color="FDF1E3" w:sz="1"/>
            </w:tcBorders>
            <w:shd w:fill="FDF1E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07A28"/>
                <w:sz w:val="24"/>
                <w:szCs w:val="24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Partner Report</w:t>
            </w:r>
          </w:p>
        </w:tc>
      </w:tr>
    </w:tbl>
    <w:p>
      <w:pPr>
        <w:spacing w:after="8" w:before="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Sessions → 24hr debrief → affinity map (Miro) → insight statements → design recommendations → decision log → partner report (5 business days)</w:t>
      </w:r>
    </w:p>
    <w:p>
      <w:pPr>
        <w:pBdr>
          <w:bottom w:val="single" w:color="B2DDE3" w:sz="3"/>
        </w:pBd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1A7C8C"/>
                <w:spacing w:val="40"/>
                <w:sz w:val="16"/>
                <w:szCs w:val="16"/>
              </w:rPr>
              <w:t xml:space="preserve">BETA ROLLOUT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560"/>
              <w:gridCol w:w="2800"/>
            </w:tblGrid>
            <w:tr>
              <w:trPr>
                <w:tblHeader/>
              </w:trPr>
              <w:tc>
                <w:tcPr>
                  <w:tcW w:type="dxa" w:w="1200"/>
                  <w:tcBorders>
                    <w:top w:val="single" w:color="333333" w:sz="1"/>
                    <w:left w:val="single" w:color="333333" w:sz="1"/>
                    <w:bottom w:val="single" w:color="333333" w:sz="1"/>
                    <w:right w:val="single" w:color="333333" w:sz="1"/>
                  </w:tcBorders>
                  <w:shd w:fill="333333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Phase</w:t>
                  </w:r>
                </w:p>
              </w:tc>
              <w:tc>
                <w:tcPr>
                  <w:tcW w:type="dxa" w:w="560"/>
                  <w:tcBorders>
                    <w:top w:val="single" w:color="333333" w:sz="1"/>
                    <w:left w:val="single" w:color="333333" w:sz="1"/>
                    <w:bottom w:val="single" w:color="333333" w:sz="1"/>
                    <w:right w:val="single" w:color="333333" w:sz="1"/>
                  </w:tcBorders>
                  <w:shd w:fill="33333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%</w:t>
                  </w:r>
                </w:p>
              </w:tc>
              <w:tc>
                <w:tcPr>
                  <w:tcW w:type="dxa" w:w="2800"/>
                  <w:tcBorders>
                    <w:top w:val="single" w:color="333333" w:sz="1"/>
                    <w:left w:val="single" w:color="333333" w:sz="1"/>
                    <w:bottom w:val="single" w:color="333333" w:sz="1"/>
                    <w:right w:val="single" w:color="333333" w:sz="1"/>
                  </w:tcBorders>
                  <w:shd w:fill="333333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Go Criteria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6F4F6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7C8C"/>
                      <w:sz w:val="18"/>
                      <w:szCs w:val="18"/>
                    </w:rPr>
                    <w:t xml:space="preserve">Soft Launch</w:t>
                  </w:r>
                </w:p>
              </w:tc>
              <w:tc>
                <w:tcPr>
                  <w:tcW w:type="dxa" w:w="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6F4F6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~5%</w:t>
                  </w:r>
                </w:p>
              </w:tc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6F4F6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7"/>
                      <w:szCs w:val="17"/>
                    </w:rPr>
                    <w:t xml:space="preserve">No critical blockers · Design sign-off · Partner approved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ECF8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B4FA8"/>
                      <w:sz w:val="18"/>
                      <w:szCs w:val="18"/>
                    </w:rPr>
                    <w:t xml:space="preserve">Expanded Beta</w:t>
                  </w:r>
                </w:p>
              </w:tc>
              <w:tc>
                <w:tcPr>
                  <w:tcW w:type="dxa" w:w="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ECF8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~20%</w:t>
                  </w:r>
                </w:p>
              </w:tc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ECF8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7"/>
                      <w:szCs w:val="17"/>
                    </w:rPr>
                    <w:t xml:space="preserve">Stable for 2 weeks · Synthesis complete · No new P1 bugs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6F4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8B5E"/>
                      <w:sz w:val="18"/>
                      <w:szCs w:val="18"/>
                    </w:rPr>
                    <w:t xml:space="preserve">Full Rollout</w:t>
                  </w:r>
                </w:p>
              </w:tc>
              <w:tc>
                <w:tcPr>
                  <w:tcW w:type="dxa" w:w="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6F4EE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100%</w:t>
                  </w:r>
                </w:p>
              </w:tc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6F4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7"/>
                      <w:szCs w:val="17"/>
                    </w:rPr>
                    <w:t xml:space="preserve">Stable 2–4 weeks · All priority changes shipped · Partner sign-off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1A7C8C"/>
                <w:spacing w:val="40"/>
                <w:sz w:val="16"/>
                <w:szCs w:val="16"/>
              </w:rPr>
              <w:t xml:space="preserve">LONGITUDINAL TOUCHPOINTS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0"/>
              <w:gridCol w:w="3840"/>
            </w:tblGrid>
            <w:tr>
              <w:tc>
                <w:tcPr>
                  <w:tcW w:type="dxa" w:w="720"/>
                  <w:tcBorders>
                    <w:top w:val="single" w:color="B2DDE3" w:sz="1"/>
                    <w:left w:val="single" w:color="B2DDE3" w:sz="1"/>
                    <w:bottom w:val="single" w:color="B2DDE3" w:sz="1"/>
                    <w:right w:val="single" w:color="B2DDE3" w:sz="1"/>
                  </w:tcBorders>
                  <w:shd w:fill="E6F4F6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C8C"/>
                      <w:sz w:val="18"/>
                      <w:szCs w:val="18"/>
                    </w:rPr>
                    <w:t xml:space="preserve">Day 7</w:t>
                  </w:r>
                </w:p>
              </w:tc>
              <w:tc>
                <w:tcPr>
                  <w:tcW w:type="dxa" w:w="3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6F4F6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7"/>
                      <w:szCs w:val="17"/>
                    </w:rPr>
                    <w:t xml:space="preserve">In-app 3-question micro-survey · Early retention signal</w:t>
                  </w:r>
                </w:p>
              </w:tc>
            </w:tr>
            <w:tr>
              <w:tc>
                <w:tcPr>
                  <w:tcW w:type="dxa" w:w="720"/>
                  <w:tcBorders>
                    <w:top w:val="single" w:color="B2DDE3" w:sz="1"/>
                    <w:left w:val="single" w:color="B2DDE3" w:sz="1"/>
                    <w:bottom w:val="single" w:color="B2DDE3" w:sz="1"/>
                    <w:right w:val="single" w:color="B2DDE3" w:sz="1"/>
                  </w:tcBorders>
                  <w:shd w:fill="E6F4F6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C8C"/>
                      <w:sz w:val="18"/>
                      <w:szCs w:val="18"/>
                    </w:rPr>
                    <w:t xml:space="preserve">Day 30</w:t>
                  </w:r>
                </w:p>
              </w:tc>
              <w:tc>
                <w:tcPr>
                  <w:tcW w:type="dxa" w:w="3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7"/>
                      <w:szCs w:val="17"/>
                    </w:rPr>
                    <w:t xml:space="preserve">Email survey + optional 30-min follow-up call · Care manager NPS</w:t>
                  </w:r>
                </w:p>
              </w:tc>
            </w:tr>
            <w:tr>
              <w:tc>
                <w:tcPr>
                  <w:tcW w:type="dxa" w:w="720"/>
                  <w:tcBorders>
                    <w:top w:val="single" w:color="B2DDE3" w:sz="1"/>
                    <w:left w:val="single" w:color="B2DDE3" w:sz="1"/>
                    <w:bottom w:val="single" w:color="B2DDE3" w:sz="1"/>
                    <w:right w:val="single" w:color="B2DDE3" w:sz="1"/>
                  </w:tcBorders>
                  <w:shd w:fill="E6F4F6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C8C"/>
                      <w:sz w:val="18"/>
                      <w:szCs w:val="18"/>
                    </w:rPr>
                    <w:t xml:space="preserve">Day 90</w:t>
                  </w:r>
                </w:p>
              </w:tc>
              <w:tc>
                <w:tcPr>
                  <w:tcW w:type="dxa" w:w="3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6F4F6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7"/>
                      <w:szCs w:val="17"/>
                    </w:rPr>
                    <w:t xml:space="preserve">Cohort analysis + 5 depth interviews · Long-term outcome signal</w:t>
                  </w:r>
                </w:p>
              </w:tc>
            </w:tr>
          </w:tbl>
          <w:p/>
        </w:tc>
      </w:tr>
    </w:tbl>
    <w:p>
      <w:pPr>
        <w:spacing w:after="20" w:before="0"/>
      </w:pPr>
      <w:r>
        <w:t xml:space="preserve"/>
      </w:r>
    </w:p>
    <w:p>
      <w:pPr>
        <w:pBdr>
          <w:bottom w:val="single" w:color="B2DDE3" w:sz="3"/>
        </w:pBd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7C8C"/>
          <w:spacing w:val="40"/>
          <w:sz w:val="16"/>
          <w:szCs w:val="16"/>
        </w:rPr>
        <w:t xml:space="preserve">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2DDE3" w:sz="1"/>
              <w:left w:val="single" w:color="B2DDE3" w:sz="1"/>
              <w:bottom w:val="single" w:color="B2DDE3" w:sz="1"/>
              <w:right w:val="single" w:color="B2DDE3" w:sz="1"/>
            </w:tcBorders>
            <w:shd w:fill="E6F4F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C8C"/>
                <w:sz w:val="19"/>
                <w:szCs w:val="19"/>
              </w:rPr>
              <w:t xml:space="preserve">This 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 Miro board (10-row structure) · Confirm legal review of consent language</w:t>
            </w:r>
          </w:p>
        </w:tc>
      </w:tr>
      <w:tr>
        <w:tc>
          <w:tcPr>
            <w:tcW w:type="dxa" w:w="1200"/>
            <w:tcBorders>
              <w:top w:val="single" w:color="B2DDE3" w:sz="1"/>
              <w:left w:val="single" w:color="B2DDE3" w:sz="1"/>
              <w:bottom w:val="single" w:color="B2DDE3" w:sz="1"/>
              <w:right w:val="single" w:color="B2DD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C8C"/>
                <w:sz w:val="19"/>
                <w:szCs w:val="19"/>
              </w:rPr>
              <w:t xml:space="preserve">Week 1–2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Align screener criteria with partners · Set up User Interviews · Draft discussion guides</w:t>
            </w:r>
          </w:p>
        </w:tc>
      </w:tr>
      <w:tr>
        <w:tc>
          <w:tcPr>
            <w:tcW w:type="dxa" w:w="1200"/>
            <w:tcBorders>
              <w:top w:val="single" w:color="B2DDE3" w:sz="1"/>
              <w:left w:val="single" w:color="B2DDE3" w:sz="1"/>
              <w:bottom w:val="single" w:color="B2DDE3" w:sz="1"/>
              <w:right w:val="single" w:color="B2DDE3" w:sz="1"/>
            </w:tcBorders>
            <w:shd w:fill="E6F4F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C8C"/>
                <w:sz w:val="19"/>
                <w:szCs w:val="19"/>
              </w:rPr>
              <w:t xml:space="preserve">Week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Launch recruitment across all 3 channels simultaneously</w:t>
            </w:r>
          </w:p>
        </w:tc>
      </w:tr>
      <w:tr>
        <w:tc>
          <w:tcPr>
            <w:tcW w:type="dxa" w:w="1200"/>
            <w:tcBorders>
              <w:top w:val="single" w:color="B2DDE3" w:sz="1"/>
              <w:left w:val="single" w:color="B2DDE3" w:sz="1"/>
              <w:bottom w:val="single" w:color="B2DDE3" w:sz="1"/>
              <w:right w:val="single" w:color="B2DD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C8C"/>
                <w:sz w:val="19"/>
                <w:szCs w:val="19"/>
              </w:rPr>
              <w:t xml:space="preserve">Week 3–4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 moderated session series with partner debrief after each session</w:t>
            </w:r>
          </w:p>
        </w:tc>
      </w:tr>
      <w:tr>
        <w:tc>
          <w:tcPr>
            <w:tcW w:type="dxa" w:w="1200"/>
            <w:tcBorders>
              <w:top w:val="single" w:color="B2DDE3" w:sz="1"/>
              <w:left w:val="single" w:color="B2DDE3" w:sz="1"/>
              <w:bottom w:val="single" w:color="B2DDE3" w:sz="1"/>
              <w:right w:val="single" w:color="B2DDE3" w:sz="1"/>
            </w:tcBorders>
            <w:shd w:fill="E6F4F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C8C"/>
                <w:sz w:val="19"/>
                <w:szCs w:val="19"/>
              </w:rPr>
              <w:t xml:space="preserve">Week 4–5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Affinity mapping synthesis · Deliver insight report to partners</w:t>
            </w:r>
          </w:p>
        </w:tc>
      </w:tr>
      <w:tr>
        <w:tc>
          <w:tcPr>
            <w:tcW w:type="dxa" w:w="1200"/>
            <w:tcBorders>
              <w:top w:val="single" w:color="B2DDE3" w:sz="1"/>
              <w:left w:val="single" w:color="B2DDE3" w:sz="1"/>
              <w:bottom w:val="single" w:color="B2DDE3" w:sz="1"/>
              <w:right w:val="single" w:color="B2DD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C8C"/>
                <w:sz w:val="19"/>
                <w:szCs w:val="19"/>
              </w:rPr>
              <w:t xml:space="preserve">Week 6+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Ship design changes · Initiate 5% soft launch</w:t>
            </w:r>
          </w:p>
        </w:tc>
      </w:tr>
    </w:tbl>
    <w:p>
      <w:pPr>
        <w:spacing w:after="20" w:before="0"/>
      </w:pPr>
      <w:r>
        <w:t xml:space="preserve"/>
      </w:r>
    </w:p>
    <w:p>
      <w:pPr>
        <w:shd w:fill="E6F4F6" w:val="clear"/>
        <w:spacing w:after="0" w:before="60"/>
      </w:pPr>
      <w:r>
        <w:rPr>
          <w:rFonts w:ascii="Arial" w:cs="Arial" w:eastAsia="Arial" w:hAnsi="Arial"/>
          <w:i/>
          <w:iCs/>
          <w:color w:val="1A7C8C"/>
          <w:sz w:val="18"/>
          <w:szCs w:val="18"/>
        </w:rPr>
        <w:t xml:space="preserve">  Full strategy document available for detailed methodology, screener criteria, and partner observation protocol.  </w:t>
      </w:r>
    </w:p>
    <w:sectPr>
      <w:footerReference w:type="default" r:id="rId7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DDE3" w:sz="3" w:space="1"/>
      </w:pBdr>
      <w:tabs>
        <w:tab w:val="right" w:pos="10080"/>
      </w:tabs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User Testing Strategy — TL;DR  ·  Confidential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A7C8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2026-04-07T14:02:10.417Z</dcterms:created>
  <dcterms:modified xsi:type="dcterms:W3CDTF">2026-04-07T14:02:10.417Z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