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40" w:before="0"/>
        <w:jc w:val="center"/>
      </w:pPr>
      <w:r>
        <w:rPr>
          <w:rFonts w:ascii="Arial" w:cs="Arial" w:eastAsia="Arial" w:hAnsi="Arial"/>
          <w:b/>
          <w:bCs/>
          <w:color w:val="1A7C8C"/>
          <w:sz w:val="56"/>
          <w:szCs w:val="56"/>
        </w:rPr>
        <w:t xml:space="preserve">User Testing Strategy</w:t>
      </w:r>
    </w:p>
    <w:p>
      <w:pPr>
        <w:spacing w:after="200" w:before="0"/>
        <w:jc w:val="center"/>
      </w:pPr>
      <w:r>
        <w:rPr>
          <w:rFonts w:ascii="Arial" w:cs="Arial" w:eastAsia="Arial" w:hAnsi="Arial"/>
          <w:color w:val="5B4FA8"/>
          <w:sz w:val="36"/>
          <w:szCs w:val="36"/>
        </w:rPr>
        <w:t xml:space="preserve">Partner Integration Program</w:t>
      </w:r>
    </w:p>
    <w:p>
      <w:pPr>
        <w:pBdr>
          <w:bottom w:val="single" w:color="1A7C8C" w:sz="4"/>
        </w:pBdr>
        <w:spacing w:after="120" w:before="120"/>
      </w:pPr>
      <w:r>
        <w:t xml:space="preserve"/>
      </w:r>
    </w:p>
    <w:p>
      <w:pPr>
        <w:spacing w:after="80" w:before="0"/>
      </w:pPr>
      <w:r>
        <w:t xml:space="preserve"/>
      </w:r>
    </w:p>
    <w:p>
      <w:pPr>
        <w:spacing w:after="60" w:before="0"/>
        <w:jc w:val="center"/>
      </w:pPr>
      <w:r>
        <w:rPr>
          <w:rFonts w:ascii="Arial" w:cs="Arial" w:eastAsia="Arial" w:hAnsi="Arial"/>
          <w:i/>
          <w:iCs/>
          <w:color w:val="666666"/>
          <w:sz w:val="22"/>
          <w:szCs w:val="22"/>
        </w:rPr>
        <w:t xml:space="preserve">Prepared by: Director of Design</w:t>
      </w:r>
    </w:p>
    <w:p>
      <w:pPr>
        <w:spacing w:after="60" w:before="0"/>
        <w:jc w:val="center"/>
      </w:pPr>
      <w:r>
        <w:rPr>
          <w:rFonts w:ascii="Arial" w:cs="Arial" w:eastAsia="Arial" w:hAnsi="Arial"/>
          <w:i/>
          <w:iCs/>
          <w:color w:val="666666"/>
          <w:sz w:val="22"/>
          <w:szCs w:val="22"/>
        </w:rPr>
        <w:t xml:space="preserve">Audience: Partner Stakeholders &amp; Internal Design Team</w:t>
      </w:r>
    </w:p>
    <w:p>
      <w:pPr>
        <w:spacing w:after="60" w:before="0"/>
        <w:jc w:val="center"/>
      </w:pPr>
      <w:r>
        <w:rPr>
          <w:rFonts w:ascii="Arial" w:cs="Arial" w:eastAsia="Arial" w:hAnsi="Arial"/>
          <w:color w:val="666666"/>
          <w:sz w:val="22"/>
          <w:szCs w:val="22"/>
        </w:rPr>
        <w:t xml:space="preserve">April 2026</w:t>
      </w:r>
    </w:p>
    <w:p>
      <w:pPr>
        <w:spacing w:after="800" w:before="0"/>
      </w:pPr>
      <w:r>
        <w:t xml:space="preserve"/>
      </w:r>
    </w:p>
    <w:p>
      <w:pPr>
        <w:shd w:fill="E6F4F6" w:val="clear"/>
        <w:spacing w:after="120" w:before="120"/>
        <w:ind w:left="720" w:right="720"/>
        <w:jc w:val="center"/>
      </w:pPr>
      <w:r>
        <w:rPr>
          <w:rFonts w:ascii="Arial" w:cs="Arial" w:eastAsia="Arial" w:hAnsi="Arial"/>
          <w:i/>
          <w:iCs/>
          <w:color w:val="1A7C8C"/>
          <w:sz w:val="20"/>
          <w:szCs w:val="20"/>
        </w:rPr>
        <w:t xml:space="preserve">Confidential — not for external distribution</w:t>
      </w:r>
    </w:p>
    <w:p>
      <w:r>
        <w:br w:type="page"/>
      </w:r>
    </w:p>
    <w:p>
      <w:pPr>
        <w:pStyle w:val="Heading1"/>
        <w:spacing w:after="120" w:before="360"/>
      </w:pPr>
      <w:r>
        <w:rPr>
          <w:rFonts w:ascii="Arial" w:cs="Arial" w:eastAsia="Arial" w:hAnsi="Arial"/>
          <w:b/>
          <w:bCs/>
          <w:color w:val="1A7C8C"/>
          <w:sz w:val="32"/>
          <w:szCs w:val="32"/>
        </w:rPr>
        <w:t xml:space="preserve">1. Overview &amp; Goals</w:t>
      </w:r>
    </w:p>
    <w:p>
      <w:pPr>
        <w:spacing w:after="80" w:before="60"/>
      </w:pPr>
      <w:r>
        <w:rPr>
          <w:rFonts w:ascii="Arial" w:cs="Arial" w:eastAsia="Arial" w:hAnsi="Arial"/>
          <w:b w:val="false"/>
          <w:bCs w:val="false"/>
          <w:i w:val="false"/>
          <w:iCs w:val="false"/>
          <w:color w:val="333333"/>
          <w:sz w:val="22"/>
          <w:szCs w:val="22"/>
        </w:rPr>
        <w:t xml:space="preserve">This document outlines a comprehensive user testing strategy for two partner integrations. It is designed to be shared with partner stakeholders as a clear, transparent walkthrough of how we will test with their members — and how those insights will drive design decisions.</w:t>
      </w:r>
    </w:p>
    <w:p>
      <w:pPr>
        <w:spacing w:after="60" w:before="0"/>
      </w:pPr>
      <w:r>
        <w:t xml:space="preserve"/>
      </w:r>
    </w:p>
    <w:p>
      <w:pPr>
        <w:pStyle w:val="Heading2"/>
        <w:spacing w:after="80" w:before="240"/>
      </w:pPr>
      <w:r>
        <w:rPr>
          <w:rFonts w:ascii="Arial" w:cs="Arial" w:eastAsia="Arial" w:hAnsi="Arial"/>
          <w:b/>
          <w:bCs/>
          <w:color w:val="333333"/>
          <w:sz w:val="26"/>
          <w:szCs w:val="26"/>
        </w:rPr>
        <w:t xml:space="preserve">1.1  What We Are Testing</w:t>
      </w:r>
    </w:p>
    <w:p>
      <w:pPr>
        <w:spacing w:after="80" w:before="60"/>
      </w:pPr>
      <w:r>
        <w:rPr>
          <w:rFonts w:ascii="Arial" w:cs="Arial" w:eastAsia="Arial" w:hAnsi="Arial"/>
          <w:b w:val="false"/>
          <w:bCs w:val="false"/>
          <w:i w:val="false"/>
          <w:iCs w:val="false"/>
          <w:color w:val="333333"/>
          <w:sz w:val="22"/>
          <w:szCs w:val="22"/>
        </w:rPr>
        <w:t xml:space="preserve">We are testing the end-to-end member experience across two distinct entry-point models: a pre-authenticated handoff from a partner app (Partner 1) and a full white-labeled standalone experience (Partner 2). Both journeys share core experience elements — personalized assessments, recommended content/services/products, care management, and rewards — but differ significantly in how members arrive, what data we already have, and the depth of personalization possible from the start.</w:t>
      </w:r>
    </w:p>
    <w:p>
      <w:pPr>
        <w:spacing w:after="60" w:before="0"/>
      </w:pPr>
      <w:r>
        <w:t xml:space="preserve"/>
      </w:r>
    </w:p>
    <w:p>
      <w:pPr>
        <w:pStyle w:val="Heading2"/>
        <w:spacing w:after="80" w:before="240"/>
      </w:pPr>
      <w:r>
        <w:rPr>
          <w:rFonts w:ascii="Arial" w:cs="Arial" w:eastAsia="Arial" w:hAnsi="Arial"/>
          <w:b/>
          <w:bCs/>
          <w:color w:val="333333"/>
          <w:sz w:val="26"/>
          <w:szCs w:val="26"/>
        </w:rPr>
        <w:t xml:space="preserve">1.2  Testing Goals</w:t>
      </w:r>
    </w:p>
    <w:p>
      <w:pPr>
        <w:pStyle w:val="ListParagraph"/>
        <w:numPr>
          <w:ilvl w:val="0"/>
          <w:numId w:val="2"/>
        </w:numPr>
        <w:spacing w:after="40" w:before="40"/>
      </w:pPr>
      <w:r>
        <w:rPr>
          <w:rFonts w:ascii="Arial" w:cs="Arial" w:eastAsia="Arial" w:hAnsi="Arial"/>
          <w:color w:val="333333"/>
          <w:sz w:val="22"/>
          <w:szCs w:val="22"/>
        </w:rPr>
        <w:t xml:space="preserve">Validate that the onboarding and assessment experience feels seamless and trustworthy across both entry models</w:t>
      </w:r>
    </w:p>
    <w:p>
      <w:pPr>
        <w:pStyle w:val="ListParagraph"/>
        <w:numPr>
          <w:ilvl w:val="0"/>
          <w:numId w:val="2"/>
        </w:numPr>
        <w:spacing w:after="40" w:before="40"/>
      </w:pPr>
      <w:r>
        <w:rPr>
          <w:rFonts w:ascii="Arial" w:cs="Arial" w:eastAsia="Arial" w:hAnsi="Arial"/>
          <w:color w:val="333333"/>
          <w:sz w:val="22"/>
          <w:szCs w:val="22"/>
        </w:rPr>
        <w:t xml:space="preserve">Measure whether personalized recommendations land as relevant and compelling</w:t>
      </w:r>
    </w:p>
    <w:p>
      <w:pPr>
        <w:pStyle w:val="ListParagraph"/>
        <w:numPr>
          <w:ilvl w:val="0"/>
          <w:numId w:val="2"/>
        </w:numPr>
        <w:spacing w:after="40" w:before="40"/>
      </w:pPr>
      <w:r>
        <w:rPr>
          <w:rFonts w:ascii="Arial" w:cs="Arial" w:eastAsia="Arial" w:hAnsi="Arial"/>
          <w:color w:val="333333"/>
          <w:sz w:val="22"/>
          <w:szCs w:val="22"/>
        </w:rPr>
        <w:t xml:space="preserve">Identify friction points that reduce completion rates and long-term engagement</w:t>
      </w:r>
    </w:p>
    <w:p>
      <w:pPr>
        <w:pStyle w:val="ListParagraph"/>
        <w:numPr>
          <w:ilvl w:val="0"/>
          <w:numId w:val="2"/>
        </w:numPr>
        <w:spacing w:after="40" w:before="40"/>
      </w:pPr>
      <w:r>
        <w:rPr>
          <w:rFonts w:ascii="Arial" w:cs="Arial" w:eastAsia="Arial" w:hAnsi="Arial"/>
          <w:color w:val="333333"/>
          <w:sz w:val="22"/>
          <w:szCs w:val="22"/>
        </w:rPr>
        <w:t xml:space="preserve">Assess the emotional resonance of the care manager handoff and rewards experience</w:t>
      </w:r>
    </w:p>
    <w:p>
      <w:pPr>
        <w:pStyle w:val="ListParagraph"/>
        <w:numPr>
          <w:ilvl w:val="0"/>
          <w:numId w:val="2"/>
        </w:numPr>
        <w:spacing w:after="40" w:before="40"/>
      </w:pPr>
      <w:r>
        <w:rPr>
          <w:rFonts w:ascii="Arial" w:cs="Arial" w:eastAsia="Arial" w:hAnsi="Arial"/>
          <w:color w:val="333333"/>
          <w:sz w:val="22"/>
          <w:szCs w:val="22"/>
        </w:rPr>
        <w:t xml:space="preserve">Gather qualitative signals that directly inform design decisions before broader rollout</w:t>
      </w:r>
    </w:p>
    <w:p>
      <w:pPr>
        <w:spacing w:after="80" w:before="0"/>
      </w:pPr>
      <w:r>
        <w:t xml:space="preserve"/>
      </w:r>
    </w:p>
    <w:p>
      <w:pPr>
        <w:pStyle w:val="Heading2"/>
        <w:spacing w:after="80" w:before="240"/>
      </w:pPr>
      <w:r>
        <w:rPr>
          <w:rFonts w:ascii="Arial" w:cs="Arial" w:eastAsia="Arial" w:hAnsi="Arial"/>
          <w:b/>
          <w:bCs/>
          <w:color w:val="333333"/>
          <w:sz w:val="26"/>
          <w:szCs w:val="26"/>
        </w:rPr>
        <w:t xml:space="preserve">1.3  Core Evaluation Dimensions</w:t>
      </w:r>
    </w:p>
    <w:p>
      <w:pPr>
        <w:spacing w:after="80" w:before="60"/>
      </w:pPr>
      <w:r>
        <w:rPr>
          <w:rFonts w:ascii="Arial" w:cs="Arial" w:eastAsia="Arial" w:hAnsi="Arial"/>
          <w:b w:val="false"/>
          <w:bCs w:val="false"/>
          <w:i w:val="false"/>
          <w:iCs w:val="false"/>
          <w:color w:val="333333"/>
          <w:sz w:val="22"/>
          <w:szCs w:val="22"/>
        </w:rPr>
        <w:t xml:space="preserve">Every testing session will be evaluated against the following dimensions. These serve as both research questions and design success criteria:</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1A7C8C" w:sz="1"/>
              <w:left w:val="single" w:color="1A7C8C" w:sz="1"/>
              <w:bottom w:val="single" w:color="1A7C8C" w:sz="1"/>
              <w:right w:val="single" w:color="1A7C8C" w:sz="1"/>
            </w:tcBorders>
            <w:shd w:fill="1A7C8C" w:val="clear"/>
            <w:tcMar>
              <w:top w:type="dxa" w:w="100"/>
              <w:left w:type="dxa" w:w="140"/>
              <w:bottom w:type="dxa" w:w="100"/>
              <w:right w:type="dxa" w:w="140"/>
            </w:tcMar>
          </w:tcPr>
          <w:p>
            <w:r>
              <w:rPr>
                <w:rFonts w:ascii="Arial" w:cs="Arial" w:eastAsia="Arial" w:hAnsi="Arial"/>
                <w:b/>
                <w:bCs/>
                <w:color w:val="FFFFFF"/>
                <w:sz w:val="22"/>
                <w:szCs w:val="22"/>
              </w:rPr>
              <w:t xml:space="preserve">Dimension</w:t>
            </w:r>
          </w:p>
        </w:tc>
        <w:tc>
          <w:tcPr>
            <w:tcW w:type="dxa" w:w="3510"/>
            <w:tcBorders>
              <w:top w:val="single" w:color="1A7C8C" w:sz="1"/>
              <w:left w:val="single" w:color="1A7C8C" w:sz="1"/>
              <w:bottom w:val="single" w:color="1A7C8C" w:sz="1"/>
              <w:right w:val="single" w:color="1A7C8C" w:sz="1"/>
            </w:tcBorders>
            <w:shd w:fill="1A7C8C" w:val="clear"/>
            <w:tcMar>
              <w:top w:type="dxa" w:w="100"/>
              <w:left w:type="dxa" w:w="140"/>
              <w:bottom w:type="dxa" w:w="100"/>
              <w:right w:type="dxa" w:w="140"/>
            </w:tcMar>
          </w:tcPr>
          <w:p>
            <w:r>
              <w:rPr>
                <w:rFonts w:ascii="Arial" w:cs="Arial" w:eastAsia="Arial" w:hAnsi="Arial"/>
                <w:b/>
                <w:bCs/>
                <w:color w:val="FFFFFF"/>
                <w:sz w:val="22"/>
                <w:szCs w:val="22"/>
              </w:rPr>
              <w:t xml:space="preserve">Research Question</w:t>
            </w:r>
          </w:p>
        </w:tc>
        <w:tc>
          <w:tcPr>
            <w:tcW w:type="dxa" w:w="3510"/>
            <w:tcBorders>
              <w:top w:val="single" w:color="1A7C8C" w:sz="1"/>
              <w:left w:val="single" w:color="1A7C8C" w:sz="1"/>
              <w:bottom w:val="single" w:color="1A7C8C" w:sz="1"/>
              <w:right w:val="single" w:color="1A7C8C" w:sz="1"/>
            </w:tcBorders>
            <w:shd w:fill="1A7C8C" w:val="clear"/>
            <w:tcMar>
              <w:top w:type="dxa" w:w="100"/>
              <w:left w:type="dxa" w:w="140"/>
              <w:bottom w:type="dxa" w:w="100"/>
              <w:right w:type="dxa" w:w="140"/>
            </w:tcMar>
          </w:tcPr>
          <w:p>
            <w:r>
              <w:rPr>
                <w:rFonts w:ascii="Arial" w:cs="Arial" w:eastAsia="Arial" w:hAnsi="Arial"/>
                <w:b/>
                <w:bCs/>
                <w:color w:val="FFFFFF"/>
                <w:sz w:val="22"/>
                <w:szCs w:val="22"/>
              </w:rPr>
              <w:t xml:space="preserve">Why It Matters</w:t>
            </w:r>
          </w:p>
        </w:tc>
      </w:tr>
      <w:tr>
        <w:tc>
          <w:tcPr>
            <w:tcW w:type="dxa" w:w="234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b/>
                <w:bCs/>
                <w:color w:val="1A7C8C"/>
                <w:sz w:val="21"/>
                <w:szCs w:val="21"/>
              </w:rPr>
              <w:t xml:space="preserve">Compelling</w:t>
            </w:r>
          </w:p>
        </w:tc>
        <w:tc>
          <w:tcPr>
            <w:tcW w:type="dxa" w:w="351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Does the CTA / entry experience motivate members to engage?</w:t>
            </w:r>
          </w:p>
        </w:tc>
        <w:tc>
          <w:tcPr>
            <w:tcW w:type="dxa" w:w="351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i/>
                <w:iCs/>
                <w:color w:val="333333"/>
                <w:sz w:val="21"/>
                <w:szCs w:val="21"/>
              </w:rPr>
              <w:t xml:space="preserve">Low-quality CTAs reduce funnel entry before testing even begins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7C8C"/>
                <w:sz w:val="21"/>
                <w:szCs w:val="21"/>
              </w:rPr>
              <w:t xml:space="preserve">Seamless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Does the experience flow without friction or confusion?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333333"/>
                <w:sz w:val="21"/>
                <w:szCs w:val="21"/>
              </w:rPr>
              <w:t xml:space="preserve">Friction during assessment is the #1 drop-off risk</w:t>
            </w:r>
          </w:p>
        </w:tc>
      </w:tr>
      <w:tr>
        <w:tc>
          <w:tcPr>
            <w:tcW w:type="dxa" w:w="234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b/>
                <w:bCs/>
                <w:color w:val="1A7C8C"/>
                <w:sz w:val="21"/>
                <w:szCs w:val="21"/>
              </w:rPr>
              <w:t xml:space="preserve">Trustworthy</w:t>
            </w:r>
          </w:p>
        </w:tc>
        <w:tc>
          <w:tcPr>
            <w:tcW w:type="dxa" w:w="351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Do members feel their data is safe and the service is credible?</w:t>
            </w:r>
          </w:p>
        </w:tc>
        <w:tc>
          <w:tcPr>
            <w:tcW w:type="dxa" w:w="351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i/>
                <w:iCs/>
                <w:color w:val="333333"/>
                <w:sz w:val="21"/>
                <w:szCs w:val="21"/>
              </w:rPr>
              <w:t xml:space="preserve">Critical for PHI-adjacent health experiences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7C8C"/>
                <w:sz w:val="21"/>
                <w:szCs w:val="21"/>
              </w:rPr>
              <w:t xml:space="preserve">Useful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Do recommendations feel relevant and actionable?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333333"/>
                <w:sz w:val="21"/>
                <w:szCs w:val="21"/>
              </w:rPr>
              <w:t xml:space="preserve">Personalization is our core value proposition</w:t>
            </w:r>
          </w:p>
        </w:tc>
      </w:tr>
      <w:tr>
        <w:tc>
          <w:tcPr>
            <w:tcW w:type="dxa" w:w="234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b/>
                <w:bCs/>
                <w:color w:val="1A7C8C"/>
                <w:sz w:val="21"/>
                <w:szCs w:val="21"/>
              </w:rPr>
              <w:t xml:space="preserve">Meet Expectations</w:t>
            </w:r>
          </w:p>
        </w:tc>
        <w:tc>
          <w:tcPr>
            <w:tcW w:type="dxa" w:w="351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Does the experience deliver on its implicit promise?</w:t>
            </w:r>
          </w:p>
        </w:tc>
        <w:tc>
          <w:tcPr>
            <w:tcW w:type="dxa" w:w="351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i/>
                <w:iCs/>
                <w:color w:val="333333"/>
                <w:sz w:val="21"/>
                <w:szCs w:val="21"/>
              </w:rPr>
              <w:t xml:space="preserve">Gaps here cause churn and damage partner reputation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7C8C"/>
                <w:sz w:val="21"/>
                <w:szCs w:val="21"/>
              </w:rPr>
              <w:t xml:space="preserve">Return-Worthy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Would members come back without prompting?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333333"/>
                <w:sz w:val="21"/>
                <w:szCs w:val="21"/>
              </w:rPr>
              <w:t xml:space="preserve">Long-term retention is the health outcome signal</w:t>
            </w:r>
          </w:p>
        </w:tc>
      </w:tr>
      <w:tr>
        <w:tc>
          <w:tcPr>
            <w:tcW w:type="dxa" w:w="234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b/>
                <w:bCs/>
                <w:color w:val="1A7C8C"/>
                <w:sz w:val="21"/>
                <w:szCs w:val="21"/>
              </w:rPr>
              <w:t xml:space="preserve">Recommend</w:t>
            </w:r>
          </w:p>
        </w:tc>
        <w:tc>
          <w:tcPr>
            <w:tcW w:type="dxa" w:w="351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Would members tell a peer about this service?</w:t>
            </w:r>
          </w:p>
        </w:tc>
        <w:tc>
          <w:tcPr>
            <w:tcW w:type="dxa" w:w="351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i/>
                <w:iCs/>
                <w:color w:val="333333"/>
                <w:sz w:val="21"/>
                <w:szCs w:val="21"/>
              </w:rPr>
              <w:t xml:space="preserve">Organic growth indicator and trust proxy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7C8C"/>
                <w:sz w:val="21"/>
                <w:szCs w:val="21"/>
              </w:rPr>
              <w:t xml:space="preserve">Understood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Does the member feel seen — not just served?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333333"/>
                <w:sz w:val="21"/>
                <w:szCs w:val="21"/>
              </w:rPr>
              <w:t xml:space="preserve">Emotional resonance differentiates us from generic tools</w:t>
            </w:r>
          </w:p>
        </w:tc>
      </w:tr>
    </w:tbl>
    <w:p>
      <w:pPr>
        <w:spacing w:after="100" w:before="0"/>
      </w:pPr>
      <w:r>
        <w:t xml:space="preserve"/>
      </w:r>
    </w:p>
    <w:p>
      <w:r>
        <w:br w:type="page"/>
      </w:r>
    </w:p>
    <w:p>
      <w:pPr>
        <w:pStyle w:val="Heading1"/>
        <w:spacing w:after="120" w:before="360"/>
      </w:pPr>
      <w:r>
        <w:rPr>
          <w:rFonts w:ascii="Arial" w:cs="Arial" w:eastAsia="Arial" w:hAnsi="Arial"/>
          <w:b/>
          <w:bCs/>
          <w:color w:val="1A7C8C"/>
          <w:sz w:val="32"/>
          <w:szCs w:val="32"/>
        </w:rPr>
        <w:t xml:space="preserve">2. Partner Context</w:t>
      </w:r>
    </w:p>
    <w:p>
      <w:pPr>
        <w:spacing w:after="80" w:before="60"/>
      </w:pPr>
      <w:r>
        <w:rPr>
          <w:rFonts w:ascii="Arial" w:cs="Arial" w:eastAsia="Arial" w:hAnsi="Arial"/>
          <w:b w:val="false"/>
          <w:bCs w:val="false"/>
          <w:i w:val="false"/>
          <w:iCs w:val="false"/>
          <w:color w:val="333333"/>
          <w:sz w:val="22"/>
          <w:szCs w:val="22"/>
        </w:rPr>
        <w:t xml:space="preserve">The two partner integrations represent fundamentally different member journeys. Understanding these differences is essential to designing the right tests and interpreting results correctly.</w:t>
      </w:r>
    </w:p>
    <w:p>
      <w:pPr>
        <w:spacing w:after="80" w:before="0"/>
      </w:pPr>
      <w:r>
        <w:t xml:space="preserve"/>
      </w:r>
    </w:p>
    <w:p>
      <w:pPr>
        <w:shd w:fill="1A7C8C" w:val="clear"/>
        <w:spacing w:after="0" w:before="0"/>
        <w:ind w:left="0" w:right="0"/>
      </w:pPr>
      <w:r>
        <w:rPr>
          <w:rFonts w:ascii="Arial" w:cs="Arial" w:eastAsia="Arial" w:hAnsi="Arial"/>
          <w:b/>
          <w:bCs/>
          <w:color w:val="FFFFFF"/>
          <w:sz w:val="28"/>
          <w:szCs w:val="28"/>
        </w:rPr>
        <w:t xml:space="preserve">  Partner 1 — Pre-Authenticated Handoff Journey</w:t>
      </w:r>
    </w:p>
    <w:p>
      <w:pPr>
        <w:spacing w:after="20" w:before="0"/>
      </w:pPr>
      <w:r>
        <w:t xml:space="preserve"/>
      </w:r>
    </w:p>
    <w:p>
      <w:pPr>
        <w:spacing w:after="80" w:before="60"/>
      </w:pPr>
      <w:r>
        <w:rPr>
          <w:rFonts w:ascii="Arial" w:cs="Arial" w:eastAsia="Arial" w:hAnsi="Arial"/>
          <w:b w:val="false"/>
          <w:bCs w:val="false"/>
          <w:i w:val="false"/>
          <w:iCs w:val="false"/>
          <w:color w:val="333333"/>
          <w:sz w:val="22"/>
          <w:szCs w:val="22"/>
        </w:rPr>
        <w:t xml:space="preserve">Members begin in the partner's existing app. A compelling CTA surfaces our experience as one of their offered services. Because members are already engaged in that app — and have already answered questions there — we pull their existing answers to pre-fill and personalize our assessment. Members complete follow-up questions specific to our experience, and we immediately build a tailored profile.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2DDE3" w:sz="1"/>
              <w:left w:val="single" w:color="B2DDE3" w:sz="1"/>
              <w:bottom w:val="single" w:color="B2DDE3" w:sz="1"/>
              <w:right w:val="single" w:color="B2DDE3" w:sz="1"/>
            </w:tcBorders>
            <w:shd w:fill="E6F4F6" w:val="clear"/>
            <w:tcMar>
              <w:top w:type="dxa" w:w="80"/>
              <w:left w:type="dxa" w:w="140"/>
              <w:bottom w:type="dxa" w:w="80"/>
              <w:right w:type="dxa" w:w="140"/>
            </w:tcMar>
            <w:vAlign w:val="top"/>
          </w:tcPr>
          <w:p>
            <w:r>
              <w:rPr>
                <w:rFonts w:ascii="Arial" w:cs="Arial" w:eastAsia="Arial" w:hAnsi="Arial"/>
                <w:b/>
                <w:bCs/>
                <w:color w:val="1A7C8C"/>
                <w:sz w:val="21"/>
                <w:szCs w:val="21"/>
              </w:rPr>
              <w:t xml:space="preserve">Entry Point</w:t>
            </w:r>
          </w:p>
        </w:tc>
        <w:tc>
          <w:tcPr>
            <w:tcW w:type="dxa" w:w="7160"/>
            <w:tcBorders>
              <w:top w:val="single" w:color="B2DDE3" w:sz="1"/>
              <w:left w:val="single" w:color="B2DDE3" w:sz="1"/>
              <w:bottom w:val="single" w:color="B2DDE3" w:sz="1"/>
              <w:right w:val="single" w:color="B2DDE3"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Partner app with compelling CTA → handoff to our experience</w:t>
            </w:r>
          </w:p>
        </w:tc>
      </w:tr>
      <w:tr>
        <w:tc>
          <w:tcPr>
            <w:tcW w:type="dxa" w:w="2200"/>
            <w:tcBorders>
              <w:top w:val="single" w:color="B2DDE3" w:sz="1"/>
              <w:left w:val="single" w:color="B2DDE3" w:sz="1"/>
              <w:bottom w:val="single" w:color="B2DDE3" w:sz="1"/>
              <w:right w:val="single" w:color="B2DDE3" w:sz="1"/>
            </w:tcBorders>
            <w:shd w:fill="E6F4F6" w:val="clear"/>
            <w:tcMar>
              <w:top w:type="dxa" w:w="80"/>
              <w:left w:type="dxa" w:w="140"/>
              <w:bottom w:type="dxa" w:w="80"/>
              <w:right w:type="dxa" w:w="140"/>
            </w:tcMar>
            <w:vAlign w:val="top"/>
          </w:tcPr>
          <w:p>
            <w:r>
              <w:rPr>
                <w:rFonts w:ascii="Arial" w:cs="Arial" w:eastAsia="Arial" w:hAnsi="Arial"/>
                <w:b/>
                <w:bCs/>
                <w:color w:val="1A7C8C"/>
                <w:sz w:val="21"/>
                <w:szCs w:val="21"/>
              </w:rPr>
              <w:t xml:space="preserve">Assessment</w:t>
            </w:r>
          </w:p>
        </w:tc>
        <w:tc>
          <w:tcPr>
            <w:tcW w:type="dxa" w:w="7160"/>
            <w:tcBorders>
              <w:top w:val="single" w:color="B2DDE3" w:sz="1"/>
              <w:left w:val="single" w:color="B2DDE3" w:sz="1"/>
              <w:bottom w:val="single" w:color="B2DDE3" w:sz="1"/>
              <w:right w:val="single" w:color="B2DDE3"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Pre-filled with partner data + personalized follow-up questions</w:t>
            </w:r>
          </w:p>
        </w:tc>
      </w:tr>
      <w:tr>
        <w:tc>
          <w:tcPr>
            <w:tcW w:type="dxa" w:w="2200"/>
            <w:tcBorders>
              <w:top w:val="single" w:color="B2DDE3" w:sz="1"/>
              <w:left w:val="single" w:color="B2DDE3" w:sz="1"/>
              <w:bottom w:val="single" w:color="B2DDE3" w:sz="1"/>
              <w:right w:val="single" w:color="B2DDE3" w:sz="1"/>
            </w:tcBorders>
            <w:shd w:fill="E6F4F6" w:val="clear"/>
            <w:tcMar>
              <w:top w:type="dxa" w:w="80"/>
              <w:left w:type="dxa" w:w="140"/>
              <w:bottom w:type="dxa" w:w="80"/>
              <w:right w:type="dxa" w:w="140"/>
            </w:tcMar>
            <w:vAlign w:val="top"/>
          </w:tcPr>
          <w:p>
            <w:r>
              <w:rPr>
                <w:rFonts w:ascii="Arial" w:cs="Arial" w:eastAsia="Arial" w:hAnsi="Arial"/>
                <w:b/>
                <w:bCs/>
                <w:color w:val="1A7C8C"/>
                <w:sz w:val="21"/>
                <w:szCs w:val="21"/>
              </w:rPr>
              <w:t xml:space="preserve">Personalization</w:t>
            </w:r>
          </w:p>
        </w:tc>
        <w:tc>
          <w:tcPr>
            <w:tcW w:type="dxa" w:w="7160"/>
            <w:tcBorders>
              <w:top w:val="single" w:color="B2DDE3" w:sz="1"/>
              <w:left w:val="single" w:color="B2DDE3" w:sz="1"/>
              <w:bottom w:val="single" w:color="B2DDE3" w:sz="1"/>
              <w:right w:val="single" w:color="B2DDE3"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Recommended articles, services, and products from first session</w:t>
            </w:r>
          </w:p>
        </w:tc>
      </w:tr>
      <w:tr>
        <w:tc>
          <w:tcPr>
            <w:tcW w:type="dxa" w:w="2200"/>
            <w:tcBorders>
              <w:top w:val="single" w:color="B2DDE3" w:sz="1"/>
              <w:left w:val="single" w:color="B2DDE3" w:sz="1"/>
              <w:bottom w:val="single" w:color="B2DDE3" w:sz="1"/>
              <w:right w:val="single" w:color="B2DDE3" w:sz="1"/>
            </w:tcBorders>
            <w:shd w:fill="E6F4F6" w:val="clear"/>
            <w:tcMar>
              <w:top w:type="dxa" w:w="80"/>
              <w:left w:type="dxa" w:w="140"/>
              <w:bottom w:type="dxa" w:w="80"/>
              <w:right w:type="dxa" w:w="140"/>
            </w:tcMar>
            <w:vAlign w:val="top"/>
          </w:tcPr>
          <w:p>
            <w:r>
              <w:rPr>
                <w:rFonts w:ascii="Arial" w:cs="Arial" w:eastAsia="Arial" w:hAnsi="Arial"/>
                <w:b/>
                <w:bCs/>
                <w:color w:val="1A7C8C"/>
                <w:sz w:val="21"/>
                <w:szCs w:val="21"/>
              </w:rPr>
              <w:t xml:space="preserve">Care Manager</w:t>
            </w:r>
          </w:p>
        </w:tc>
        <w:tc>
          <w:tcPr>
            <w:tcW w:type="dxa" w:w="7160"/>
            <w:tcBorders>
              <w:top w:val="single" w:color="B2DDE3" w:sz="1"/>
              <w:left w:val="single" w:color="B2DDE3" w:sz="1"/>
              <w:bottom w:val="single" w:color="B2DDE3" w:sz="1"/>
              <w:right w:val="single" w:color="B2DDE3"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Guided handoff to a care manager for long-term 1:1 support</w:t>
            </w:r>
          </w:p>
        </w:tc>
      </w:tr>
      <w:tr>
        <w:tc>
          <w:tcPr>
            <w:tcW w:type="dxa" w:w="2200"/>
            <w:tcBorders>
              <w:top w:val="single" w:color="B2DDE3" w:sz="1"/>
              <w:left w:val="single" w:color="B2DDE3" w:sz="1"/>
              <w:bottom w:val="single" w:color="B2DDE3" w:sz="1"/>
              <w:right w:val="single" w:color="B2DDE3" w:sz="1"/>
            </w:tcBorders>
            <w:shd w:fill="E6F4F6" w:val="clear"/>
            <w:tcMar>
              <w:top w:type="dxa" w:w="80"/>
              <w:left w:type="dxa" w:w="140"/>
              <w:bottom w:type="dxa" w:w="80"/>
              <w:right w:type="dxa" w:w="140"/>
            </w:tcMar>
            <w:vAlign w:val="top"/>
          </w:tcPr>
          <w:p>
            <w:r>
              <w:rPr>
                <w:rFonts w:ascii="Arial" w:cs="Arial" w:eastAsia="Arial" w:hAnsi="Arial"/>
                <w:b/>
                <w:bCs/>
                <w:color w:val="1A7C8C"/>
                <w:sz w:val="21"/>
                <w:szCs w:val="21"/>
              </w:rPr>
              <w:t xml:space="preserve">Rewards</w:t>
            </w:r>
          </w:p>
        </w:tc>
        <w:tc>
          <w:tcPr>
            <w:tcW w:type="dxa" w:w="7160"/>
            <w:tcBorders>
              <w:top w:val="single" w:color="B2DDE3" w:sz="1"/>
              <w:left w:val="single" w:color="B2DDE3" w:sz="1"/>
              <w:bottom w:val="single" w:color="B2DDE3" w:sz="1"/>
              <w:right w:val="single" w:color="B2DDE3"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Unique rewards accessible only through our experience</w:t>
            </w:r>
          </w:p>
        </w:tc>
      </w:tr>
      <w:tr>
        <w:tc>
          <w:tcPr>
            <w:tcW w:type="dxa" w:w="2200"/>
            <w:tcBorders>
              <w:top w:val="single" w:color="B2DDE3" w:sz="1"/>
              <w:left w:val="single" w:color="B2DDE3" w:sz="1"/>
              <w:bottom w:val="single" w:color="B2DDE3" w:sz="1"/>
              <w:right w:val="single" w:color="B2DDE3" w:sz="1"/>
            </w:tcBorders>
            <w:shd w:fill="E6F4F6" w:val="clear"/>
            <w:tcMar>
              <w:top w:type="dxa" w:w="80"/>
              <w:left w:type="dxa" w:w="140"/>
              <w:bottom w:type="dxa" w:w="80"/>
              <w:right w:type="dxa" w:w="140"/>
            </w:tcMar>
            <w:vAlign w:val="top"/>
          </w:tcPr>
          <w:p>
            <w:r>
              <w:rPr>
                <w:rFonts w:ascii="Arial" w:cs="Arial" w:eastAsia="Arial" w:hAnsi="Arial"/>
                <w:b/>
                <w:bCs/>
                <w:color w:val="1A7C8C"/>
                <w:sz w:val="21"/>
                <w:szCs w:val="21"/>
              </w:rPr>
              <w:t xml:space="preserve">Key Testing Focus</w:t>
            </w:r>
          </w:p>
        </w:tc>
        <w:tc>
          <w:tcPr>
            <w:tcW w:type="dxa" w:w="7160"/>
            <w:tcBorders>
              <w:top w:val="single" w:color="B2DDE3" w:sz="1"/>
              <w:left w:val="single" w:color="B2DDE3" w:sz="1"/>
              <w:bottom w:val="single" w:color="B2DDE3" w:sz="1"/>
              <w:right w:val="single" w:color="B2DDE3"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Does the pre-fill feel helpful or invasive? Is the handoff seamless? Does the care manager path feel natural?</w:t>
            </w:r>
          </w:p>
        </w:tc>
      </w:tr>
    </w:tbl>
    <w:p>
      <w:pPr>
        <w:spacing w:after="120" w:before="0"/>
      </w:pPr>
      <w:r>
        <w:t xml:space="preserve"/>
      </w:r>
    </w:p>
    <w:p>
      <w:pPr>
        <w:shd w:fill="5B4FA8" w:val="clear"/>
        <w:spacing w:after="0" w:before="0"/>
      </w:pPr>
      <w:r>
        <w:rPr>
          <w:rFonts w:ascii="Arial" w:cs="Arial" w:eastAsia="Arial" w:hAnsi="Arial"/>
          <w:b/>
          <w:bCs/>
          <w:color w:val="FFFFFF"/>
          <w:sz w:val="28"/>
          <w:szCs w:val="28"/>
        </w:rPr>
        <w:t xml:space="preserve">  Partner 2 — White-Label Standalone Journey</w:t>
      </w:r>
    </w:p>
    <w:p>
      <w:pPr>
        <w:spacing w:after="20" w:before="0"/>
      </w:pPr>
      <w:r>
        <w:t xml:space="preserve"/>
      </w:r>
    </w:p>
    <w:p>
      <w:pPr>
        <w:spacing w:after="80" w:before="60"/>
      </w:pPr>
      <w:r>
        <w:rPr>
          <w:rFonts w:ascii="Arial" w:cs="Arial" w:eastAsia="Arial" w:hAnsi="Arial"/>
          <w:b w:val="false"/>
          <w:bCs w:val="false"/>
          <w:i w:val="false"/>
          <w:iCs w:val="false"/>
          <w:color w:val="333333"/>
          <w:sz w:val="22"/>
          <w:szCs w:val="22"/>
        </w:rPr>
        <w:t xml:space="preserve">Members come directly to our white-labeled app. We start from zero — no pre-existing data. Members complete a full assessment, which builds their personalized profile entirely within our experience. Completion is rewarded with boosted incentives reflecting the additional monetary value of this partner relationship.</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B8E8" w:sz="1"/>
              <w:left w:val="single" w:color="C5B8E8" w:sz="1"/>
              <w:bottom w:val="single" w:color="C5B8E8" w:sz="1"/>
              <w:right w:val="single" w:color="C5B8E8" w:sz="1"/>
            </w:tcBorders>
            <w:shd w:fill="EEECF8" w:val="clear"/>
            <w:tcMar>
              <w:top w:type="dxa" w:w="80"/>
              <w:left w:type="dxa" w:w="140"/>
              <w:bottom w:type="dxa" w:w="80"/>
              <w:right w:type="dxa" w:w="140"/>
            </w:tcMar>
            <w:vAlign w:val="top"/>
          </w:tcPr>
          <w:p>
            <w:r>
              <w:rPr>
                <w:rFonts w:ascii="Arial" w:cs="Arial" w:eastAsia="Arial" w:hAnsi="Arial"/>
                <w:b/>
                <w:bCs/>
                <w:color w:val="5B4FA8"/>
                <w:sz w:val="21"/>
                <w:szCs w:val="21"/>
              </w:rPr>
              <w:t xml:space="preserve">Entry Point</w:t>
            </w:r>
          </w:p>
        </w:tc>
        <w:tc>
          <w:tcPr>
            <w:tcW w:type="dxa" w:w="7160"/>
            <w:tcBorders>
              <w:top w:val="single" w:color="C5B8E8" w:sz="1"/>
              <w:left w:val="single" w:color="C5B8E8" w:sz="1"/>
              <w:bottom w:val="single" w:color="C5B8E8" w:sz="1"/>
              <w:right w:val="single" w:color="C5B8E8"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Direct to white-labeled app — no prior context or data</w:t>
            </w:r>
          </w:p>
        </w:tc>
      </w:tr>
      <w:tr>
        <w:tc>
          <w:tcPr>
            <w:tcW w:type="dxa" w:w="2200"/>
            <w:tcBorders>
              <w:top w:val="single" w:color="C5B8E8" w:sz="1"/>
              <w:left w:val="single" w:color="C5B8E8" w:sz="1"/>
              <w:bottom w:val="single" w:color="C5B8E8" w:sz="1"/>
              <w:right w:val="single" w:color="C5B8E8" w:sz="1"/>
            </w:tcBorders>
            <w:shd w:fill="EEECF8" w:val="clear"/>
            <w:tcMar>
              <w:top w:type="dxa" w:w="80"/>
              <w:left w:type="dxa" w:w="140"/>
              <w:bottom w:type="dxa" w:w="80"/>
              <w:right w:type="dxa" w:w="140"/>
            </w:tcMar>
            <w:vAlign w:val="top"/>
          </w:tcPr>
          <w:p>
            <w:r>
              <w:rPr>
                <w:rFonts w:ascii="Arial" w:cs="Arial" w:eastAsia="Arial" w:hAnsi="Arial"/>
                <w:b/>
                <w:bCs/>
                <w:color w:val="5B4FA8"/>
                <w:sz w:val="21"/>
                <w:szCs w:val="21"/>
              </w:rPr>
              <w:t xml:space="preserve">Assessment</w:t>
            </w:r>
          </w:p>
        </w:tc>
        <w:tc>
          <w:tcPr>
            <w:tcW w:type="dxa" w:w="7160"/>
            <w:tcBorders>
              <w:top w:val="single" w:color="C5B8E8" w:sz="1"/>
              <w:left w:val="single" w:color="C5B8E8" w:sz="1"/>
              <w:bottom w:val="single" w:color="C5B8E8" w:sz="1"/>
              <w:right w:val="single" w:color="C5B8E8"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Full assessment from scratch — all questions within our experience</w:t>
            </w:r>
          </w:p>
        </w:tc>
      </w:tr>
      <w:tr>
        <w:tc>
          <w:tcPr>
            <w:tcW w:type="dxa" w:w="2200"/>
            <w:tcBorders>
              <w:top w:val="single" w:color="C5B8E8" w:sz="1"/>
              <w:left w:val="single" w:color="C5B8E8" w:sz="1"/>
              <w:bottom w:val="single" w:color="C5B8E8" w:sz="1"/>
              <w:right w:val="single" w:color="C5B8E8" w:sz="1"/>
            </w:tcBorders>
            <w:shd w:fill="EEECF8" w:val="clear"/>
            <w:tcMar>
              <w:top w:type="dxa" w:w="80"/>
              <w:left w:type="dxa" w:w="140"/>
              <w:bottom w:type="dxa" w:w="80"/>
              <w:right w:type="dxa" w:w="140"/>
            </w:tcMar>
            <w:vAlign w:val="top"/>
          </w:tcPr>
          <w:p>
            <w:r>
              <w:rPr>
                <w:rFonts w:ascii="Arial" w:cs="Arial" w:eastAsia="Arial" w:hAnsi="Arial"/>
                <w:b/>
                <w:bCs/>
                <w:color w:val="5B4FA8"/>
                <w:sz w:val="21"/>
                <w:szCs w:val="21"/>
              </w:rPr>
              <w:t xml:space="preserve">Personalization</w:t>
            </w:r>
          </w:p>
        </w:tc>
        <w:tc>
          <w:tcPr>
            <w:tcW w:type="dxa" w:w="7160"/>
            <w:tcBorders>
              <w:top w:val="single" w:color="C5B8E8" w:sz="1"/>
              <w:left w:val="single" w:color="C5B8E8" w:sz="1"/>
              <w:bottom w:val="single" w:color="C5B8E8" w:sz="1"/>
              <w:right w:val="single" w:color="C5B8E8"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Complete recommended list of products, services, and articles post-assessment</w:t>
            </w:r>
          </w:p>
        </w:tc>
      </w:tr>
      <w:tr>
        <w:tc>
          <w:tcPr>
            <w:tcW w:type="dxa" w:w="2200"/>
            <w:tcBorders>
              <w:top w:val="single" w:color="C5B8E8" w:sz="1"/>
              <w:left w:val="single" w:color="C5B8E8" w:sz="1"/>
              <w:bottom w:val="single" w:color="C5B8E8" w:sz="1"/>
              <w:right w:val="single" w:color="C5B8E8" w:sz="1"/>
            </w:tcBorders>
            <w:shd w:fill="EEECF8" w:val="clear"/>
            <w:tcMar>
              <w:top w:type="dxa" w:w="80"/>
              <w:left w:type="dxa" w:w="140"/>
              <w:bottom w:type="dxa" w:w="80"/>
              <w:right w:type="dxa" w:w="140"/>
            </w:tcMar>
            <w:vAlign w:val="top"/>
          </w:tcPr>
          <w:p>
            <w:r>
              <w:rPr>
                <w:rFonts w:ascii="Arial" w:cs="Arial" w:eastAsia="Arial" w:hAnsi="Arial"/>
                <w:b/>
                <w:bCs/>
                <w:color w:val="5B4FA8"/>
                <w:sz w:val="21"/>
                <w:szCs w:val="21"/>
              </w:rPr>
              <w:t xml:space="preserve">Rewards</w:t>
            </w:r>
          </w:p>
        </w:tc>
        <w:tc>
          <w:tcPr>
            <w:tcW w:type="dxa" w:w="7160"/>
            <w:tcBorders>
              <w:top w:val="single" w:color="C5B8E8" w:sz="1"/>
              <w:left w:val="single" w:color="C5B8E8" w:sz="1"/>
              <w:bottom w:val="single" w:color="C5B8E8" w:sz="1"/>
              <w:right w:val="single" w:color="C5B8E8"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Boosted reward structure reflecting higher monetary incentive partnership</w:t>
            </w:r>
          </w:p>
        </w:tc>
      </w:tr>
      <w:tr>
        <w:tc>
          <w:tcPr>
            <w:tcW w:type="dxa" w:w="2200"/>
            <w:tcBorders>
              <w:top w:val="single" w:color="C5B8E8" w:sz="1"/>
              <w:left w:val="single" w:color="C5B8E8" w:sz="1"/>
              <w:bottom w:val="single" w:color="C5B8E8" w:sz="1"/>
              <w:right w:val="single" w:color="C5B8E8" w:sz="1"/>
            </w:tcBorders>
            <w:shd w:fill="EEECF8" w:val="clear"/>
            <w:tcMar>
              <w:top w:type="dxa" w:w="80"/>
              <w:left w:type="dxa" w:w="140"/>
              <w:bottom w:type="dxa" w:w="80"/>
              <w:right w:type="dxa" w:w="140"/>
            </w:tcMar>
            <w:vAlign w:val="top"/>
          </w:tcPr>
          <w:p>
            <w:r>
              <w:rPr>
                <w:rFonts w:ascii="Arial" w:cs="Arial" w:eastAsia="Arial" w:hAnsi="Arial"/>
                <w:b/>
                <w:bCs/>
                <w:color w:val="5B4FA8"/>
                <w:sz w:val="21"/>
                <w:szCs w:val="21"/>
              </w:rPr>
              <w:t xml:space="preserve">Key Testing Focus</w:t>
            </w:r>
          </w:p>
        </w:tc>
        <w:tc>
          <w:tcPr>
            <w:tcW w:type="dxa" w:w="7160"/>
            <w:tcBorders>
              <w:top w:val="single" w:color="C5B8E8" w:sz="1"/>
              <w:left w:val="single" w:color="C5B8E8" w:sz="1"/>
              <w:bottom w:val="single" w:color="C5B8E8" w:sz="1"/>
              <w:right w:val="single" w:color="C5B8E8"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Is starting from zero overwhelming or empowering? Does the full assessment feel worth it? Do boosted rewards drive completion?</w:t>
            </w:r>
          </w:p>
        </w:tc>
      </w:tr>
    </w:tbl>
    <w:p>
      <w:pPr>
        <w:spacing w:after="120" w:before="0"/>
      </w:pPr>
      <w:r>
        <w:t xml:space="preserve"/>
      </w:r>
    </w:p>
    <w:p>
      <w:pPr>
        <w:pStyle w:val="Heading2"/>
        <w:spacing w:after="80" w:before="240"/>
      </w:pPr>
      <w:r>
        <w:rPr>
          <w:rFonts w:ascii="Arial" w:cs="Arial" w:eastAsia="Arial" w:hAnsi="Arial"/>
          <w:b/>
          <w:bCs/>
          <w:color w:val="333333"/>
          <w:sz w:val="26"/>
          <w:szCs w:val="26"/>
        </w:rPr>
        <w:t xml:space="preserve">2.3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3400"/>
        <w:gridCol w:w="3400"/>
      </w:tblGrid>
      <w:tr>
        <w:trPr>
          <w:tblHeader/>
        </w:trPr>
        <w:tc>
          <w:tcPr>
            <w:tcW w:type="dxa" w:w="2560"/>
            <w:tcBorders>
              <w:top w:val="single" w:color="333333" w:sz="1"/>
              <w:left w:val="single" w:color="333333" w:sz="1"/>
              <w:bottom w:val="single" w:color="333333" w:sz="1"/>
              <w:right w:val="single" w:color="333333" w:sz="1"/>
            </w:tcBorders>
            <w:shd w:fill="333333" w:val="clear"/>
            <w:tcMar>
              <w:top w:type="dxa" w:w="80"/>
              <w:left w:type="dxa" w:w="140"/>
              <w:bottom w:type="dxa" w:w="80"/>
              <w:right w:type="dxa" w:w="140"/>
            </w:tcMar>
          </w:tcPr>
          <w:p>
            <w:r>
              <w:rPr>
                <w:rFonts w:ascii="Arial" w:cs="Arial" w:eastAsia="Arial" w:hAnsi="Arial"/>
                <w:b/>
                <w:bCs/>
                <w:color w:val="FFFFFF"/>
                <w:sz w:val="21"/>
                <w:szCs w:val="21"/>
              </w:rPr>
              <w:t xml:space="preserve">Factor</w:t>
            </w:r>
          </w:p>
        </w:tc>
        <w:tc>
          <w:tcPr>
            <w:tcW w:type="dxa" w:w="3400"/>
            <w:tcBorders>
              <w:top w:val="single" w:color="1A7C8C" w:sz="1"/>
              <w:left w:val="single" w:color="1A7C8C" w:sz="1"/>
              <w:bottom w:val="single" w:color="1A7C8C" w:sz="1"/>
              <w:right w:val="single" w:color="1A7C8C" w:sz="1"/>
            </w:tcBorders>
            <w:shd w:fill="1A7C8C" w:val="clear"/>
            <w:tcMar>
              <w:top w:type="dxa" w:w="80"/>
              <w:left w:type="dxa" w:w="140"/>
              <w:bottom w:type="dxa" w:w="80"/>
              <w:right w:type="dxa" w:w="140"/>
            </w:tcMar>
          </w:tcPr>
          <w:p>
            <w:r>
              <w:rPr>
                <w:rFonts w:ascii="Arial" w:cs="Arial" w:eastAsia="Arial" w:hAnsi="Arial"/>
                <w:b/>
                <w:bCs/>
                <w:color w:val="FFFFFF"/>
                <w:sz w:val="21"/>
                <w:szCs w:val="21"/>
              </w:rPr>
              <w:t xml:space="preserve">Partner 1</w:t>
            </w:r>
          </w:p>
        </w:tc>
        <w:tc>
          <w:tcPr>
            <w:tcW w:type="dxa" w:w="3400"/>
            <w:tcBorders>
              <w:top w:val="single" w:color="5B4FA8" w:sz="1"/>
              <w:left w:val="single" w:color="5B4FA8" w:sz="1"/>
              <w:bottom w:val="single" w:color="5B4FA8" w:sz="1"/>
              <w:right w:val="single" w:color="5B4FA8" w:sz="1"/>
            </w:tcBorders>
            <w:shd w:fill="5B4FA8" w:val="clear"/>
            <w:tcMar>
              <w:top w:type="dxa" w:w="80"/>
              <w:left w:type="dxa" w:w="140"/>
              <w:bottom w:type="dxa" w:w="80"/>
              <w:right w:type="dxa" w:w="140"/>
            </w:tcMar>
          </w:tcPr>
          <w:p>
            <w:r>
              <w:rPr>
                <w:rFonts w:ascii="Arial" w:cs="Arial" w:eastAsia="Arial" w:hAnsi="Arial"/>
                <w:b/>
                <w:bCs/>
                <w:color w:val="FFFFFF"/>
                <w:sz w:val="21"/>
                <w:szCs w:val="21"/>
              </w:rPr>
              <w:t xml:space="preserve">Partner 2</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Starting Data</w:t>
            </w:r>
          </w:p>
        </w:tc>
        <w:tc>
          <w:tcPr>
            <w:tcW w:type="dxa" w:w="34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Pre-filled from partner app</w:t>
            </w:r>
          </w:p>
        </w:tc>
        <w:tc>
          <w:tcPr>
            <w:tcW w:type="dxa" w:w="3400"/>
            <w:tcBorders>
              <w:top w:val="single" w:color="CCCCCC" w:sz="1"/>
              <w:left w:val="single" w:color="CCCCCC" w:sz="1"/>
              <w:bottom w:val="single" w:color="CCCCCC" w:sz="1"/>
              <w:right w:val="single" w:color="CCCCCC" w:sz="1"/>
            </w:tcBorders>
            <w:shd w:fill="EEECF8" w:val="clear"/>
            <w:tcMar>
              <w:top w:type="dxa" w:w="80"/>
              <w:left w:type="dxa" w:w="140"/>
              <w:bottom w:type="dxa" w:w="80"/>
              <w:right w:type="dxa" w:w="140"/>
            </w:tcMar>
          </w:tcPr>
          <w:p>
            <w:r>
              <w:rPr>
                <w:rFonts w:ascii="Arial" w:cs="Arial" w:eastAsia="Arial" w:hAnsi="Arial"/>
                <w:color w:val="333333"/>
                <w:sz w:val="21"/>
                <w:szCs w:val="21"/>
              </w:rPr>
              <w:t xml:space="preserve">Zero — full cold start</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Assessment Type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Abbreviated + follow-up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Full from scratch</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App Ownership</w:t>
            </w:r>
          </w:p>
        </w:tc>
        <w:tc>
          <w:tcPr>
            <w:tcW w:type="dxa" w:w="34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Our experience within partner app</w:t>
            </w:r>
          </w:p>
        </w:tc>
        <w:tc>
          <w:tcPr>
            <w:tcW w:type="dxa" w:w="3400"/>
            <w:tcBorders>
              <w:top w:val="single" w:color="CCCCCC" w:sz="1"/>
              <w:left w:val="single" w:color="CCCCCC" w:sz="1"/>
              <w:bottom w:val="single" w:color="CCCCCC" w:sz="1"/>
              <w:right w:val="single" w:color="CCCCCC" w:sz="1"/>
            </w:tcBorders>
            <w:shd w:fill="EEECF8" w:val="clear"/>
            <w:tcMar>
              <w:top w:type="dxa" w:w="80"/>
              <w:left w:type="dxa" w:w="140"/>
              <w:bottom w:type="dxa" w:w="80"/>
              <w:right w:type="dxa" w:w="140"/>
            </w:tcMar>
          </w:tcPr>
          <w:p>
            <w:r>
              <w:rPr>
                <w:rFonts w:ascii="Arial" w:cs="Arial" w:eastAsia="Arial" w:hAnsi="Arial"/>
                <w:color w:val="333333"/>
                <w:sz w:val="21"/>
                <w:szCs w:val="21"/>
              </w:rPr>
              <w:t xml:space="preserve">White-labeled standalone app</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Rewards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Unique access-based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Boosted monetary rewards</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Care Manager</w:t>
            </w:r>
          </w:p>
        </w:tc>
        <w:tc>
          <w:tcPr>
            <w:tcW w:type="dxa" w:w="34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Yes — guided handoff</w:t>
            </w:r>
          </w:p>
        </w:tc>
        <w:tc>
          <w:tcPr>
            <w:tcW w:type="dxa" w:w="3400"/>
            <w:tcBorders>
              <w:top w:val="single" w:color="CCCCCC" w:sz="1"/>
              <w:left w:val="single" w:color="CCCCCC" w:sz="1"/>
              <w:bottom w:val="single" w:color="CCCCCC" w:sz="1"/>
              <w:right w:val="single" w:color="CCCCCC" w:sz="1"/>
            </w:tcBorders>
            <w:shd w:fill="EEECF8" w:val="clear"/>
            <w:tcMar>
              <w:top w:type="dxa" w:w="80"/>
              <w:left w:type="dxa" w:w="140"/>
              <w:bottom w:type="dxa" w:w="80"/>
              <w:right w:type="dxa" w:w="140"/>
            </w:tcMar>
          </w:tcPr>
          <w:p>
            <w:r>
              <w:rPr>
                <w:rFonts w:ascii="Arial" w:cs="Arial" w:eastAsia="Arial" w:hAnsi="Arial"/>
                <w:color w:val="333333"/>
                <w:sz w:val="21"/>
                <w:szCs w:val="21"/>
              </w:rPr>
              <w:t xml:space="preserve">To be determined</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Testing Complexity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Handoff trust &amp; data privacy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Motivation to complete full assessment</w:t>
            </w:r>
          </w:p>
        </w:tc>
      </w:tr>
    </w:tbl>
    <w:p>
      <w:pPr>
        <w:spacing w:after="100" w:before="0"/>
      </w:pPr>
      <w:r>
        <w:t xml:space="preserve"/>
      </w:r>
    </w:p>
    <w:p>
      <w:r>
        <w:br w:type="page"/>
      </w:r>
    </w:p>
    <w:p>
      <w:pPr>
        <w:pStyle w:val="Heading1"/>
        <w:spacing w:after="120" w:before="360"/>
      </w:pPr>
      <w:r>
        <w:rPr>
          <w:rFonts w:ascii="Arial" w:cs="Arial" w:eastAsia="Arial" w:hAnsi="Arial"/>
          <w:b/>
          <w:bCs/>
          <w:color w:val="1A7C8C"/>
          <w:sz w:val="32"/>
          <w:szCs w:val="32"/>
        </w:rPr>
        <w:t xml:space="preserve">3. Participant Criteria &amp; Recruitment</w:t>
      </w:r>
    </w:p>
    <w:p>
      <w:pPr>
        <w:spacing w:after="80" w:before="60"/>
      </w:pPr>
      <w:r>
        <w:rPr>
          <w:rFonts w:ascii="Arial" w:cs="Arial" w:eastAsia="Arial" w:hAnsi="Arial"/>
          <w:b w:val="false"/>
          <w:bCs w:val="false"/>
          <w:i w:val="false"/>
          <w:iCs w:val="false"/>
          <w:color w:val="333333"/>
          <w:sz w:val="22"/>
          <w:szCs w:val="22"/>
        </w:rPr>
        <w:t xml:space="preserve">Recruiting the right participants is foundational to valid results. Each partner requires distinct screener criteria, and we have three recruitment channels to deploy in parallel.</w:t>
      </w:r>
    </w:p>
    <w:p>
      <w:pPr>
        <w:spacing w:after="60" w:before="0"/>
      </w:pPr>
      <w:r>
        <w:t xml:space="preserve"/>
      </w:r>
    </w:p>
    <w:p>
      <w:pPr>
        <w:pStyle w:val="Heading2"/>
        <w:spacing w:after="80" w:before="240"/>
      </w:pPr>
      <w:r>
        <w:rPr>
          <w:rFonts w:ascii="Arial" w:cs="Arial" w:eastAsia="Arial" w:hAnsi="Arial"/>
          <w:b/>
          <w:bCs/>
          <w:color w:val="333333"/>
          <w:sz w:val="26"/>
          <w:szCs w:val="26"/>
        </w:rPr>
        <w:t xml:space="preserve">3.1  Screener Criteria</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3400"/>
        <w:gridCol w:w="3400"/>
      </w:tblGrid>
      <w:tr>
        <w:trPr>
          <w:tblHeader/>
        </w:trPr>
        <w:tc>
          <w:tcPr>
            <w:tcW w:type="dxa" w:w="2560"/>
            <w:tcBorders>
              <w:top w:val="single" w:color="333333" w:sz="1"/>
              <w:left w:val="single" w:color="333333" w:sz="1"/>
              <w:bottom w:val="single" w:color="333333" w:sz="1"/>
              <w:right w:val="single" w:color="333333" w:sz="1"/>
            </w:tcBorders>
            <w:shd w:fill="333333" w:val="clear"/>
            <w:tcMar>
              <w:top w:type="dxa" w:w="80"/>
              <w:left w:type="dxa" w:w="140"/>
              <w:bottom w:type="dxa" w:w="80"/>
              <w:right w:type="dxa" w:w="140"/>
            </w:tcMar>
          </w:tcPr>
          <w:p>
            <w:r>
              <w:rPr>
                <w:rFonts w:ascii="Arial" w:cs="Arial" w:eastAsia="Arial" w:hAnsi="Arial"/>
                <w:b/>
                <w:bCs/>
                <w:color w:val="FFFFFF"/>
                <w:sz w:val="21"/>
                <w:szCs w:val="21"/>
              </w:rPr>
              <w:t xml:space="preserve">Criteria</w:t>
            </w:r>
          </w:p>
        </w:tc>
        <w:tc>
          <w:tcPr>
            <w:tcW w:type="dxa" w:w="3400"/>
            <w:tcBorders>
              <w:top w:val="single" w:color="1A7C8C" w:sz="1"/>
              <w:left w:val="single" w:color="1A7C8C" w:sz="1"/>
              <w:bottom w:val="single" w:color="1A7C8C" w:sz="1"/>
              <w:right w:val="single" w:color="1A7C8C" w:sz="1"/>
            </w:tcBorders>
            <w:shd w:fill="1A7C8C" w:val="clear"/>
            <w:tcMar>
              <w:top w:type="dxa" w:w="80"/>
              <w:left w:type="dxa" w:w="140"/>
              <w:bottom w:type="dxa" w:w="80"/>
              <w:right w:type="dxa" w:w="140"/>
            </w:tcMar>
          </w:tcPr>
          <w:p>
            <w:r>
              <w:rPr>
                <w:rFonts w:ascii="Arial" w:cs="Arial" w:eastAsia="Arial" w:hAnsi="Arial"/>
                <w:b/>
                <w:bCs/>
                <w:color w:val="FFFFFF"/>
                <w:sz w:val="21"/>
                <w:szCs w:val="21"/>
              </w:rPr>
              <w:t xml:space="preserve">Partner 1</w:t>
            </w:r>
          </w:p>
        </w:tc>
        <w:tc>
          <w:tcPr>
            <w:tcW w:type="dxa" w:w="3400"/>
            <w:tcBorders>
              <w:top w:val="single" w:color="5B4FA8" w:sz="1"/>
              <w:left w:val="single" w:color="5B4FA8" w:sz="1"/>
              <w:bottom w:val="single" w:color="5B4FA8" w:sz="1"/>
              <w:right w:val="single" w:color="5B4FA8" w:sz="1"/>
            </w:tcBorders>
            <w:shd w:fill="5B4FA8" w:val="clear"/>
            <w:tcMar>
              <w:top w:type="dxa" w:w="80"/>
              <w:left w:type="dxa" w:w="140"/>
              <w:bottom w:type="dxa" w:w="80"/>
              <w:right w:type="dxa" w:w="140"/>
            </w:tcMar>
          </w:tcPr>
          <w:p>
            <w:r>
              <w:rPr>
                <w:rFonts w:ascii="Arial" w:cs="Arial" w:eastAsia="Arial" w:hAnsi="Arial"/>
                <w:b/>
                <w:bCs/>
                <w:color w:val="FFFFFF"/>
                <w:sz w:val="21"/>
                <w:szCs w:val="21"/>
              </w:rPr>
              <w:t xml:space="preserve">Partner 2</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App Usage</w:t>
            </w:r>
          </w:p>
        </w:tc>
        <w:tc>
          <w:tcPr>
            <w:tcW w:type="dxa" w:w="34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Active user of partner app (last 30 days)</w:t>
            </w:r>
          </w:p>
        </w:tc>
        <w:tc>
          <w:tcPr>
            <w:tcW w:type="dxa" w:w="3400"/>
            <w:tcBorders>
              <w:top w:val="single" w:color="CCCCCC" w:sz="1"/>
              <w:left w:val="single" w:color="CCCCCC" w:sz="1"/>
              <w:bottom w:val="single" w:color="CCCCCC" w:sz="1"/>
              <w:right w:val="single" w:color="CCCCCC" w:sz="1"/>
            </w:tcBorders>
            <w:shd w:fill="EEECF8" w:val="clear"/>
            <w:tcMar>
              <w:top w:type="dxa" w:w="80"/>
              <w:left w:type="dxa" w:w="140"/>
              <w:bottom w:type="dxa" w:w="80"/>
              <w:right w:type="dxa" w:w="140"/>
            </w:tcMar>
          </w:tcPr>
          <w:p>
            <w:r>
              <w:rPr>
                <w:rFonts w:ascii="Arial" w:cs="Arial" w:eastAsia="Arial" w:hAnsi="Arial"/>
                <w:color w:val="333333"/>
                <w:sz w:val="21"/>
                <w:szCs w:val="21"/>
              </w:rPr>
              <w:t xml:space="preserve">New enrollee or recently eligible member</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Tech Comfort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Comfortable using mobile health apps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Comfortable using a standalone mobile app</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Availability</w:t>
            </w:r>
          </w:p>
        </w:tc>
        <w:tc>
          <w:tcPr>
            <w:tcW w:type="dxa" w:w="34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Available for 60-min moderated session</w:t>
            </w:r>
          </w:p>
        </w:tc>
        <w:tc>
          <w:tcPr>
            <w:tcW w:type="dxa" w:w="3400"/>
            <w:tcBorders>
              <w:top w:val="single" w:color="CCCCCC" w:sz="1"/>
              <w:left w:val="single" w:color="CCCCCC" w:sz="1"/>
              <w:bottom w:val="single" w:color="CCCCCC" w:sz="1"/>
              <w:right w:val="single" w:color="CCCCCC" w:sz="1"/>
            </w:tcBorders>
            <w:shd w:fill="EEECF8" w:val="clear"/>
            <w:tcMar>
              <w:top w:type="dxa" w:w="80"/>
              <w:left w:type="dxa" w:w="140"/>
              <w:bottom w:type="dxa" w:w="80"/>
              <w:right w:type="dxa" w:w="140"/>
            </w:tcMar>
          </w:tcPr>
          <w:p>
            <w:r>
              <w:rPr>
                <w:rFonts w:ascii="Arial" w:cs="Arial" w:eastAsia="Arial" w:hAnsi="Arial"/>
                <w:color w:val="333333"/>
                <w:sz w:val="21"/>
                <w:szCs w:val="21"/>
              </w:rPr>
              <w:t xml:space="preserve">Available for 60-min moderated session</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Incentive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Gift card ($50–$75) + in-app reward preview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Gift card ($75–$100) reflecting boosted tier</w:t>
            </w:r>
          </w:p>
        </w:tc>
      </w:tr>
      <w:tr>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Exclusions</w:t>
            </w:r>
          </w:p>
        </w:tc>
        <w:tc>
          <w:tcPr>
            <w:tcW w:type="dxa" w:w="34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No current participation in our experience</w:t>
            </w:r>
          </w:p>
        </w:tc>
        <w:tc>
          <w:tcPr>
            <w:tcW w:type="dxa" w:w="3400"/>
            <w:tcBorders>
              <w:top w:val="single" w:color="CCCCCC" w:sz="1"/>
              <w:left w:val="single" w:color="CCCCCC" w:sz="1"/>
              <w:bottom w:val="single" w:color="CCCCCC" w:sz="1"/>
              <w:right w:val="single" w:color="CCCCCC" w:sz="1"/>
            </w:tcBorders>
            <w:shd w:fill="EEECF8" w:val="clear"/>
            <w:tcMar>
              <w:top w:type="dxa" w:w="80"/>
              <w:left w:type="dxa" w:w="140"/>
              <w:bottom w:type="dxa" w:w="80"/>
              <w:right w:type="dxa" w:w="140"/>
            </w:tcMar>
          </w:tcPr>
          <w:p>
            <w:r>
              <w:rPr>
                <w:rFonts w:ascii="Arial" w:cs="Arial" w:eastAsia="Arial" w:hAnsi="Arial"/>
                <w:color w:val="333333"/>
                <w:sz w:val="21"/>
                <w:szCs w:val="21"/>
              </w:rPr>
              <w:t xml:space="preserve">No prior exposure to any white-label version</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Sample Size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8–10 moderated / 50+ unmoderated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8–10 moderated / 50+ unmoderated</w:t>
            </w:r>
          </w:p>
        </w:tc>
      </w:tr>
    </w:tbl>
    <w:p>
      <w:pPr>
        <w:spacing w:after="120" w:before="0"/>
      </w:pPr>
      <w:r>
        <w:t xml:space="preserve"/>
      </w:r>
    </w:p>
    <w:p>
      <w:pPr>
        <w:pStyle w:val="Heading2"/>
        <w:spacing w:after="80" w:before="240"/>
      </w:pPr>
      <w:r>
        <w:rPr>
          <w:rFonts w:ascii="Arial" w:cs="Arial" w:eastAsia="Arial" w:hAnsi="Arial"/>
          <w:b/>
          <w:bCs/>
          <w:color w:val="333333"/>
          <w:sz w:val="26"/>
          <w:szCs w:val="26"/>
        </w:rPr>
        <w:t xml:space="preserve">3.2  Recruitment Channels</w:t>
      </w:r>
    </w:p>
    <w:p>
      <w:pPr>
        <w:spacing w:after="80" w:before="60"/>
      </w:pPr>
      <w:r>
        <w:rPr>
          <w:rFonts w:ascii="Arial" w:cs="Arial" w:eastAsia="Arial" w:hAnsi="Arial"/>
          <w:b w:val="false"/>
          <w:bCs w:val="false"/>
          <w:i w:val="false"/>
          <w:iCs w:val="false"/>
          <w:color w:val="333333"/>
          <w:sz w:val="22"/>
          <w:szCs w:val="22"/>
        </w:rPr>
        <w:t xml:space="preserve">We recommend running all three channels simultaneously to hit target sample sizes within 2 weeks. Each channel reaches a different segment of the eligible population.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2DDE3" w:sz="1"/>
              <w:left w:val="single" w:color="B2DDE3" w:sz="1"/>
              <w:bottom w:val="single" w:color="B2DDE3" w:sz="1"/>
              <w:right w:val="single" w:color="B2DDE3" w:sz="1"/>
            </w:tcBorders>
            <w:shd w:fill="E6F4F6" w:val="clear"/>
            <w:tcMar>
              <w:top w:type="dxa" w:w="120"/>
              <w:left w:type="dxa" w:w="160"/>
              <w:bottom w:type="dxa" w:w="120"/>
              <w:right w:type="dxa" w:w="160"/>
            </w:tcMar>
            <w:vAlign w:val="top"/>
          </w:tcPr>
          <w:p>
            <w:pPr>
              <w:spacing w:after="60"/>
            </w:pPr>
            <w:r>
              <w:rPr>
                <w:rFonts w:ascii="Arial" w:cs="Arial" w:eastAsia="Arial" w:hAnsi="Arial"/>
                <w:b/>
                <w:bCs/>
                <w:color w:val="1A7C8C"/>
                <w:sz w:val="24"/>
                <w:szCs w:val="24"/>
              </w:rPr>
              <w:t xml:space="preserve">In-App Intercept</w:t>
            </w:r>
          </w:p>
          <w:p>
            <w:pPr>
              <w:spacing w:after="40"/>
            </w:pPr>
            <w:r>
              <w:rPr>
                <w:rFonts w:ascii="Arial" w:cs="Arial" w:eastAsia="Arial" w:hAnsi="Arial"/>
                <w:color w:val="333333"/>
                <w:sz w:val="20"/>
                <w:szCs w:val="20"/>
              </w:rPr>
              <w:t xml:space="preserve">Triggered after a meaningful action (e.g., assessment start or second login). Not on first open.</w:t>
            </w:r>
          </w:p>
          <w:p>
            <w:r>
              <w:rPr>
                <w:rFonts w:ascii="Arial" w:cs="Arial" w:eastAsia="Arial" w:hAnsi="Arial"/>
                <w:i/>
                <w:iCs/>
                <w:color w:val="2E8B5E"/>
                <w:sz w:val="20"/>
                <w:szCs w:val="20"/>
              </w:rPr>
              <w:t xml:space="preserve">Best for: Contextually relevant, highest signal participants</w:t>
            </w:r>
          </w:p>
        </w:tc>
        <w:tc>
          <w:tcPr>
            <w:tcW w:type="dxa" w:w="3120"/>
            <w:tcBorders>
              <w:top w:val="single" w:color="C5B8E8" w:sz="1"/>
              <w:left w:val="single" w:color="C5B8E8" w:sz="1"/>
              <w:bottom w:val="single" w:color="C5B8E8" w:sz="1"/>
              <w:right w:val="single" w:color="C5B8E8" w:sz="1"/>
            </w:tcBorders>
            <w:shd w:fill="EEECF8" w:val="clear"/>
            <w:tcMar>
              <w:top w:type="dxa" w:w="120"/>
              <w:left w:type="dxa" w:w="160"/>
              <w:bottom w:type="dxa" w:w="120"/>
              <w:right w:type="dxa" w:w="160"/>
            </w:tcMar>
            <w:vAlign w:val="top"/>
          </w:tcPr>
          <w:p>
            <w:pPr>
              <w:spacing w:after="60"/>
            </w:pPr>
            <w:r>
              <w:rPr>
                <w:rFonts w:ascii="Arial" w:cs="Arial" w:eastAsia="Arial" w:hAnsi="Arial"/>
                <w:b/>
                <w:bCs/>
                <w:color w:val="5B4FA8"/>
                <w:sz w:val="24"/>
                <w:szCs w:val="24"/>
              </w:rPr>
              <w:t xml:space="preserve">Campaign Outreach</w:t>
            </w:r>
          </w:p>
          <w:p>
            <w:pPr>
              <w:spacing w:after="40"/>
            </w:pPr>
            <w:r>
              <w:rPr>
                <w:rFonts w:ascii="Arial" w:cs="Arial" w:eastAsia="Arial" w:hAnsi="Arial"/>
                <w:color w:val="333333"/>
                <w:sz w:val="20"/>
                <w:szCs w:val="20"/>
              </w:rPr>
              <w:t xml:space="preserve">Targeted email or push to eligible cohorts coordinated with partner comms team. Screener link included.</w:t>
            </w:r>
          </w:p>
          <w:p>
            <w:r>
              <w:rPr>
                <w:rFonts w:ascii="Arial" w:cs="Arial" w:eastAsia="Arial" w:hAnsi="Arial"/>
                <w:i/>
                <w:iCs/>
                <w:color w:val="2E8B5E"/>
                <w:sz w:val="20"/>
                <w:szCs w:val="20"/>
              </w:rPr>
              <w:t xml:space="preserve">Best for: Reaching passive or less-engaged members</w:t>
            </w:r>
          </w:p>
        </w:tc>
        <w:tc>
          <w:tcPr>
            <w:tcW w:type="dxa" w:w="3120"/>
            <w:tcBorders>
              <w:top w:val="single" w:color="FDF1E3" w:sz="1"/>
              <w:left w:val="single" w:color="FDF1E3" w:sz="1"/>
              <w:bottom w:val="single" w:color="FDF1E3" w:sz="1"/>
              <w:right w:val="single" w:color="FDF1E3" w:sz="1"/>
            </w:tcBorders>
            <w:shd w:fill="FDF1E3" w:val="clear"/>
            <w:tcMar>
              <w:top w:type="dxa" w:w="120"/>
              <w:left w:type="dxa" w:w="160"/>
              <w:bottom w:type="dxa" w:w="120"/>
              <w:right w:type="dxa" w:w="160"/>
            </w:tcMar>
            <w:vAlign w:val="top"/>
          </w:tcPr>
          <w:p>
            <w:pPr>
              <w:spacing w:after="60"/>
            </w:pPr>
            <w:r>
              <w:rPr>
                <w:rFonts w:ascii="Arial" w:cs="Arial" w:eastAsia="Arial" w:hAnsi="Arial"/>
                <w:b/>
                <w:bCs/>
                <w:color w:val="D07A28"/>
                <w:sz w:val="24"/>
                <w:szCs w:val="24"/>
              </w:rPr>
              <w:t xml:space="preserve">Care Manager Referral</w:t>
            </w:r>
          </w:p>
          <w:p>
            <w:pPr>
              <w:spacing w:after="40"/>
            </w:pPr>
            <w:r>
              <w:rPr>
                <w:rFonts w:ascii="Arial" w:cs="Arial" w:eastAsia="Arial" w:hAnsi="Arial"/>
                <w:color w:val="333333"/>
                <w:sz w:val="20"/>
                <w:szCs w:val="20"/>
              </w:rPr>
              <w:t xml:space="preserve">Care managers nominate members they believe would benefit from the experience and represent typical use patterns.</w:t>
            </w:r>
          </w:p>
          <w:p>
            <w:r>
              <w:rPr>
                <w:rFonts w:ascii="Arial" w:cs="Arial" w:eastAsia="Arial" w:hAnsi="Arial"/>
                <w:i/>
                <w:iCs/>
                <w:color w:val="2E8B5E"/>
                <w:sz w:val="20"/>
                <w:szCs w:val="20"/>
              </w:rPr>
              <w:t xml:space="preserve">Best for: Power users and edge case identification</w:t>
            </w:r>
          </w:p>
        </w:tc>
      </w:tr>
    </w:tbl>
    <w:p>
      <w:pPr>
        <w:spacing w:after="100" w:before="0"/>
      </w:pPr>
      <w:r>
        <w:t xml:space="preserve"/>
      </w:r>
    </w:p>
    <w:p>
      <w:r>
        <w:br w:type="page"/>
      </w:r>
    </w:p>
    <w:p>
      <w:pPr>
        <w:pStyle w:val="Heading1"/>
        <w:spacing w:after="120" w:before="360"/>
      </w:pPr>
      <w:r>
        <w:rPr>
          <w:rFonts w:ascii="Arial" w:cs="Arial" w:eastAsia="Arial" w:hAnsi="Arial"/>
          <w:b/>
          <w:bCs/>
          <w:color w:val="1A7C8C"/>
          <w:sz w:val="32"/>
          <w:szCs w:val="32"/>
        </w:rPr>
        <w:t xml:space="preserve">4. Testing Methodology</w:t>
      </w:r>
    </w:p>
    <w:p>
      <w:pPr>
        <w:spacing w:after="40" w:before="0"/>
      </w:pPr>
      <w:r>
        <w:t xml:space="preserve"/>
      </w:r>
    </w:p>
    <w:p>
      <w:pPr>
        <w:pStyle w:val="Heading2"/>
        <w:spacing w:after="80" w:before="240"/>
      </w:pPr>
      <w:r>
        <w:rPr>
          <w:rFonts w:ascii="Arial" w:cs="Arial" w:eastAsia="Arial" w:hAnsi="Arial"/>
          <w:b/>
          <w:bCs/>
          <w:color w:val="333333"/>
          <w:sz w:val="26"/>
          <w:szCs w:val="26"/>
        </w:rPr>
        <w:t xml:space="preserve">4.1  Moderated vs. Unmoderated</w:t>
      </w:r>
    </w:p>
    <w:p>
      <w:pPr>
        <w:spacing w:after="80" w:before="60"/>
      </w:pPr>
      <w:r>
        <w:rPr>
          <w:rFonts w:ascii="Arial" w:cs="Arial" w:eastAsia="Arial" w:hAnsi="Arial"/>
          <w:b w:val="false"/>
          <w:bCs w:val="false"/>
          <w:i w:val="false"/>
          <w:iCs w:val="false"/>
          <w:color w:val="333333"/>
          <w:sz w:val="22"/>
          <w:szCs w:val="22"/>
        </w:rPr>
        <w:t xml:space="preserve">We use both methods intentionally — moderated sessions give us the 'why' behind behavior, while unmoderated testing gives us scale and quantitative confidence.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333333" w:sz="1"/>
              <w:left w:val="single" w:color="333333" w:sz="1"/>
              <w:bottom w:val="single" w:color="333333" w:sz="1"/>
              <w:right w:val="single" w:color="333333" w:sz="1"/>
            </w:tcBorders>
            <w:shd w:fill="333333" w:val="clear"/>
            <w:tcMar>
              <w:top w:type="dxa" w:w="80"/>
              <w:left w:type="dxa" w:w="140"/>
              <w:bottom w:type="dxa" w:w="80"/>
              <w:right w:type="dxa" w:w="140"/>
            </w:tcMar>
          </w:tcPr>
          <w:p>
            <w:r>
              <w:rPr>
                <w:rFonts w:ascii="Arial" w:cs="Arial" w:eastAsia="Arial" w:hAnsi="Arial"/>
                <w:color w:val="FFFFFF"/>
                <w:sz w:val="21"/>
                <w:szCs w:val="21"/>
              </w:rPr>
              <w:t xml:space="preserve"/>
            </w:r>
          </w:p>
        </w:tc>
        <w:tc>
          <w:tcPr>
            <w:tcW w:type="dxa" w:w="3680"/>
            <w:tcBorders>
              <w:top w:val="single" w:color="333333" w:sz="1"/>
              <w:left w:val="single" w:color="333333" w:sz="1"/>
              <w:bottom w:val="single" w:color="333333" w:sz="1"/>
              <w:right w:val="single" w:color="333333" w:sz="1"/>
            </w:tcBorders>
            <w:shd w:fill="333333" w:val="clear"/>
            <w:tcMar>
              <w:top w:type="dxa" w:w="80"/>
              <w:left w:type="dxa" w:w="140"/>
              <w:bottom w:type="dxa" w:w="80"/>
              <w:right w:type="dxa" w:w="140"/>
            </w:tcMar>
          </w:tcPr>
          <w:p>
            <w:r>
              <w:rPr>
                <w:rFonts w:ascii="Arial" w:cs="Arial" w:eastAsia="Arial" w:hAnsi="Arial"/>
                <w:b/>
                <w:bCs/>
                <w:color w:val="FFFFFF"/>
                <w:sz w:val="22"/>
                <w:szCs w:val="22"/>
              </w:rPr>
              <w:t xml:space="preserve">Moderated Sessions</w:t>
            </w:r>
          </w:p>
        </w:tc>
        <w:tc>
          <w:tcPr>
            <w:tcW w:type="dxa" w:w="3680"/>
            <w:tcBorders>
              <w:top w:val="single" w:color="333333" w:sz="1"/>
              <w:left w:val="single" w:color="333333" w:sz="1"/>
              <w:bottom w:val="single" w:color="333333" w:sz="1"/>
              <w:right w:val="single" w:color="333333" w:sz="1"/>
            </w:tcBorders>
            <w:shd w:fill="333333" w:val="clear"/>
            <w:tcMar>
              <w:top w:type="dxa" w:w="80"/>
              <w:left w:type="dxa" w:w="140"/>
              <w:bottom w:type="dxa" w:w="80"/>
              <w:right w:type="dxa" w:w="140"/>
            </w:tcMar>
          </w:tcPr>
          <w:p>
            <w:r>
              <w:rPr>
                <w:rFonts w:ascii="Arial" w:cs="Arial" w:eastAsia="Arial" w:hAnsi="Arial"/>
                <w:b/>
                <w:bCs/>
                <w:color w:val="FFFFFF"/>
                <w:sz w:val="22"/>
                <w:szCs w:val="22"/>
              </w:rPr>
              <w:t xml:space="preserve">Unmoderated Sessions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Use When</w:t>
            </w:r>
          </w:p>
        </w:tc>
        <w:tc>
          <w:tcPr>
            <w:tcW w:type="dxa" w:w="368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Testing early-stage flows; understanding emotional response; exploring care manager handoff; investigating assessment drop-off</w:t>
            </w:r>
          </w:p>
        </w:tc>
        <w:tc>
          <w:tcPr>
            <w:tcW w:type="dxa" w:w="368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tcPr>
          <w:p>
            <w:r>
              <w:rPr>
                <w:rFonts w:ascii="Arial" w:cs="Arial" w:eastAsia="Arial" w:hAnsi="Arial"/>
                <w:color w:val="333333"/>
                <w:sz w:val="21"/>
                <w:szCs w:val="21"/>
              </w:rPr>
              <w:t xml:space="preserve">Validating specific UI patterns at scale; testing rewards display; measuring completion rates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Tool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User Interviews (live, moderated)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User Interviews (recorded, async tasks)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Duration</w:t>
            </w:r>
          </w:p>
        </w:tc>
        <w:tc>
          <w:tcPr>
            <w:tcW w:type="dxa" w:w="368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60 minutes per session</w:t>
            </w:r>
          </w:p>
        </w:tc>
        <w:tc>
          <w:tcPr>
            <w:tcW w:type="dxa" w:w="368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tcPr>
          <w:p>
            <w:r>
              <w:rPr>
                <w:rFonts w:ascii="Arial" w:cs="Arial" w:eastAsia="Arial" w:hAnsi="Arial"/>
                <w:color w:val="333333"/>
                <w:sz w:val="21"/>
                <w:szCs w:val="21"/>
              </w:rPr>
              <w:t xml:space="preserve">15–25 minutes per task 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Volume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8–10 participants per partner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50+ participants per partner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Partner Observes?</w:t>
            </w:r>
          </w:p>
        </w:tc>
        <w:tc>
          <w:tcPr>
            <w:tcW w:type="dxa" w:w="368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Yes — as silent observers with designated seat</w:t>
            </w:r>
          </w:p>
        </w:tc>
        <w:tc>
          <w:tcPr>
            <w:tcW w:type="dxa" w:w="368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tcPr>
          <w:p>
            <w:r>
              <w:rPr>
                <w:rFonts w:ascii="Arial" w:cs="Arial" w:eastAsia="Arial" w:hAnsi="Arial"/>
                <w:color w:val="333333"/>
                <w:sz w:val="21"/>
                <w:szCs w:val="21"/>
              </w:rPr>
              <w:t xml:space="preserve">Yes — can review recordings asynchronously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Output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Rich qualitative insight, direct quotes, behavioral observations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Completion rates, task success, drop-off points</w:t>
            </w:r>
          </w:p>
        </w:tc>
      </w:tr>
    </w:tbl>
    <w:p>
      <w:pPr>
        <w:spacing w:after="120" w:before="0"/>
      </w:pPr>
      <w:r>
        <w:t xml:space="preserve"/>
      </w:r>
    </w:p>
    <w:p>
      <w:pPr>
        <w:pStyle w:val="Heading2"/>
        <w:spacing w:after="80" w:before="240"/>
      </w:pPr>
      <w:r>
        <w:rPr>
          <w:rFonts w:ascii="Arial" w:cs="Arial" w:eastAsia="Arial" w:hAnsi="Arial"/>
          <w:b/>
          <w:bCs/>
          <w:color w:val="333333"/>
          <w:sz w:val="26"/>
          <w:szCs w:val="26"/>
        </w:rPr>
        <w:t xml:space="preserve">4.2  PHI / PII Safeguard Protocol</w:t>
      </w:r>
    </w:p>
    <w:p>
      <w:pPr>
        <w:spacing w:after="80" w:before="60"/>
      </w:pPr>
      <w:r>
        <w:rPr>
          <w:rFonts w:ascii="Arial" w:cs="Arial" w:eastAsia="Arial" w:hAnsi="Arial"/>
          <w:b w:val="false"/>
          <w:bCs w:val="false"/>
          <w:i w:val="false"/>
          <w:iCs w:val="false"/>
          <w:color w:val="333333"/>
          <w:sz w:val="22"/>
          <w:szCs w:val="22"/>
        </w:rPr>
        <w:t xml:space="preserve">Because we operate in a health-adjacent space, our testing environment is designed from the ground up to avoid collecting any Protected Health Information (PHI) or Personally Identifiable Information (PII). This is non-negotiable and is built into the testing infrastructure — not added as an afterthought.</w:t>
      </w:r>
    </w:p>
    <w:p>
      <w:pPr>
        <w:spacing w:after="40" w:before="0"/>
      </w:pPr>
      <w:r>
        <w:t xml:space="preserve"/>
      </w:r>
    </w:p>
    <w:p>
      <w:pPr>
        <w:pStyle w:val="ListParagraph"/>
        <w:numPr>
          <w:ilvl w:val="0"/>
          <w:numId w:val="2"/>
        </w:numPr>
        <w:spacing w:after="40" w:before="40"/>
      </w:pPr>
      <w:r>
        <w:rPr>
          <w:rFonts w:ascii="Arial" w:cs="Arial" w:eastAsia="Arial" w:hAnsi="Arial"/>
          <w:b/>
          <w:bCs/>
          <w:color w:val="333333"/>
          <w:sz w:val="22"/>
          <w:szCs w:val="22"/>
        </w:rPr>
        <w:t xml:space="preserve">Synthetic test data only: </w:t>
      </w:r>
      <w:r>
        <w:rPr>
          <w:rFonts w:ascii="Arial" w:cs="Arial" w:eastAsia="Arial" w:hAnsi="Arial"/>
          <w:color w:val="333333"/>
          <w:sz w:val="22"/>
          <w:szCs w:val="22"/>
        </w:rPr>
        <w:t xml:space="preserve">All member profiles used in testing are fabricated and do not correspond to real individuals.</w:t>
      </w:r>
    </w:p>
    <w:p>
      <w:pPr>
        <w:pStyle w:val="ListParagraph"/>
        <w:numPr>
          <w:ilvl w:val="0"/>
          <w:numId w:val="2"/>
        </w:numPr>
        <w:spacing w:after="40" w:before="40"/>
      </w:pPr>
      <w:r>
        <w:rPr>
          <w:rFonts w:ascii="Arial" w:cs="Arial" w:eastAsia="Arial" w:hAnsi="Arial"/>
          <w:b/>
          <w:bCs/>
          <w:color w:val="333333"/>
          <w:sz w:val="22"/>
          <w:szCs w:val="22"/>
        </w:rPr>
        <w:t xml:space="preserve">Screened consent language: </w:t>
      </w:r>
      <w:r>
        <w:rPr>
          <w:rFonts w:ascii="Arial" w:cs="Arial" w:eastAsia="Arial" w:hAnsi="Arial"/>
          <w:color w:val="333333"/>
          <w:sz w:val="22"/>
          <w:szCs w:val="22"/>
        </w:rPr>
        <w:t xml:space="preserve">Participants explicitly consent knowing that a partner observer may be present. The consent form is reviewed by legal before use.</w:t>
      </w:r>
    </w:p>
    <w:p>
      <w:pPr>
        <w:pStyle w:val="ListParagraph"/>
        <w:numPr>
          <w:ilvl w:val="0"/>
          <w:numId w:val="2"/>
        </w:numPr>
        <w:spacing w:after="40" w:before="40"/>
      </w:pPr>
      <w:r>
        <w:rPr>
          <w:rFonts w:ascii="Arial" w:cs="Arial" w:eastAsia="Arial" w:hAnsi="Arial"/>
          <w:b/>
          <w:bCs/>
          <w:color w:val="333333"/>
          <w:sz w:val="22"/>
          <w:szCs w:val="22"/>
        </w:rPr>
        <w:t xml:space="preserve">Observer access controls: </w:t>
      </w:r>
      <w:r>
        <w:rPr>
          <w:rFonts w:ascii="Arial" w:cs="Arial" w:eastAsia="Arial" w:hAnsi="Arial"/>
          <w:color w:val="333333"/>
          <w:sz w:val="22"/>
          <w:szCs w:val="22"/>
        </w:rPr>
        <w:t xml:space="preserve">Partners are given a designated observer seat within User Interviews. They can see the session screen and hear audio, but cannot interact with participants or access recordings after the session without a separate review agreement.</w:t>
      </w:r>
    </w:p>
    <w:p>
      <w:pPr>
        <w:pStyle w:val="ListParagraph"/>
        <w:numPr>
          <w:ilvl w:val="0"/>
          <w:numId w:val="2"/>
        </w:numPr>
        <w:spacing w:after="40" w:before="40"/>
      </w:pPr>
      <w:r>
        <w:rPr>
          <w:rFonts w:ascii="Arial" w:cs="Arial" w:eastAsia="Arial" w:hAnsi="Arial"/>
          <w:b/>
          <w:bCs/>
          <w:color w:val="333333"/>
          <w:sz w:val="22"/>
          <w:szCs w:val="22"/>
        </w:rPr>
        <w:t xml:space="preserve">No recording of PHI: </w:t>
      </w:r>
      <w:r>
        <w:rPr>
          <w:rFonts w:ascii="Arial" w:cs="Arial" w:eastAsia="Arial" w:hAnsi="Arial"/>
          <w:color w:val="333333"/>
          <w:sz w:val="22"/>
          <w:szCs w:val="22"/>
        </w:rPr>
        <w:t xml:space="preserve">Moderators are trained to interrupt and redirect any session where real personal data begins to surface.</w:t>
      </w:r>
    </w:p>
    <w:p>
      <w:pPr>
        <w:pStyle w:val="ListParagraph"/>
        <w:numPr>
          <w:ilvl w:val="0"/>
          <w:numId w:val="2"/>
        </w:numPr>
        <w:spacing w:after="40" w:before="40"/>
      </w:pPr>
      <w:r>
        <w:rPr>
          <w:rFonts w:ascii="Arial" w:cs="Arial" w:eastAsia="Arial" w:hAnsi="Arial"/>
          <w:b/>
          <w:bCs/>
          <w:color w:val="333333"/>
          <w:sz w:val="22"/>
          <w:szCs w:val="22"/>
        </w:rPr>
        <w:t xml:space="preserve">Data retention policy: </w:t>
      </w:r>
      <w:r>
        <w:rPr>
          <w:rFonts w:ascii="Arial" w:cs="Arial" w:eastAsia="Arial" w:hAnsi="Arial"/>
          <w:color w:val="333333"/>
          <w:sz w:val="22"/>
          <w:szCs w:val="22"/>
        </w:rPr>
        <w:t xml:space="preserve">Session recordings are stored in a secured, access-controlled environment and are deleted on a defined schedule per our data governance policy.</w:t>
      </w:r>
    </w:p>
    <w:p>
      <w:pPr>
        <w:spacing w:after="80" w:before="0"/>
      </w:pPr>
      <w:r>
        <w:t xml:space="preserve"/>
      </w:r>
    </w:p>
    <w:p>
      <w:pPr>
        <w:pStyle w:val="Heading2"/>
        <w:spacing w:after="80" w:before="240"/>
      </w:pPr>
      <w:r>
        <w:rPr>
          <w:rFonts w:ascii="Arial" w:cs="Arial" w:eastAsia="Arial" w:hAnsi="Arial"/>
          <w:b/>
          <w:bCs/>
          <w:color w:val="333333"/>
          <w:sz w:val="26"/>
          <w:szCs w:val="26"/>
        </w:rPr>
        <w:t xml:space="preserve">4.3  Partner Observation Setup</w:t>
      </w:r>
    </w:p>
    <w:p>
      <w:pPr>
        <w:spacing w:after="80" w:before="60"/>
      </w:pPr>
      <w:r>
        <w:rPr>
          <w:rFonts w:ascii="Arial" w:cs="Arial" w:eastAsia="Arial" w:hAnsi="Arial"/>
          <w:b w:val="false"/>
          <w:bCs w:val="false"/>
          <w:i w:val="false"/>
          <w:iCs w:val="false"/>
          <w:color w:val="333333"/>
          <w:sz w:val="22"/>
          <w:szCs w:val="22"/>
        </w:rPr>
        <w:t xml:space="preserve">We warmly invite partners to observe sessions. Seeing their members interact with the experience in real time is one of the most powerful tools for building alignment. Here is how we structure it:</w:t>
      </w:r>
    </w:p>
    <w:p>
      <w:pPr>
        <w:spacing w:after="4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Partners receive a read-only observer link via User Interviews — no moderation capability</w:t>
      </w:r>
    </w:p>
    <w:p>
      <w:pPr>
        <w:pStyle w:val="ListParagraph"/>
        <w:numPr>
          <w:ilvl w:val="0"/>
          <w:numId w:val="2"/>
        </w:numPr>
        <w:spacing w:after="40" w:before="40"/>
      </w:pPr>
      <w:r>
        <w:rPr>
          <w:rFonts w:ascii="Arial" w:cs="Arial" w:eastAsia="Arial" w:hAnsi="Arial"/>
          <w:color w:val="333333"/>
          <w:sz w:val="22"/>
          <w:szCs w:val="22"/>
        </w:rPr>
        <w:t xml:space="preserve">A brief 15-minute partner prep call is held before the first session to set expectations</w:t>
      </w:r>
    </w:p>
    <w:p>
      <w:pPr>
        <w:pStyle w:val="ListParagraph"/>
        <w:numPr>
          <w:ilvl w:val="0"/>
          <w:numId w:val="2"/>
        </w:numPr>
        <w:spacing w:after="40" w:before="40"/>
      </w:pPr>
      <w:r>
        <w:rPr>
          <w:rFonts w:ascii="Arial" w:cs="Arial" w:eastAsia="Arial" w:hAnsi="Arial"/>
          <w:color w:val="333333"/>
          <w:sz w:val="22"/>
          <w:szCs w:val="22"/>
        </w:rPr>
        <w:t xml:space="preserve">Partners are asked to hold questions and comments until a post-session debrief (15–20 minutes)</w:t>
      </w:r>
    </w:p>
    <w:p>
      <w:pPr>
        <w:pStyle w:val="ListParagraph"/>
        <w:numPr>
          <w:ilvl w:val="0"/>
          <w:numId w:val="2"/>
        </w:numPr>
        <w:spacing w:after="40" w:before="40"/>
      </w:pPr>
      <w:r>
        <w:rPr>
          <w:rFonts w:ascii="Arial" w:cs="Arial" w:eastAsia="Arial" w:hAnsi="Arial"/>
          <w:color w:val="333333"/>
          <w:sz w:val="22"/>
          <w:szCs w:val="22"/>
        </w:rPr>
        <w:t xml:space="preserve">Partners may request to review up to 3 session recordings post-series under a signed data review agreement</w:t>
      </w:r>
    </w:p>
    <w:p>
      <w:pPr>
        <w:pStyle w:val="ListParagraph"/>
        <w:numPr>
          <w:ilvl w:val="0"/>
          <w:numId w:val="2"/>
        </w:numPr>
        <w:spacing w:after="40" w:before="40"/>
      </w:pPr>
      <w:r>
        <w:rPr>
          <w:rFonts w:ascii="Arial" w:cs="Arial" w:eastAsia="Arial" w:hAnsi="Arial"/>
          <w:color w:val="333333"/>
          <w:sz w:val="22"/>
          <w:szCs w:val="22"/>
        </w:rPr>
        <w:t xml:space="preserve">An anonymized synthesis report is shared with partners within 5 business days of completing the full session series</w:t>
      </w:r>
    </w:p>
    <w:p>
      <w:pPr>
        <w:spacing w:after="100" w:before="0"/>
      </w:pPr>
      <w:r>
        <w:t xml:space="preserve"/>
      </w:r>
    </w:p>
    <w:p>
      <w:r>
        <w:br w:type="page"/>
      </w:r>
    </w:p>
    <w:p>
      <w:pPr>
        <w:pStyle w:val="Heading1"/>
        <w:spacing w:after="120" w:before="360"/>
      </w:pPr>
      <w:r>
        <w:rPr>
          <w:rFonts w:ascii="Arial" w:cs="Arial" w:eastAsia="Arial" w:hAnsi="Arial"/>
          <w:b/>
          <w:bCs/>
          <w:color w:val="1A7C8C"/>
          <w:sz w:val="32"/>
          <w:szCs w:val="32"/>
        </w:rPr>
        <w:t xml:space="preserve">5. Qualitative Data Pipeline</w:t>
      </w:r>
    </w:p>
    <w:p>
      <w:pPr>
        <w:spacing w:after="80" w:before="60"/>
      </w:pPr>
      <w:r>
        <w:rPr>
          <w:rFonts w:ascii="Arial" w:cs="Arial" w:eastAsia="Arial" w:hAnsi="Arial"/>
          <w:b w:val="false"/>
          <w:bCs w:val="false"/>
          <w:i w:val="false"/>
          <w:iCs w:val="false"/>
          <w:color w:val="333333"/>
          <w:sz w:val="22"/>
          <w:szCs w:val="22"/>
        </w:rPr>
        <w:t xml:space="preserve">Qualitative data only creates value when it is systematically captured, synthesized, and translated into design decisions. This section describes how insights move from a session recording to a shipped design change.</w:t>
      </w:r>
    </w:p>
    <w:p>
      <w:pPr>
        <w:spacing w:after="80" w:before="0"/>
      </w:pPr>
      <w:r>
        <w:t xml:space="preserve"/>
      </w:r>
    </w:p>
    <w:p>
      <w:pPr>
        <w:pStyle w:val="Heading2"/>
        <w:spacing w:after="80" w:before="240"/>
      </w:pPr>
      <w:r>
        <w:rPr>
          <w:rFonts w:ascii="Arial" w:cs="Arial" w:eastAsia="Arial" w:hAnsi="Arial"/>
          <w:b/>
          <w:bCs/>
          <w:color w:val="333333"/>
          <w:sz w:val="26"/>
          <w:szCs w:val="26"/>
        </w:rPr>
        <w:t xml:space="preserve">5.1  From Session to Design Decision</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5480"/>
        <w:gridCol w:w="1540"/>
      </w:tblGrid>
      <w:tr>
        <w:trPr>
          <w:tblHeader/>
        </w:trPr>
        <w:tc>
          <w:tcPr>
            <w:tcW w:type="dxa" w:w="540"/>
            <w:tcBorders>
              <w:top w:val="single" w:color="1A7C8C" w:sz="1"/>
              <w:left w:val="single" w:color="1A7C8C" w:sz="1"/>
              <w:bottom w:val="single" w:color="1A7C8C" w:sz="1"/>
              <w:right w:val="single" w:color="1A7C8C" w:sz="1"/>
            </w:tcBorders>
            <w:shd w:fill="1A7C8C" w:val="clear"/>
            <w:tcMar>
              <w:top w:type="dxa" w:w="80"/>
              <w:left w:type="dxa" w:w="100"/>
              <w:bottom w:type="dxa" w:w="80"/>
              <w:right w:type="dxa" w:w="100"/>
            </w:tcMar>
          </w:tcPr>
          <w:p>
            <w:pPr>
              <w:jc w:val="center"/>
            </w:pPr>
            <w:r>
              <w:rPr>
                <w:rFonts w:ascii="Arial" w:cs="Arial" w:eastAsia="Arial" w:hAnsi="Arial"/>
                <w:b/>
                <w:bCs/>
                <w:color w:val="FFFFFF"/>
                <w:sz w:val="21"/>
                <w:szCs w:val="21"/>
              </w:rPr>
              <w:t xml:space="preserve">#</w:t>
            </w:r>
          </w:p>
        </w:tc>
        <w:tc>
          <w:tcPr>
            <w:tcW w:type="dxa" w:w="1800"/>
            <w:tcBorders>
              <w:top w:val="single" w:color="1A7C8C" w:sz="1"/>
              <w:left w:val="single" w:color="1A7C8C" w:sz="1"/>
              <w:bottom w:val="single" w:color="1A7C8C" w:sz="1"/>
              <w:right w:val="single" w:color="1A7C8C" w:sz="1"/>
            </w:tcBorders>
            <w:shd w:fill="1A7C8C" w:val="clear"/>
            <w:tcMar>
              <w:top w:type="dxa" w:w="80"/>
              <w:left w:type="dxa" w:w="140"/>
              <w:bottom w:type="dxa" w:w="80"/>
              <w:right w:type="dxa" w:w="140"/>
            </w:tcMar>
          </w:tcPr>
          <w:p>
            <w:r>
              <w:rPr>
                <w:rFonts w:ascii="Arial" w:cs="Arial" w:eastAsia="Arial" w:hAnsi="Arial"/>
                <w:b/>
                <w:bCs/>
                <w:color w:val="FFFFFF"/>
                <w:sz w:val="21"/>
                <w:szCs w:val="21"/>
              </w:rPr>
              <w:t xml:space="preserve">Stage</w:t>
            </w:r>
          </w:p>
        </w:tc>
        <w:tc>
          <w:tcPr>
            <w:tcW w:type="dxa" w:w="5480"/>
            <w:tcBorders>
              <w:top w:val="single" w:color="1A7C8C" w:sz="1"/>
              <w:left w:val="single" w:color="1A7C8C" w:sz="1"/>
              <w:bottom w:val="single" w:color="1A7C8C" w:sz="1"/>
              <w:right w:val="single" w:color="1A7C8C" w:sz="1"/>
            </w:tcBorders>
            <w:shd w:fill="1A7C8C" w:val="clear"/>
            <w:tcMar>
              <w:top w:type="dxa" w:w="80"/>
              <w:left w:type="dxa" w:w="140"/>
              <w:bottom w:type="dxa" w:w="80"/>
              <w:right w:type="dxa" w:w="140"/>
            </w:tcMar>
          </w:tcPr>
          <w:p>
            <w:r>
              <w:rPr>
                <w:rFonts w:ascii="Arial" w:cs="Arial" w:eastAsia="Arial" w:hAnsi="Arial"/>
                <w:b/>
                <w:bCs/>
                <w:color w:val="FFFFFF"/>
                <w:sz w:val="21"/>
                <w:szCs w:val="21"/>
              </w:rPr>
              <w:t xml:space="preserve">Activity</w:t>
            </w:r>
          </w:p>
        </w:tc>
        <w:tc>
          <w:tcPr>
            <w:tcW w:type="dxa" w:w="1540"/>
            <w:tcBorders>
              <w:top w:val="single" w:color="1A7C8C" w:sz="1"/>
              <w:left w:val="single" w:color="1A7C8C" w:sz="1"/>
              <w:bottom w:val="single" w:color="1A7C8C" w:sz="1"/>
              <w:right w:val="single" w:color="1A7C8C" w:sz="1"/>
            </w:tcBorders>
            <w:shd w:fill="1A7C8C" w:val="clear"/>
            <w:tcMar>
              <w:top w:type="dxa" w:w="80"/>
              <w:left w:type="dxa" w:w="140"/>
              <w:bottom w:type="dxa" w:w="80"/>
              <w:right w:type="dxa" w:w="140"/>
            </w:tcMar>
          </w:tcPr>
          <w:p>
            <w:r>
              <w:rPr>
                <w:rFonts w:ascii="Arial" w:cs="Arial" w:eastAsia="Arial" w:hAnsi="Arial"/>
                <w:b/>
                <w:bCs/>
                <w:color w:val="FFFFFF"/>
                <w:sz w:val="21"/>
                <w:szCs w:val="21"/>
              </w:rPr>
              <w:t xml:space="preserve">Timeline</w:t>
            </w:r>
          </w:p>
        </w:tc>
      </w:tr>
      <w:tr>
        <w:tc>
          <w:tcPr>
            <w:tcW w:type="dxa" w:w="540"/>
            <w:tcBorders>
              <w:top w:val="single" w:color="CCCCCC" w:sz="1"/>
              <w:left w:val="single" w:color="CCCCCC" w:sz="1"/>
              <w:bottom w:val="single" w:color="CCCCCC" w:sz="1"/>
              <w:right w:val="single" w:color="CCCCCC" w:sz="1"/>
            </w:tcBorders>
            <w:shd w:fill="E6F4F6"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1</w:t>
            </w:r>
          </w:p>
        </w:tc>
        <w:tc>
          <w:tcPr>
            <w:tcW w:type="dxa" w:w="18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b/>
                <w:bCs/>
                <w:color w:val="333333"/>
                <w:sz w:val="21"/>
                <w:szCs w:val="21"/>
              </w:rPr>
              <w:t xml:space="preserve">Session Capture</w:t>
            </w:r>
          </w:p>
        </w:tc>
        <w:tc>
          <w:tcPr>
            <w:tcW w:type="dxa" w:w="548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Moderated and unmoderated sessions recorded and tagged in User Interviews. Moderator takes live notes on key moments, friction points, and notable quotes.</w:t>
            </w:r>
          </w:p>
        </w:tc>
        <w:tc>
          <w:tcPr>
            <w:tcW w:type="dxa" w:w="1540"/>
            <w:tcBorders>
              <w:top w:val="single" w:color="CCCCCC" w:sz="1"/>
              <w:left w:val="single" w:color="CCCCCC" w:sz="1"/>
              <w:bottom w:val="single" w:color="CCCCCC" w:sz="1"/>
              <w:right w:val="single" w:color="CCCCCC" w:sz="1"/>
            </w:tcBorders>
            <w:shd w:fill="E6F4F6" w:val="clear"/>
            <w:tcMar>
              <w:top w:type="dxa" w:w="80"/>
              <w:left w:type="dxa" w:w="100"/>
              <w:bottom w:type="dxa" w:w="80"/>
              <w:right w:type="dxa" w:w="100"/>
            </w:tcMar>
          </w:tcPr>
          <w:p>
            <w:r>
              <w:rPr>
                <w:rFonts w:ascii="Arial" w:cs="Arial" w:eastAsia="Arial" w:hAnsi="Arial"/>
                <w:i/>
                <w:iCs/>
                <w:color w:val="666666"/>
                <w:sz w:val="20"/>
                <w:szCs w:val="20"/>
              </w:rPr>
              <w:t xml:space="preserve">During sessions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Debrief</w:t>
            </w:r>
          </w:p>
        </w:tc>
        <w:tc>
          <w:tcPr>
            <w:tcW w:type="dxa" w:w="5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30-minute team debrief within 24 hours of each session. Immediate observations captured before memory decays.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666666"/>
                <w:sz w:val="20"/>
                <w:szCs w:val="20"/>
              </w:rPr>
              <w:t xml:space="preserve">Within 24 hrs</w:t>
            </w:r>
          </w:p>
        </w:tc>
      </w:tr>
      <w:tr>
        <w:tc>
          <w:tcPr>
            <w:tcW w:type="dxa" w:w="540"/>
            <w:tcBorders>
              <w:top w:val="single" w:color="CCCCCC" w:sz="1"/>
              <w:left w:val="single" w:color="CCCCCC" w:sz="1"/>
              <w:bottom w:val="single" w:color="CCCCCC" w:sz="1"/>
              <w:right w:val="single" w:color="CCCCCC" w:sz="1"/>
            </w:tcBorders>
            <w:shd w:fill="E6F4F6"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3</w:t>
            </w:r>
          </w:p>
        </w:tc>
        <w:tc>
          <w:tcPr>
            <w:tcW w:type="dxa" w:w="18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b/>
                <w:bCs/>
                <w:color w:val="333333"/>
                <w:sz w:val="21"/>
                <w:szCs w:val="21"/>
              </w:rPr>
              <w:t xml:space="preserve">Affinity Mapping</w:t>
            </w:r>
          </w:p>
        </w:tc>
        <w:tc>
          <w:tcPr>
            <w:tcW w:type="dxa" w:w="548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All observations transferred to a synthesis board (Miro). Clustered by theme across participants. Patterns identified by frequency and severity.</w:t>
            </w:r>
          </w:p>
        </w:tc>
        <w:tc>
          <w:tcPr>
            <w:tcW w:type="dxa" w:w="1540"/>
            <w:tcBorders>
              <w:top w:val="single" w:color="CCCCCC" w:sz="1"/>
              <w:left w:val="single" w:color="CCCCCC" w:sz="1"/>
              <w:bottom w:val="single" w:color="CCCCCC" w:sz="1"/>
              <w:right w:val="single" w:color="CCCCCC" w:sz="1"/>
            </w:tcBorders>
            <w:shd w:fill="E6F4F6" w:val="clear"/>
            <w:tcMar>
              <w:top w:type="dxa" w:w="80"/>
              <w:left w:type="dxa" w:w="100"/>
              <w:bottom w:type="dxa" w:w="80"/>
              <w:right w:type="dxa" w:w="100"/>
            </w:tcMar>
          </w:tcPr>
          <w:p>
            <w:r>
              <w:rPr>
                <w:rFonts w:ascii="Arial" w:cs="Arial" w:eastAsia="Arial" w:hAnsi="Arial"/>
                <w:i/>
                <w:iCs/>
                <w:color w:val="666666"/>
                <w:sz w:val="20"/>
                <w:szCs w:val="20"/>
              </w:rPr>
              <w:t xml:space="preserve">Days 1–3 post-series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Insight Extraction</w:t>
            </w:r>
          </w:p>
        </w:tc>
        <w:tc>
          <w:tcPr>
            <w:tcW w:type="dxa" w:w="5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Top themes distilled into insight statements: 'Members struggled with X because Y.' Each insight tagged to the relevant evaluation dimension.</w:t>
            </w:r>
          </w:p>
        </w:tc>
        <w:tc>
          <w:tcPr>
            <w:tcW w:type="dxa" w:w="1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666666"/>
                <w:sz w:val="20"/>
                <w:szCs w:val="20"/>
              </w:rPr>
              <w:t xml:space="preserve">Days 3–5 post-series</w:t>
            </w:r>
          </w:p>
        </w:tc>
      </w:tr>
      <w:tr>
        <w:tc>
          <w:tcPr>
            <w:tcW w:type="dxa" w:w="540"/>
            <w:tcBorders>
              <w:top w:val="single" w:color="CCCCCC" w:sz="1"/>
              <w:left w:val="single" w:color="CCCCCC" w:sz="1"/>
              <w:bottom w:val="single" w:color="CCCCCC" w:sz="1"/>
              <w:right w:val="single" w:color="CCCCCC" w:sz="1"/>
            </w:tcBorders>
            <w:shd w:fill="E6F4F6"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5</w:t>
            </w:r>
          </w:p>
        </w:tc>
        <w:tc>
          <w:tcPr>
            <w:tcW w:type="dxa" w:w="18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b/>
                <w:bCs/>
                <w:color w:val="333333"/>
                <w:sz w:val="21"/>
                <w:szCs w:val="21"/>
              </w:rPr>
              <w:t xml:space="preserve">Design Implication</w:t>
            </w:r>
          </w:p>
        </w:tc>
        <w:tc>
          <w:tcPr>
            <w:tcW w:type="dxa" w:w="548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Each insight mapped to a design recommendation. Prioritized by impact vs. effort. Presented to product and design team.</w:t>
            </w:r>
          </w:p>
        </w:tc>
        <w:tc>
          <w:tcPr>
            <w:tcW w:type="dxa" w:w="1540"/>
            <w:tcBorders>
              <w:top w:val="single" w:color="CCCCCC" w:sz="1"/>
              <w:left w:val="single" w:color="CCCCCC" w:sz="1"/>
              <w:bottom w:val="single" w:color="CCCCCC" w:sz="1"/>
              <w:right w:val="single" w:color="CCCCCC" w:sz="1"/>
            </w:tcBorders>
            <w:shd w:fill="E6F4F6" w:val="clear"/>
            <w:tcMar>
              <w:top w:type="dxa" w:w="80"/>
              <w:left w:type="dxa" w:w="100"/>
              <w:bottom w:type="dxa" w:w="80"/>
              <w:right w:type="dxa" w:w="100"/>
            </w:tcMar>
          </w:tcPr>
          <w:p>
            <w:r>
              <w:rPr>
                <w:rFonts w:ascii="Arial" w:cs="Arial" w:eastAsia="Arial" w:hAnsi="Arial"/>
                <w:i/>
                <w:iCs/>
                <w:color w:val="666666"/>
                <w:sz w:val="20"/>
                <w:szCs w:val="20"/>
              </w:rPr>
              <w:t xml:space="preserve">Days 5–7 post-series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Decision Log</w:t>
            </w:r>
          </w:p>
        </w:tc>
        <w:tc>
          <w:tcPr>
            <w:tcW w:type="dxa" w:w="5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All design decisions made as a result of testing recorded in a shared Decision Log. Links insight → design change → version shipped.</w:t>
            </w:r>
          </w:p>
        </w:tc>
        <w:tc>
          <w:tcPr>
            <w:tcW w:type="dxa" w:w="1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666666"/>
                <w:sz w:val="20"/>
                <w:szCs w:val="20"/>
              </w:rPr>
              <w:t xml:space="preserve">Ongoing</w:t>
            </w:r>
          </w:p>
        </w:tc>
      </w:tr>
      <w:tr>
        <w:tc>
          <w:tcPr>
            <w:tcW w:type="dxa" w:w="540"/>
            <w:tcBorders>
              <w:top w:val="single" w:color="CCCCCC" w:sz="1"/>
              <w:left w:val="single" w:color="CCCCCC" w:sz="1"/>
              <w:bottom w:val="single" w:color="CCCCCC" w:sz="1"/>
              <w:right w:val="single" w:color="CCCCCC" w:sz="1"/>
            </w:tcBorders>
            <w:shd w:fill="E6F4F6"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7</w:t>
            </w:r>
          </w:p>
        </w:tc>
        <w:tc>
          <w:tcPr>
            <w:tcW w:type="dxa" w:w="18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b/>
                <w:bCs/>
                <w:color w:val="333333"/>
                <w:sz w:val="21"/>
                <w:szCs w:val="21"/>
              </w:rPr>
              <w:t xml:space="preserve">Partner Report</w:t>
            </w:r>
          </w:p>
        </w:tc>
        <w:tc>
          <w:tcPr>
            <w:tcW w:type="dxa" w:w="548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Anonymized synthesis report delivered to partner. Includes themes, direct (de-identified) quotes, and high-level design implications.</w:t>
            </w:r>
          </w:p>
        </w:tc>
        <w:tc>
          <w:tcPr>
            <w:tcW w:type="dxa" w:w="1540"/>
            <w:tcBorders>
              <w:top w:val="single" w:color="CCCCCC" w:sz="1"/>
              <w:left w:val="single" w:color="CCCCCC" w:sz="1"/>
              <w:bottom w:val="single" w:color="CCCCCC" w:sz="1"/>
              <w:right w:val="single" w:color="CCCCCC" w:sz="1"/>
            </w:tcBorders>
            <w:shd w:fill="E6F4F6" w:val="clear"/>
            <w:tcMar>
              <w:top w:type="dxa" w:w="80"/>
              <w:left w:type="dxa" w:w="100"/>
              <w:bottom w:type="dxa" w:w="80"/>
              <w:right w:type="dxa" w:w="100"/>
            </w:tcMar>
          </w:tcPr>
          <w:p>
            <w:r>
              <w:rPr>
                <w:rFonts w:ascii="Arial" w:cs="Arial" w:eastAsia="Arial" w:hAnsi="Arial"/>
                <w:i/>
                <w:iCs/>
                <w:color w:val="666666"/>
                <w:sz w:val="20"/>
                <w:szCs w:val="20"/>
              </w:rPr>
              <w:t xml:space="preserve">5 business days post-series</w:t>
            </w:r>
          </w:p>
        </w:tc>
      </w:tr>
    </w:tbl>
    <w:p>
      <w:pPr>
        <w:spacing w:after="100" w:before="0"/>
      </w:pPr>
      <w:r>
        <w:t xml:space="preserve"/>
      </w:r>
    </w:p>
    <w:p>
      <w:r>
        <w:br w:type="page"/>
      </w:r>
    </w:p>
    <w:p>
      <w:pPr>
        <w:pStyle w:val="Heading1"/>
        <w:spacing w:after="120" w:before="360"/>
      </w:pPr>
      <w:r>
        <w:rPr>
          <w:rFonts w:ascii="Arial" w:cs="Arial" w:eastAsia="Arial" w:hAnsi="Arial"/>
          <w:b/>
          <w:bCs/>
          <w:color w:val="1A7C8C"/>
          <w:sz w:val="32"/>
          <w:szCs w:val="32"/>
        </w:rPr>
        <w:t xml:space="preserve">6. Beta Rollout Plan</w:t>
      </w:r>
    </w:p>
    <w:p>
      <w:pPr>
        <w:spacing w:after="80" w:before="60"/>
      </w:pPr>
      <w:r>
        <w:rPr>
          <w:rFonts w:ascii="Arial" w:cs="Arial" w:eastAsia="Arial" w:hAnsi="Arial"/>
          <w:b w:val="false"/>
          <w:bCs w:val="false"/>
          <w:i w:val="false"/>
          <w:iCs w:val="false"/>
          <w:color w:val="333333"/>
          <w:sz w:val="22"/>
          <w:szCs w:val="22"/>
        </w:rPr>
        <w:t xml:space="preserve">After moderated and unmoderated testing informs a redesigned experience, we do not ship immediately to the full member base. Instead, we run a phased beta rollout that validates adoptability in the real product environment before expanding.</w:t>
      </w:r>
    </w:p>
    <w:p>
      <w:pPr>
        <w:spacing w:after="80" w:before="0"/>
      </w:pPr>
      <w:r>
        <w:t xml:space="preserve"/>
      </w:r>
    </w:p>
    <w:p>
      <w:pPr>
        <w:pStyle w:val="Heading2"/>
        <w:spacing w:after="80" w:before="240"/>
      </w:pPr>
      <w:r>
        <w:rPr>
          <w:rFonts w:ascii="Arial" w:cs="Arial" w:eastAsia="Arial" w:hAnsi="Arial"/>
          <w:b/>
          <w:bCs/>
          <w:color w:val="333333"/>
          <w:sz w:val="26"/>
          <w:szCs w:val="26"/>
        </w:rPr>
        <w:t xml:space="preserve">6.1  Rollout Tiers</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240"/>
        <w:gridCol w:w="3240"/>
      </w:tblGrid>
      <w:tr>
        <w:trPr>
          <w:tblHeader/>
        </w:trPr>
        <w:tc>
          <w:tcPr>
            <w:tcW w:type="dxa" w:w="1440"/>
            <w:tcBorders>
              <w:top w:val="single" w:color="1A7C8C" w:sz="1"/>
              <w:left w:val="single" w:color="1A7C8C" w:sz="1"/>
              <w:bottom w:val="single" w:color="1A7C8C" w:sz="1"/>
              <w:right w:val="single" w:color="1A7C8C" w:sz="1"/>
            </w:tcBorders>
            <w:shd w:fill="1A7C8C"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1440"/>
            <w:tcBorders>
              <w:top w:val="single" w:color="1A7C8C" w:sz="1"/>
              <w:left w:val="single" w:color="1A7C8C" w:sz="1"/>
              <w:bottom w:val="single" w:color="1A7C8C" w:sz="1"/>
              <w:right w:val="single" w:color="1A7C8C" w:sz="1"/>
            </w:tcBorders>
            <w:shd w:fill="1A7C8C" w:val="clear"/>
            <w:tcMar>
              <w:top w:type="dxa" w:w="80"/>
              <w:left w:type="dxa" w:w="120"/>
              <w:bottom w:type="dxa" w:w="80"/>
              <w:right w:type="dxa" w:w="120"/>
            </w:tcMar>
          </w:tcPr>
          <w:p>
            <w:r>
              <w:rPr>
                <w:rFonts w:ascii="Arial" w:cs="Arial" w:eastAsia="Arial" w:hAnsi="Arial"/>
                <w:b/>
                <w:bCs/>
                <w:color w:val="FFFFFF"/>
                <w:sz w:val="21"/>
                <w:szCs w:val="21"/>
              </w:rPr>
              <w:t xml:space="preserve">Audience</w:t>
            </w:r>
          </w:p>
        </w:tc>
        <w:tc>
          <w:tcPr>
            <w:tcW w:type="dxa" w:w="3240"/>
            <w:tcBorders>
              <w:top w:val="single" w:color="1A7C8C" w:sz="1"/>
              <w:left w:val="single" w:color="1A7C8C" w:sz="1"/>
              <w:bottom w:val="single" w:color="1A7C8C" w:sz="1"/>
              <w:right w:val="single" w:color="1A7C8C" w:sz="1"/>
            </w:tcBorders>
            <w:shd w:fill="1A7C8C" w:val="clear"/>
            <w:tcMar>
              <w:top w:type="dxa" w:w="80"/>
              <w:left w:type="dxa" w:w="140"/>
              <w:bottom w:type="dxa" w:w="80"/>
              <w:right w:type="dxa" w:w="140"/>
            </w:tcMar>
          </w:tcPr>
          <w:p>
            <w:r>
              <w:rPr>
                <w:rFonts w:ascii="Arial" w:cs="Arial" w:eastAsia="Arial" w:hAnsi="Arial"/>
                <w:b/>
                <w:bCs/>
                <w:color w:val="FFFFFF"/>
                <w:sz w:val="21"/>
                <w:szCs w:val="21"/>
              </w:rPr>
              <w:t xml:space="preserve">Go Criteria</w:t>
            </w:r>
          </w:p>
        </w:tc>
        <w:tc>
          <w:tcPr>
            <w:tcW w:type="dxa" w:w="3240"/>
            <w:tcBorders>
              <w:top w:val="single" w:color="1A7C8C" w:sz="1"/>
              <w:left w:val="single" w:color="1A7C8C" w:sz="1"/>
              <w:bottom w:val="single" w:color="1A7C8C" w:sz="1"/>
              <w:right w:val="single" w:color="1A7C8C" w:sz="1"/>
            </w:tcBorders>
            <w:shd w:fill="1A7C8C" w:val="clear"/>
            <w:tcMar>
              <w:top w:type="dxa" w:w="80"/>
              <w:left w:type="dxa" w:w="140"/>
              <w:bottom w:type="dxa" w:w="80"/>
              <w:right w:type="dxa" w:w="140"/>
            </w:tcMar>
          </w:tcPr>
          <w:p>
            <w:r>
              <w:rPr>
                <w:rFonts w:ascii="Arial" w:cs="Arial" w:eastAsia="Arial" w:hAnsi="Arial"/>
                <w:b/>
                <w:bCs/>
                <w:color w:val="FFFFFF"/>
                <w:sz w:val="21"/>
                <w:szCs w:val="21"/>
              </w:rPr>
              <w:t xml:space="preserve">No-Go Triggers</w:t>
            </w:r>
          </w:p>
        </w:tc>
      </w:tr>
      <w:tr>
        <w:tc>
          <w:tcPr>
            <w:tcW w:type="dxa" w:w="1440"/>
            <w:tcBorders>
              <w:top w:val="single" w:color="CCCCCC" w:sz="1"/>
              <w:left w:val="single" w:color="CCCCCC" w:sz="1"/>
              <w:bottom w:val="single" w:color="CCCCCC" w:sz="1"/>
              <w:right w:val="single" w:color="CCCCCC" w:sz="1"/>
            </w:tcBorders>
            <w:shd w:fill="E6F4F6" w:val="clear"/>
            <w:tcMar>
              <w:top w:type="dxa" w:w="80"/>
              <w:left w:type="dxa" w:w="120"/>
              <w:bottom w:type="dxa" w:w="80"/>
              <w:right w:type="dxa" w:w="120"/>
            </w:tcMar>
          </w:tcPr>
          <w:p>
            <w:r>
              <w:rPr>
                <w:rFonts w:ascii="Arial" w:cs="Arial" w:eastAsia="Arial" w:hAnsi="Arial"/>
                <w:b/>
                <w:bCs/>
                <w:color w:val="1A7C8C"/>
                <w:sz w:val="21"/>
                <w:szCs w:val="21"/>
              </w:rPr>
              <w:t xml:space="preserve">Soft Launch</w:t>
            </w:r>
          </w:p>
        </w:tc>
        <w:tc>
          <w:tcPr>
            <w:tcW w:type="dxa" w:w="1440"/>
            <w:tcBorders>
              <w:top w:val="single" w:color="CCCCCC" w:sz="1"/>
              <w:left w:val="single" w:color="CCCCCC" w:sz="1"/>
              <w:bottom w:val="single" w:color="CCCCCC" w:sz="1"/>
              <w:right w:val="single" w:color="CCCCCC" w:sz="1"/>
            </w:tcBorders>
            <w:shd w:fill="E6F4F6" w:val="clear"/>
            <w:tcMar>
              <w:top w:type="dxa" w:w="80"/>
              <w:left w:type="dxa" w:w="120"/>
              <w:bottom w:type="dxa" w:w="80"/>
              <w:right w:type="dxa" w:w="120"/>
            </w:tcMar>
          </w:tcPr>
          <w:p>
            <w:r>
              <w:rPr>
                <w:rFonts w:ascii="Arial" w:cs="Arial" w:eastAsia="Arial" w:hAnsi="Arial"/>
                <w:color w:val="333333"/>
                <w:sz w:val="21"/>
                <w:szCs w:val="21"/>
              </w:rPr>
              <w:t xml:space="preserve">~5% of eligible members</w:t>
            </w:r>
          </w:p>
        </w:tc>
        <w:tc>
          <w:tcPr>
            <w:tcW w:type="dxa" w:w="324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tcPr>
          <w:p>
            <w:r>
              <w:rPr>
                <w:rFonts w:ascii="Arial" w:cs="Arial" w:eastAsia="Arial" w:hAnsi="Arial"/>
                <w:color w:val="333333"/>
                <w:sz w:val="20"/>
                <w:szCs w:val="20"/>
              </w:rPr>
              <w:t xml:space="preserve">No critical usability blockers from testing; design team sign-off; partner approved</w:t>
            </w:r>
          </w:p>
        </w:tc>
        <w:tc>
          <w:tcPr>
            <w:tcW w:type="dxa" w:w="3240"/>
            <w:tcBorders>
              <w:top w:val="single" w:color="CCCCCC" w:sz="1"/>
              <w:left w:val="single" w:color="CCCCCC" w:sz="1"/>
              <w:bottom w:val="single" w:color="CCCCCC" w:sz="1"/>
              <w:right w:val="single" w:color="CCCCCC" w:sz="1"/>
            </w:tcBorders>
            <w:shd w:fill="FDF1E3" w:val="clear"/>
            <w:tcMar>
              <w:top w:type="dxa" w:w="80"/>
              <w:left w:type="dxa" w:w="140"/>
              <w:bottom w:type="dxa" w:w="80"/>
              <w:right w:type="dxa" w:w="140"/>
            </w:tcMar>
          </w:tcPr>
          <w:p>
            <w:r>
              <w:rPr>
                <w:rFonts w:ascii="Arial" w:cs="Arial" w:eastAsia="Arial" w:hAnsi="Arial"/>
                <w:color w:val="333333"/>
                <w:sz w:val="20"/>
                <w:szCs w:val="20"/>
              </w:rPr>
              <w:t xml:space="preserve">Assessment completion rate drops &gt;15% vs. baseline; care manager handoff errors; critical support volume spike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C8C"/>
                <w:sz w:val="21"/>
                <w:szCs w:val="21"/>
              </w:rPr>
              <w:t xml:space="preserve">Expanded Beta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~20% of eligible members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Soft launch metrics stable for 2 weeks; no new critical bugs; synthesis team review complete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NPS drops vs. control; unexpected drop-off patterns emerge; data integrity concerns raised</w:t>
            </w:r>
          </w:p>
        </w:tc>
      </w:tr>
      <w:tr>
        <w:tc>
          <w:tcPr>
            <w:tcW w:type="dxa" w:w="1440"/>
            <w:tcBorders>
              <w:top w:val="single" w:color="CCCCCC" w:sz="1"/>
              <w:left w:val="single" w:color="CCCCCC" w:sz="1"/>
              <w:bottom w:val="single" w:color="CCCCCC" w:sz="1"/>
              <w:right w:val="single" w:color="CCCCCC" w:sz="1"/>
            </w:tcBorders>
            <w:shd w:fill="E6F4F6" w:val="clear"/>
            <w:tcMar>
              <w:top w:type="dxa" w:w="80"/>
              <w:left w:type="dxa" w:w="120"/>
              <w:bottom w:type="dxa" w:w="80"/>
              <w:right w:type="dxa" w:w="120"/>
            </w:tcMar>
          </w:tcPr>
          <w:p>
            <w:r>
              <w:rPr>
                <w:rFonts w:ascii="Arial" w:cs="Arial" w:eastAsia="Arial" w:hAnsi="Arial"/>
                <w:b/>
                <w:bCs/>
                <w:color w:val="1A7C8C"/>
                <w:sz w:val="21"/>
                <w:szCs w:val="21"/>
              </w:rPr>
              <w:t xml:space="preserve">Full Rollout</w:t>
            </w:r>
          </w:p>
        </w:tc>
        <w:tc>
          <w:tcPr>
            <w:tcW w:type="dxa" w:w="1440"/>
            <w:tcBorders>
              <w:top w:val="single" w:color="CCCCCC" w:sz="1"/>
              <w:left w:val="single" w:color="CCCCCC" w:sz="1"/>
              <w:bottom w:val="single" w:color="CCCCCC" w:sz="1"/>
              <w:right w:val="single" w:color="CCCCCC" w:sz="1"/>
            </w:tcBorders>
            <w:shd w:fill="E6F4F6" w:val="clear"/>
            <w:tcMar>
              <w:top w:type="dxa" w:w="80"/>
              <w:left w:type="dxa" w:w="120"/>
              <w:bottom w:type="dxa" w:w="80"/>
              <w:right w:type="dxa" w:w="120"/>
            </w:tcMar>
          </w:tcPr>
          <w:p>
            <w:r>
              <w:rPr>
                <w:rFonts w:ascii="Arial" w:cs="Arial" w:eastAsia="Arial" w:hAnsi="Arial"/>
                <w:color w:val="333333"/>
                <w:sz w:val="21"/>
                <w:szCs w:val="21"/>
              </w:rPr>
              <w:t xml:space="preserve">100% of eligible members</w:t>
            </w:r>
          </w:p>
        </w:tc>
        <w:tc>
          <w:tcPr>
            <w:tcW w:type="dxa" w:w="3240"/>
            <w:tcBorders>
              <w:top w:val="single" w:color="CCCCCC" w:sz="1"/>
              <w:left w:val="single" w:color="CCCCCC" w:sz="1"/>
              <w:bottom w:val="single" w:color="CCCCCC" w:sz="1"/>
              <w:right w:val="single" w:color="CCCCCC" w:sz="1"/>
            </w:tcBorders>
            <w:shd w:fill="E6F4EE" w:val="clear"/>
            <w:tcMar>
              <w:top w:type="dxa" w:w="80"/>
              <w:left w:type="dxa" w:w="140"/>
              <w:bottom w:type="dxa" w:w="80"/>
              <w:right w:type="dxa" w:w="140"/>
            </w:tcMar>
          </w:tcPr>
          <w:p>
            <w:r>
              <w:rPr>
                <w:rFonts w:ascii="Arial" w:cs="Arial" w:eastAsia="Arial" w:hAnsi="Arial"/>
                <w:color w:val="333333"/>
                <w:sz w:val="20"/>
                <w:szCs w:val="20"/>
              </w:rPr>
              <w:t xml:space="preserve">Expanded beta stable for 2–4 weeks; all priority design changes shipped; partner sign-off received</w:t>
            </w:r>
          </w:p>
        </w:tc>
        <w:tc>
          <w:tcPr>
            <w:tcW w:type="dxa" w:w="3240"/>
            <w:tcBorders>
              <w:top w:val="single" w:color="CCCCCC" w:sz="1"/>
              <w:left w:val="single" w:color="CCCCCC" w:sz="1"/>
              <w:bottom w:val="single" w:color="CCCCCC" w:sz="1"/>
              <w:right w:val="single" w:color="CCCCCC" w:sz="1"/>
            </w:tcBorders>
            <w:shd w:fill="FDF1E3" w:val="clear"/>
            <w:tcMar>
              <w:top w:type="dxa" w:w="80"/>
              <w:left w:type="dxa" w:w="140"/>
              <w:bottom w:type="dxa" w:w="80"/>
              <w:right w:type="dxa" w:w="140"/>
            </w:tcMar>
          </w:tcPr>
          <w:p>
            <w:r>
              <w:rPr>
                <w:rFonts w:ascii="Arial" w:cs="Arial" w:eastAsia="Arial" w:hAnsi="Arial"/>
                <w:color w:val="333333"/>
                <w:sz w:val="20"/>
                <w:szCs w:val="20"/>
              </w:rPr>
              <w:t xml:space="preserve">Any unresolved P1 bugs; partner data or compliance concern outstanding</w:t>
            </w:r>
          </w:p>
        </w:tc>
      </w:tr>
    </w:tbl>
    <w:p>
      <w:pPr>
        <w:spacing w:after="100" w:before="0"/>
      </w:pPr>
      <w:r>
        <w:t xml:space="preserve"/>
      </w:r>
    </w:p>
    <w:p>
      <w:r>
        <w:br w:type="page"/>
      </w:r>
    </w:p>
    <w:p>
      <w:pPr>
        <w:pStyle w:val="Heading1"/>
        <w:spacing w:after="120" w:before="360"/>
      </w:pPr>
      <w:r>
        <w:rPr>
          <w:rFonts w:ascii="Arial" w:cs="Arial" w:eastAsia="Arial" w:hAnsi="Arial"/>
          <w:b/>
          <w:bCs/>
          <w:color w:val="1A7C8C"/>
          <w:sz w:val="32"/>
          <w:szCs w:val="32"/>
        </w:rPr>
        <w:t xml:space="preserve">7. Longitudinal Testing Plan</w:t>
      </w:r>
    </w:p>
    <w:p>
      <w:pPr>
        <w:spacing w:after="80" w:before="60"/>
      </w:pPr>
      <w:r>
        <w:rPr>
          <w:rFonts w:ascii="Arial" w:cs="Arial" w:eastAsia="Arial" w:hAnsi="Arial"/>
          <w:b w:val="false"/>
          <w:bCs w:val="false"/>
          <w:i w:val="false"/>
          <w:iCs w:val="false"/>
          <w:color w:val="333333"/>
          <w:sz w:val="22"/>
          <w:szCs w:val="22"/>
        </w:rPr>
        <w:t xml:space="preserve">Because we are building a long-term health journey — not a one-time transaction — a single round of testing is not sufficient. Members need to feel the value of the experience over time. We will embed lightweight touchpoints to continuously capture signal.</w:t>
      </w:r>
    </w:p>
    <w:p>
      <w:pPr>
        <w:spacing w:after="60" w:before="0"/>
      </w:pPr>
      <w:r>
        <w:t xml:space="preserve"/>
      </w:r>
    </w:p>
    <w:p>
      <w:pPr>
        <w:pStyle w:val="Heading2"/>
        <w:spacing w:after="80" w:before="240"/>
      </w:pPr>
      <w:r>
        <w:rPr>
          <w:rFonts w:ascii="Arial" w:cs="Arial" w:eastAsia="Arial" w:hAnsi="Arial"/>
          <w:b/>
          <w:bCs/>
          <w:color w:val="333333"/>
          <w:sz w:val="26"/>
          <w:szCs w:val="26"/>
        </w:rPr>
        <w:t xml:space="preserve">7.1  Touchpoint Schedule</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80"/>
        <w:gridCol w:w="2720"/>
        <w:gridCol w:w="2720"/>
      </w:tblGrid>
      <w:tr>
        <w:trPr>
          <w:tblHeader/>
        </w:trPr>
        <w:tc>
          <w:tcPr>
            <w:tcW w:type="dxa" w:w="1440"/>
            <w:tcBorders>
              <w:top w:val="single" w:color="1A7C8C" w:sz="1"/>
              <w:left w:val="single" w:color="1A7C8C" w:sz="1"/>
              <w:bottom w:val="single" w:color="1A7C8C" w:sz="1"/>
              <w:right w:val="single" w:color="1A7C8C" w:sz="1"/>
            </w:tcBorders>
            <w:shd w:fill="1A7C8C" w:val="clear"/>
            <w:tcMar>
              <w:top w:type="dxa" w:w="80"/>
              <w:left w:type="dxa" w:w="120"/>
              <w:bottom w:type="dxa" w:w="80"/>
              <w:right w:type="dxa" w:w="120"/>
            </w:tcMar>
          </w:tcPr>
          <w:p>
            <w:r>
              <w:rPr>
                <w:rFonts w:ascii="Arial" w:cs="Arial" w:eastAsia="Arial" w:hAnsi="Arial"/>
                <w:b/>
                <w:bCs/>
                <w:color w:val="FFFFFF"/>
                <w:sz w:val="21"/>
                <w:szCs w:val="21"/>
              </w:rPr>
              <w:t xml:space="preserve">Touchpoint</w:t>
            </w:r>
          </w:p>
        </w:tc>
        <w:tc>
          <w:tcPr>
            <w:tcW w:type="dxa" w:w="2480"/>
            <w:tcBorders>
              <w:top w:val="single" w:color="1A7C8C" w:sz="1"/>
              <w:left w:val="single" w:color="1A7C8C" w:sz="1"/>
              <w:bottom w:val="single" w:color="1A7C8C" w:sz="1"/>
              <w:right w:val="single" w:color="1A7C8C" w:sz="1"/>
            </w:tcBorders>
            <w:shd w:fill="1A7C8C" w:val="clear"/>
            <w:tcMar>
              <w:top w:type="dxa" w:w="80"/>
              <w:left w:type="dxa" w:w="140"/>
              <w:bottom w:type="dxa" w:w="80"/>
              <w:right w:type="dxa" w:w="140"/>
            </w:tcMar>
          </w:tcPr>
          <w:p>
            <w:r>
              <w:rPr>
                <w:rFonts w:ascii="Arial" w:cs="Arial" w:eastAsia="Arial" w:hAnsi="Arial"/>
                <w:b/>
                <w:bCs/>
                <w:color w:val="FFFFFF"/>
                <w:sz w:val="21"/>
                <w:szCs w:val="21"/>
              </w:rPr>
              <w:t xml:space="preserve">Method</w:t>
            </w:r>
          </w:p>
        </w:tc>
        <w:tc>
          <w:tcPr>
            <w:tcW w:type="dxa" w:w="2720"/>
            <w:tcBorders>
              <w:top w:val="single" w:color="1A7C8C" w:sz="1"/>
              <w:left w:val="single" w:color="1A7C8C" w:sz="1"/>
              <w:bottom w:val="single" w:color="1A7C8C" w:sz="1"/>
              <w:right w:val="single" w:color="1A7C8C" w:sz="1"/>
            </w:tcBorders>
            <w:shd w:fill="1A7C8C" w:val="clear"/>
            <w:tcMar>
              <w:top w:type="dxa" w:w="80"/>
              <w:left w:type="dxa" w:w="140"/>
              <w:bottom w:type="dxa" w:w="80"/>
              <w:right w:type="dxa" w:w="140"/>
            </w:tcMar>
          </w:tcPr>
          <w:p>
            <w:r>
              <w:rPr>
                <w:rFonts w:ascii="Arial" w:cs="Arial" w:eastAsia="Arial" w:hAnsi="Arial"/>
                <w:b/>
                <w:bCs/>
                <w:color w:val="FFFFFF"/>
                <w:sz w:val="21"/>
                <w:szCs w:val="21"/>
              </w:rPr>
              <w:t xml:space="preserve">Key Questions</w:t>
            </w:r>
          </w:p>
        </w:tc>
        <w:tc>
          <w:tcPr>
            <w:tcW w:type="dxa" w:w="2720"/>
            <w:tcBorders>
              <w:top w:val="single" w:color="1A7C8C" w:sz="1"/>
              <w:left w:val="single" w:color="1A7C8C" w:sz="1"/>
              <w:bottom w:val="single" w:color="1A7C8C" w:sz="1"/>
              <w:right w:val="single" w:color="1A7C8C" w:sz="1"/>
            </w:tcBorders>
            <w:shd w:fill="1A7C8C" w:val="clear"/>
            <w:tcMar>
              <w:top w:type="dxa" w:w="80"/>
              <w:left w:type="dxa" w:w="140"/>
              <w:bottom w:type="dxa" w:w="80"/>
              <w:right w:type="dxa" w:w="140"/>
            </w:tcMar>
          </w:tcPr>
          <w:p>
            <w:r>
              <w:rPr>
                <w:rFonts w:ascii="Arial" w:cs="Arial" w:eastAsia="Arial" w:hAnsi="Arial"/>
                <w:b/>
                <w:bCs/>
                <w:color w:val="FFFFFF"/>
                <w:sz w:val="21"/>
                <w:szCs w:val="21"/>
              </w:rPr>
              <w:t xml:space="preserve">Output</w:t>
            </w:r>
          </w:p>
        </w:tc>
      </w:tr>
      <w:tr>
        <w:tc>
          <w:tcPr>
            <w:tcW w:type="dxa" w:w="1440"/>
            <w:tcBorders>
              <w:top w:val="single" w:color="CCCCCC" w:sz="1"/>
              <w:left w:val="single" w:color="CCCCCC" w:sz="1"/>
              <w:bottom w:val="single" w:color="CCCCCC" w:sz="1"/>
              <w:right w:val="single" w:color="CCCCCC" w:sz="1"/>
            </w:tcBorders>
            <w:shd w:fill="E6F4F6" w:val="clear"/>
            <w:tcMar>
              <w:top w:type="dxa" w:w="80"/>
              <w:left w:type="dxa" w:w="120"/>
              <w:bottom w:type="dxa" w:w="80"/>
              <w:right w:type="dxa" w:w="120"/>
            </w:tcMar>
          </w:tcPr>
          <w:p>
            <w:r>
              <w:rPr>
                <w:rFonts w:ascii="Arial" w:cs="Arial" w:eastAsia="Arial" w:hAnsi="Arial"/>
                <w:b/>
                <w:bCs/>
                <w:color w:val="1A7C8C"/>
                <w:sz w:val="21"/>
                <w:szCs w:val="21"/>
              </w:rPr>
              <w:t xml:space="preserve">Day 7</w:t>
            </w:r>
          </w:p>
        </w:tc>
        <w:tc>
          <w:tcPr>
            <w:tcW w:type="dxa" w:w="248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In-app micro-survey (3 questions)</w:t>
            </w:r>
          </w:p>
        </w:tc>
        <w:tc>
          <w:tcPr>
            <w:tcW w:type="dxa" w:w="272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Did the recommendations feel relevant? Did you return on your own?</w:t>
            </w:r>
          </w:p>
        </w:tc>
        <w:tc>
          <w:tcPr>
            <w:tcW w:type="dxa" w:w="272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i/>
                <w:iCs/>
                <w:color w:val="333333"/>
                <w:sz w:val="21"/>
                <w:szCs w:val="21"/>
              </w:rPr>
              <w:t xml:space="preserve">Early retention signal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C8C"/>
                <w:sz w:val="21"/>
                <w:szCs w:val="21"/>
              </w:rPr>
              <w:t xml:space="preserve">Day 30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Email survey + optional follow-up call (30 min)</w:t>
            </w:r>
          </w:p>
        </w:tc>
        <w:tc>
          <w:tcPr>
            <w:tcW w:type="dxa" w:w="2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Is the care manager relationship feeling valuable? What would bring you back?</w:t>
            </w:r>
          </w:p>
        </w:tc>
        <w:tc>
          <w:tcPr>
            <w:tcW w:type="dxa" w:w="2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333333"/>
                <w:sz w:val="21"/>
                <w:szCs w:val="21"/>
              </w:rPr>
              <w:t xml:space="preserve">Personalization effectiveness + care manager NPS</w:t>
            </w:r>
          </w:p>
        </w:tc>
      </w:tr>
      <w:tr>
        <w:tc>
          <w:tcPr>
            <w:tcW w:type="dxa" w:w="1440"/>
            <w:tcBorders>
              <w:top w:val="single" w:color="CCCCCC" w:sz="1"/>
              <w:left w:val="single" w:color="CCCCCC" w:sz="1"/>
              <w:bottom w:val="single" w:color="CCCCCC" w:sz="1"/>
              <w:right w:val="single" w:color="CCCCCC" w:sz="1"/>
            </w:tcBorders>
            <w:shd w:fill="E6F4F6" w:val="clear"/>
            <w:tcMar>
              <w:top w:type="dxa" w:w="80"/>
              <w:left w:type="dxa" w:w="120"/>
              <w:bottom w:type="dxa" w:w="80"/>
              <w:right w:type="dxa" w:w="120"/>
            </w:tcMar>
          </w:tcPr>
          <w:p>
            <w:r>
              <w:rPr>
                <w:rFonts w:ascii="Arial" w:cs="Arial" w:eastAsia="Arial" w:hAnsi="Arial"/>
                <w:b/>
                <w:bCs/>
                <w:color w:val="1A7C8C"/>
                <w:sz w:val="21"/>
                <w:szCs w:val="21"/>
              </w:rPr>
              <w:t xml:space="preserve">Day 90</w:t>
            </w:r>
          </w:p>
        </w:tc>
        <w:tc>
          <w:tcPr>
            <w:tcW w:type="dxa" w:w="248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Cohort analysis + 5 depth interviews</w:t>
            </w:r>
          </w:p>
        </w:tc>
        <w:tc>
          <w:tcPr>
            <w:tcW w:type="dxa" w:w="272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Has the member's health awareness changed? Are they using services suggested?</w:t>
            </w:r>
          </w:p>
        </w:tc>
        <w:tc>
          <w:tcPr>
            <w:tcW w:type="dxa" w:w="272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i/>
                <w:iCs/>
                <w:color w:val="333333"/>
                <w:sz w:val="21"/>
                <w:szCs w:val="21"/>
              </w:rPr>
              <w:t xml:space="preserve">Long-term outcome signal and roadmap input</w:t>
            </w:r>
          </w:p>
        </w:tc>
      </w:tr>
    </w:tbl>
    <w:p>
      <w:pPr>
        <w:spacing w:after="100" w:before="0"/>
      </w:pPr>
      <w:r>
        <w:t xml:space="preserve"/>
      </w:r>
    </w:p>
    <w:p>
      <w:r>
        <w:br w:type="page"/>
      </w:r>
    </w:p>
    <w:p>
      <w:pPr>
        <w:pStyle w:val="Heading1"/>
        <w:spacing w:after="120" w:before="360"/>
      </w:pPr>
      <w:r>
        <w:rPr>
          <w:rFonts w:ascii="Arial" w:cs="Arial" w:eastAsia="Arial" w:hAnsi="Arial"/>
          <w:b/>
          <w:bCs/>
          <w:color w:val="1A7C8C"/>
          <w:sz w:val="32"/>
          <w:szCs w:val="32"/>
        </w:rPr>
        <w:t xml:space="preserve">8. Miro Board Structure — Recommended Layout</w:t>
      </w:r>
    </w:p>
    <w:p>
      <w:pPr>
        <w:spacing w:after="80" w:before="60"/>
      </w:pPr>
      <w:r>
        <w:rPr>
          <w:rFonts w:ascii="Arial" w:cs="Arial" w:eastAsia="Arial" w:hAnsi="Arial"/>
          <w:b w:val="false"/>
          <w:bCs w:val="false"/>
          <w:i w:val="false"/>
          <w:iCs w:val="false"/>
          <w:color w:val="333333"/>
          <w:sz w:val="22"/>
          <w:szCs w:val="22"/>
        </w:rPr>
        <w:t xml:space="preserve">Use the structure below to organize the Miro board for both internal alignment and partner presentation. Each row should be a distinct swimlane. Use consistent color-coding (Partner 1 = teal, Partner 2 = purple) throughout.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400"/>
        <w:gridCol w:w="4680"/>
        <w:gridCol w:w="1740"/>
      </w:tblGrid>
      <w:tr>
        <w:trPr>
          <w:tblHeader/>
        </w:trPr>
        <w:tc>
          <w:tcPr>
            <w:tcW w:type="dxa" w:w="540"/>
            <w:tcBorders>
              <w:top w:val="single" w:color="1A7C8C" w:sz="1"/>
              <w:left w:val="single" w:color="1A7C8C" w:sz="1"/>
              <w:bottom w:val="single" w:color="1A7C8C" w:sz="1"/>
              <w:right w:val="single" w:color="1A7C8C" w:sz="1"/>
            </w:tcBorders>
            <w:shd w:fill="1A7C8C" w:val="clear"/>
            <w:tcMar>
              <w:top w:type="dxa" w:w="80"/>
              <w:left w:type="dxa" w:w="100"/>
              <w:bottom w:type="dxa" w:w="80"/>
              <w:right w:type="dxa" w:w="100"/>
            </w:tcMar>
          </w:tcPr>
          <w:p>
            <w:pPr>
              <w:jc w:val="center"/>
            </w:pPr>
            <w:r>
              <w:rPr>
                <w:rFonts w:ascii="Arial" w:cs="Arial" w:eastAsia="Arial" w:hAnsi="Arial"/>
                <w:b/>
                <w:bCs/>
                <w:color w:val="FFFFFF"/>
                <w:sz w:val="21"/>
                <w:szCs w:val="21"/>
              </w:rPr>
              <w:t xml:space="preserve">Row</w:t>
            </w:r>
          </w:p>
        </w:tc>
        <w:tc>
          <w:tcPr>
            <w:tcW w:type="dxa" w:w="2400"/>
            <w:tcBorders>
              <w:top w:val="single" w:color="1A7C8C" w:sz="1"/>
              <w:left w:val="single" w:color="1A7C8C" w:sz="1"/>
              <w:bottom w:val="single" w:color="1A7C8C" w:sz="1"/>
              <w:right w:val="single" w:color="1A7C8C" w:sz="1"/>
            </w:tcBorders>
            <w:shd w:fill="1A7C8C" w:val="clear"/>
            <w:tcMar>
              <w:top w:type="dxa" w:w="80"/>
              <w:left w:type="dxa" w:w="140"/>
              <w:bottom w:type="dxa" w:w="80"/>
              <w:right w:type="dxa" w:w="140"/>
            </w:tcMar>
          </w:tcPr>
          <w:p>
            <w:r>
              <w:rPr>
                <w:rFonts w:ascii="Arial" w:cs="Arial" w:eastAsia="Arial" w:hAnsi="Arial"/>
                <w:b/>
                <w:bCs/>
                <w:color w:val="FFFFFF"/>
                <w:sz w:val="21"/>
                <w:szCs w:val="21"/>
              </w:rPr>
              <w:t xml:space="preserve">Section</w:t>
            </w:r>
          </w:p>
        </w:tc>
        <w:tc>
          <w:tcPr>
            <w:tcW w:type="dxa" w:w="4680"/>
            <w:tcBorders>
              <w:top w:val="single" w:color="1A7C8C" w:sz="1"/>
              <w:left w:val="single" w:color="1A7C8C" w:sz="1"/>
              <w:bottom w:val="single" w:color="1A7C8C" w:sz="1"/>
              <w:right w:val="single" w:color="1A7C8C" w:sz="1"/>
            </w:tcBorders>
            <w:shd w:fill="1A7C8C" w:val="clear"/>
            <w:tcMar>
              <w:top w:type="dxa" w:w="80"/>
              <w:left w:type="dxa" w:w="140"/>
              <w:bottom w:type="dxa" w:w="80"/>
              <w:right w:type="dxa" w:w="140"/>
            </w:tcMar>
          </w:tcPr>
          <w:p>
            <w:r>
              <w:rPr>
                <w:rFonts w:ascii="Arial" w:cs="Arial" w:eastAsia="Arial" w:hAnsi="Arial"/>
                <w:b/>
                <w:bCs/>
                <w:color w:val="FFFFFF"/>
                <w:sz w:val="21"/>
                <w:szCs w:val="21"/>
              </w:rPr>
              <w:t xml:space="preserve">Contents</w:t>
            </w:r>
          </w:p>
        </w:tc>
        <w:tc>
          <w:tcPr>
            <w:tcW w:type="dxa" w:w="1740"/>
            <w:tcBorders>
              <w:top w:val="single" w:color="1A7C8C" w:sz="1"/>
              <w:left w:val="single" w:color="1A7C8C" w:sz="1"/>
              <w:bottom w:val="single" w:color="1A7C8C" w:sz="1"/>
              <w:right w:val="single" w:color="1A7C8C" w:sz="1"/>
            </w:tcBorders>
            <w:shd w:fill="1A7C8C" w:val="clear"/>
            <w:tcMar>
              <w:top w:type="dxa" w:w="80"/>
              <w:left w:type="dxa" w:w="140"/>
              <w:bottom w:type="dxa" w:w="80"/>
              <w:right w:type="dxa" w:w="140"/>
            </w:tcMar>
          </w:tcPr>
          <w:p>
            <w:r>
              <w:rPr>
                <w:rFonts w:ascii="Arial" w:cs="Arial" w:eastAsia="Arial" w:hAnsi="Arial"/>
                <w:b/>
                <w:bCs/>
                <w:color w:val="FFFFFF"/>
                <w:sz w:val="21"/>
                <w:szCs w:val="21"/>
              </w:rPr>
              <w:t xml:space="preserve">Audience</w:t>
            </w:r>
          </w:p>
        </w:tc>
      </w:tr>
      <w:tr>
        <w:tc>
          <w:tcPr>
            <w:tcW w:type="dxa" w:w="540"/>
            <w:tcBorders>
              <w:top w:val="single" w:color="CCCCCC" w:sz="1"/>
              <w:left w:val="single" w:color="CCCCCC" w:sz="1"/>
              <w:bottom w:val="single" w:color="CCCCCC" w:sz="1"/>
              <w:right w:val="single" w:color="CCCCCC" w:sz="1"/>
            </w:tcBorders>
            <w:shd w:fill="E6F4F6"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1</w:t>
            </w:r>
          </w:p>
        </w:tc>
        <w:tc>
          <w:tcPr>
            <w:tcW w:type="dxa" w:w="24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b/>
                <w:bCs/>
                <w:color w:val="333333"/>
                <w:sz w:val="21"/>
                <w:szCs w:val="21"/>
              </w:rPr>
              <w:t xml:space="preserve">Goals &amp; Research Questions</w:t>
            </w:r>
          </w:p>
        </w:tc>
        <w:tc>
          <w:tcPr>
            <w:tcW w:type="dxa" w:w="468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Top-line objective, evaluation dimensions table, what success looks like for both partners</w:t>
            </w:r>
          </w:p>
        </w:tc>
        <w:tc>
          <w:tcPr>
            <w:tcW w:type="dxa" w:w="174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pPr>
              <w:jc w:val="center"/>
            </w:pPr>
            <w:r>
              <w:rPr>
                <w:rFonts w:ascii="Arial" w:cs="Arial" w:eastAsia="Arial" w:hAnsi="Arial"/>
                <w:color w:val="D07A28"/>
                <w:sz w:val="20"/>
                <w:szCs w:val="20"/>
              </w:rPr>
              <w:t xml:space="preserve">All</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Partner Context (side by side)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P1 vs P2 comparison card; entry-point flow; key differentiators; hypothesis per partner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D07A28"/>
                <w:sz w:val="20"/>
                <w:szCs w:val="20"/>
              </w:rPr>
              <w:t xml:space="preserve">Partner + Internal</w:t>
            </w:r>
          </w:p>
        </w:tc>
      </w:tr>
      <w:tr>
        <w:tc>
          <w:tcPr>
            <w:tcW w:type="dxa" w:w="540"/>
            <w:tcBorders>
              <w:top w:val="single" w:color="CCCCCC" w:sz="1"/>
              <w:left w:val="single" w:color="CCCCCC" w:sz="1"/>
              <w:bottom w:val="single" w:color="CCCCCC" w:sz="1"/>
              <w:right w:val="single" w:color="CCCCCC" w:sz="1"/>
            </w:tcBorders>
            <w:shd w:fill="E6F4F6"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3</w:t>
            </w:r>
          </w:p>
        </w:tc>
        <w:tc>
          <w:tcPr>
            <w:tcW w:type="dxa" w:w="24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b/>
                <w:bCs/>
                <w:color w:val="333333"/>
                <w:sz w:val="21"/>
                <w:szCs w:val="21"/>
              </w:rPr>
              <w:t xml:space="preserve">Participant Criteria &amp; Screeners</w:t>
            </w:r>
          </w:p>
        </w:tc>
        <w:tc>
          <w:tcPr>
            <w:tcW w:type="dxa" w:w="468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Screener cards per partner; recruitment channel funnel visual</w:t>
            </w:r>
          </w:p>
        </w:tc>
        <w:tc>
          <w:tcPr>
            <w:tcW w:type="dxa" w:w="174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pPr>
              <w:jc w:val="center"/>
            </w:pPr>
            <w:r>
              <w:rPr>
                <w:rFonts w:ascii="Arial" w:cs="Arial" w:eastAsia="Arial" w:hAnsi="Arial"/>
                <w:color w:val="5B4FA8"/>
                <w:sz w:val="20"/>
                <w:szCs w:val="20"/>
              </w:rPr>
              <w:t xml:space="preserve">Internal</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User Journey Flows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MVP and MLP flows per partner with annotated test moments highlighted (existing Miro flows)</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D07A28"/>
                <w:sz w:val="20"/>
                <w:szCs w:val="20"/>
              </w:rPr>
              <w:t xml:space="preserve">All</w:t>
            </w:r>
          </w:p>
        </w:tc>
      </w:tr>
      <w:tr>
        <w:tc>
          <w:tcPr>
            <w:tcW w:type="dxa" w:w="540"/>
            <w:tcBorders>
              <w:top w:val="single" w:color="CCCCCC" w:sz="1"/>
              <w:left w:val="single" w:color="CCCCCC" w:sz="1"/>
              <w:bottom w:val="single" w:color="CCCCCC" w:sz="1"/>
              <w:right w:val="single" w:color="CCCCCC" w:sz="1"/>
            </w:tcBorders>
            <w:shd w:fill="E6F4F6"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5</w:t>
            </w:r>
          </w:p>
        </w:tc>
        <w:tc>
          <w:tcPr>
            <w:tcW w:type="dxa" w:w="24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b/>
                <w:bCs/>
                <w:color w:val="333333"/>
                <w:sz w:val="21"/>
                <w:szCs w:val="21"/>
              </w:rPr>
              <w:t xml:space="preserve">Testing Protocol</w:t>
            </w:r>
          </w:p>
        </w:tc>
        <w:tc>
          <w:tcPr>
            <w:tcW w:type="dxa" w:w="468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Moderated vs. unmoderated decision matrix; session structure; tool: User Interviews</w:t>
            </w:r>
          </w:p>
        </w:tc>
        <w:tc>
          <w:tcPr>
            <w:tcW w:type="dxa" w:w="174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pPr>
              <w:jc w:val="center"/>
            </w:pPr>
            <w:r>
              <w:rPr>
                <w:rFonts w:ascii="Arial" w:cs="Arial" w:eastAsia="Arial" w:hAnsi="Arial"/>
                <w:color w:val="D07A28"/>
                <w:sz w:val="20"/>
                <w:szCs w:val="20"/>
              </w:rPr>
              <w:t xml:space="preserve">All</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PHI / PII Safeguard Protocol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Clear visual showing data protections; observer access controls; consent flow</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7C8C"/>
                <w:sz w:val="20"/>
                <w:szCs w:val="20"/>
              </w:rPr>
              <w:t xml:space="preserve">Partner</w:t>
            </w:r>
          </w:p>
        </w:tc>
      </w:tr>
      <w:tr>
        <w:tc>
          <w:tcPr>
            <w:tcW w:type="dxa" w:w="540"/>
            <w:tcBorders>
              <w:top w:val="single" w:color="CCCCCC" w:sz="1"/>
              <w:left w:val="single" w:color="CCCCCC" w:sz="1"/>
              <w:bottom w:val="single" w:color="CCCCCC" w:sz="1"/>
              <w:right w:val="single" w:color="CCCCCC" w:sz="1"/>
            </w:tcBorders>
            <w:shd w:fill="E6F4F6"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7</w:t>
            </w:r>
          </w:p>
        </w:tc>
        <w:tc>
          <w:tcPr>
            <w:tcW w:type="dxa" w:w="24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b/>
                <w:bCs/>
                <w:color w:val="333333"/>
                <w:sz w:val="21"/>
                <w:szCs w:val="21"/>
              </w:rPr>
              <w:t xml:space="preserve">Qualitative → Design Pipeline</w:t>
            </w:r>
          </w:p>
        </w:tc>
        <w:tc>
          <w:tcPr>
            <w:tcW w:type="dxa" w:w="468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7-stage pipeline (capture → debrief → affinity → insight → decision → report)</w:t>
            </w:r>
          </w:p>
        </w:tc>
        <w:tc>
          <w:tcPr>
            <w:tcW w:type="dxa" w:w="174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pPr>
              <w:jc w:val="center"/>
            </w:pPr>
            <w:r>
              <w:rPr>
                <w:rFonts w:ascii="Arial" w:cs="Arial" w:eastAsia="Arial" w:hAnsi="Arial"/>
                <w:color w:val="5B4FA8"/>
                <w:sz w:val="20"/>
                <w:szCs w:val="20"/>
              </w:rPr>
              <w:t xml:space="preserve">Internal</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Beta Rollout Tiers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Soft launch → expanded beta → full rollout with % targets and go/no-go criteria</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D07A28"/>
                <w:sz w:val="20"/>
                <w:szCs w:val="20"/>
              </w:rPr>
              <w:t xml:space="preserve">All</w:t>
            </w:r>
          </w:p>
        </w:tc>
      </w:tr>
      <w:tr>
        <w:tc>
          <w:tcPr>
            <w:tcW w:type="dxa" w:w="540"/>
            <w:tcBorders>
              <w:top w:val="single" w:color="CCCCCC" w:sz="1"/>
              <w:left w:val="single" w:color="CCCCCC" w:sz="1"/>
              <w:bottom w:val="single" w:color="CCCCCC" w:sz="1"/>
              <w:right w:val="single" w:color="CCCCCC" w:sz="1"/>
            </w:tcBorders>
            <w:shd w:fill="E6F4F6"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9</w:t>
            </w:r>
          </w:p>
        </w:tc>
        <w:tc>
          <w:tcPr>
            <w:tcW w:type="dxa" w:w="24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b/>
                <w:bCs/>
                <w:color w:val="333333"/>
                <w:sz w:val="21"/>
                <w:szCs w:val="21"/>
              </w:rPr>
              <w:t xml:space="preserve">Longitudinal Touchpoints</w:t>
            </w:r>
          </w:p>
        </w:tc>
        <w:tc>
          <w:tcPr>
            <w:tcW w:type="dxa" w:w="468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Day 7 / 30 / 90 plan with method and key questions</w:t>
            </w:r>
          </w:p>
        </w:tc>
        <w:tc>
          <w:tcPr>
            <w:tcW w:type="dxa" w:w="174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pPr>
              <w:jc w:val="center"/>
            </w:pPr>
            <w:r>
              <w:rPr>
                <w:rFonts w:ascii="Arial" w:cs="Arial" w:eastAsia="Arial" w:hAnsi="Arial"/>
                <w:color w:val="5B4FA8"/>
                <w:sz w:val="20"/>
                <w:szCs w:val="20"/>
              </w:rPr>
              <w:t xml:space="preserve">Internal</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Reporting Cadence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Delivery timeline; what partners receive; internal decision log</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D07A28"/>
                <w:sz w:val="20"/>
                <w:szCs w:val="20"/>
              </w:rPr>
              <w:t xml:space="preserve">Partner + Internal</w:t>
            </w:r>
          </w:p>
        </w:tc>
      </w:tr>
    </w:tbl>
    <w:p>
      <w:pPr>
        <w:spacing w:after="100" w:before="0"/>
      </w:pPr>
      <w:r>
        <w:t xml:space="preserve"/>
      </w:r>
    </w:p>
    <w:p>
      <w:r>
        <w:br w:type="page"/>
      </w:r>
    </w:p>
    <w:p>
      <w:pPr>
        <w:pStyle w:val="Heading1"/>
        <w:spacing w:after="120" w:before="360"/>
      </w:pPr>
      <w:r>
        <w:rPr>
          <w:rFonts w:ascii="Arial" w:cs="Arial" w:eastAsia="Arial" w:hAnsi="Arial"/>
          <w:b/>
          <w:bCs/>
          <w:color w:val="1A7C8C"/>
          <w:sz w:val="32"/>
          <w:szCs w:val="32"/>
        </w:rPr>
        <w:t xml:space="preserve">9. Recommended Next Steps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0"/>
        <w:gridCol w:w="1620"/>
        <w:gridCol w:w="1800"/>
      </w:tblGrid>
      <w:tr>
        <w:trPr>
          <w:tblHeader/>
        </w:trPr>
        <w:tc>
          <w:tcPr>
            <w:tcW w:type="dxa" w:w="540"/>
            <w:tcBorders>
              <w:top w:val="single" w:color="1A7C8C" w:sz="1"/>
              <w:left w:val="single" w:color="1A7C8C" w:sz="1"/>
              <w:bottom w:val="single" w:color="1A7C8C" w:sz="1"/>
              <w:right w:val="single" w:color="1A7C8C" w:sz="1"/>
            </w:tcBorders>
            <w:shd w:fill="1A7C8C" w:val="clear"/>
            <w:tcMar>
              <w:top w:type="dxa" w:w="80"/>
              <w:left w:type="dxa" w:w="100"/>
              <w:bottom w:type="dxa" w:w="80"/>
              <w:right w:type="dxa" w:w="100"/>
            </w:tcMar>
          </w:tcPr>
          <w:p>
            <w:pPr>
              <w:jc w:val="center"/>
            </w:pPr>
            <w:r>
              <w:rPr>
                <w:rFonts w:ascii="Arial" w:cs="Arial" w:eastAsia="Arial" w:hAnsi="Arial"/>
                <w:b/>
                <w:bCs/>
                <w:color w:val="FFFFFF"/>
                <w:sz w:val="21"/>
                <w:szCs w:val="21"/>
              </w:rPr>
              <w:t xml:space="preserve">#</w:t>
            </w:r>
          </w:p>
        </w:tc>
        <w:tc>
          <w:tcPr>
            <w:tcW w:type="dxa" w:w="5400"/>
            <w:tcBorders>
              <w:top w:val="single" w:color="1A7C8C" w:sz="1"/>
              <w:left w:val="single" w:color="1A7C8C" w:sz="1"/>
              <w:bottom w:val="single" w:color="1A7C8C" w:sz="1"/>
              <w:right w:val="single" w:color="1A7C8C" w:sz="1"/>
            </w:tcBorders>
            <w:shd w:fill="1A7C8C" w:val="clear"/>
            <w:tcMar>
              <w:top w:type="dxa" w:w="80"/>
              <w:left w:type="dxa" w:w="140"/>
              <w:bottom w:type="dxa" w:w="80"/>
              <w:right w:type="dxa" w:w="140"/>
            </w:tcMar>
          </w:tcPr>
          <w:p>
            <w:r>
              <w:rPr>
                <w:rFonts w:ascii="Arial" w:cs="Arial" w:eastAsia="Arial" w:hAnsi="Arial"/>
                <w:b/>
                <w:bCs/>
                <w:color w:val="FFFFFF"/>
                <w:sz w:val="21"/>
                <w:szCs w:val="21"/>
              </w:rPr>
              <w:t xml:space="preserve">Action</w:t>
            </w:r>
          </w:p>
        </w:tc>
        <w:tc>
          <w:tcPr>
            <w:tcW w:type="dxa" w:w="1620"/>
            <w:tcBorders>
              <w:top w:val="single" w:color="1A7C8C" w:sz="1"/>
              <w:left w:val="single" w:color="1A7C8C" w:sz="1"/>
              <w:bottom w:val="single" w:color="1A7C8C" w:sz="1"/>
              <w:right w:val="single" w:color="1A7C8C" w:sz="1"/>
            </w:tcBorders>
            <w:shd w:fill="1A7C8C" w:val="clear"/>
            <w:tcMar>
              <w:top w:type="dxa" w:w="80"/>
              <w:left w:type="dxa" w:w="140"/>
              <w:bottom w:type="dxa" w:w="80"/>
              <w:right w:type="dxa" w:w="140"/>
            </w:tcMar>
          </w:tcPr>
          <w:p>
            <w:r>
              <w:rPr>
                <w:rFonts w:ascii="Arial" w:cs="Arial" w:eastAsia="Arial" w:hAnsi="Arial"/>
                <w:b/>
                <w:bCs/>
                <w:color w:val="FFFFFF"/>
                <w:sz w:val="21"/>
                <w:szCs w:val="21"/>
              </w:rPr>
              <w:t xml:space="preserve">Owner</w:t>
            </w:r>
          </w:p>
        </w:tc>
        <w:tc>
          <w:tcPr>
            <w:tcW w:type="dxa" w:w="1800"/>
            <w:tcBorders>
              <w:top w:val="single" w:color="1A7C8C" w:sz="1"/>
              <w:left w:val="single" w:color="1A7C8C" w:sz="1"/>
              <w:bottom w:val="single" w:color="1A7C8C" w:sz="1"/>
              <w:right w:val="single" w:color="1A7C8C" w:sz="1"/>
            </w:tcBorders>
            <w:shd w:fill="1A7C8C" w:val="clear"/>
            <w:tcMar>
              <w:top w:type="dxa" w:w="80"/>
              <w:left w:type="dxa" w:w="140"/>
              <w:bottom w:type="dxa" w:w="80"/>
              <w:right w:type="dxa" w:w="140"/>
            </w:tcMar>
          </w:tcPr>
          <w:p>
            <w:r>
              <w:rPr>
                <w:rFonts w:ascii="Arial" w:cs="Arial" w:eastAsia="Arial" w:hAnsi="Arial"/>
                <w:b/>
                <w:bCs/>
                <w:color w:val="FFFFFF"/>
                <w:sz w:val="21"/>
                <w:szCs w:val="21"/>
              </w:rPr>
              <w:t xml:space="preserve">Timing</w:t>
            </w:r>
          </w:p>
        </w:tc>
      </w:tr>
      <w:tr>
        <w:tc>
          <w:tcPr>
            <w:tcW w:type="dxa" w:w="540"/>
            <w:tcBorders>
              <w:top w:val="single" w:color="CCCCCC" w:sz="1"/>
              <w:left w:val="single" w:color="CCCCCC" w:sz="1"/>
              <w:bottom w:val="single" w:color="CCCCCC" w:sz="1"/>
              <w:right w:val="single" w:color="CCCCCC" w:sz="1"/>
            </w:tcBorders>
            <w:shd w:fill="E6F4F6"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1</w:t>
            </w:r>
          </w:p>
        </w:tc>
        <w:tc>
          <w:tcPr>
            <w:tcW w:type="dxa" w:w="54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Build Miro board using the 10-row structure in Section 8; use teal/purple partner color coding</w:t>
            </w:r>
          </w:p>
        </w:tc>
        <w:tc>
          <w:tcPr>
            <w:tcW w:type="dxa" w:w="162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i/>
                <w:iCs/>
                <w:color w:val="333333"/>
                <w:sz w:val="20"/>
                <w:szCs w:val="20"/>
              </w:rPr>
              <w:t xml:space="preserve">Director of Design</w:t>
            </w:r>
          </w:p>
        </w:tc>
        <w:tc>
          <w:tcPr>
            <w:tcW w:type="dxa" w:w="18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pPr>
              <w:jc w:val="center"/>
            </w:pPr>
            <w:r>
              <w:rPr>
                <w:rFonts w:ascii="Arial" w:cs="Arial" w:eastAsia="Arial" w:hAnsi="Arial"/>
                <w:color w:val="1A7C8C"/>
                <w:sz w:val="20"/>
                <w:szCs w:val="20"/>
              </w:rPr>
              <w:t xml:space="preserve">This week</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Confirm partner legal review of observer consent language and data review agreement</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333333"/>
                <w:sz w:val="20"/>
                <w:szCs w:val="20"/>
              </w:rPr>
              <w:t xml:space="preserve">Legal + Partnerships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7C8C"/>
                <w:sz w:val="20"/>
                <w:szCs w:val="20"/>
              </w:rPr>
              <w:t xml:space="preserve">This week</w:t>
            </w:r>
          </w:p>
        </w:tc>
      </w:tr>
      <w:tr>
        <w:tc>
          <w:tcPr>
            <w:tcW w:type="dxa" w:w="540"/>
            <w:tcBorders>
              <w:top w:val="single" w:color="CCCCCC" w:sz="1"/>
              <w:left w:val="single" w:color="CCCCCC" w:sz="1"/>
              <w:bottom w:val="single" w:color="CCCCCC" w:sz="1"/>
              <w:right w:val="single" w:color="CCCCCC" w:sz="1"/>
            </w:tcBorders>
            <w:shd w:fill="E6F4F6"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3</w:t>
            </w:r>
          </w:p>
        </w:tc>
        <w:tc>
          <w:tcPr>
            <w:tcW w:type="dxa" w:w="54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Align with partner teams on screener criteria and confirm in-app intercept mechanics</w:t>
            </w:r>
          </w:p>
        </w:tc>
        <w:tc>
          <w:tcPr>
            <w:tcW w:type="dxa" w:w="162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i/>
                <w:iCs/>
                <w:color w:val="333333"/>
                <w:sz w:val="20"/>
                <w:szCs w:val="20"/>
              </w:rPr>
              <w:t xml:space="preserve">Product + Partners</w:t>
            </w:r>
          </w:p>
        </w:tc>
        <w:tc>
          <w:tcPr>
            <w:tcW w:type="dxa" w:w="18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pPr>
              <w:jc w:val="center"/>
            </w:pPr>
            <w:r>
              <w:rPr>
                <w:rFonts w:ascii="Arial" w:cs="Arial" w:eastAsia="Arial" w:hAnsi="Arial"/>
                <w:color w:val="1A7C8C"/>
                <w:sz w:val="20"/>
                <w:szCs w:val="20"/>
              </w:rPr>
              <w:t xml:space="preserve">Week 1–2</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Set up User Interviews account with observer seat structure; draft discussion guide for each partner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333333"/>
                <w:sz w:val="20"/>
                <w:szCs w:val="20"/>
              </w:rPr>
              <w:t xml:space="preserve">Design Research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7C8C"/>
                <w:sz w:val="20"/>
                <w:szCs w:val="20"/>
              </w:rPr>
              <w:t xml:space="preserve">Week 1–2</w:t>
            </w:r>
          </w:p>
        </w:tc>
      </w:tr>
      <w:tr>
        <w:tc>
          <w:tcPr>
            <w:tcW w:type="dxa" w:w="540"/>
            <w:tcBorders>
              <w:top w:val="single" w:color="CCCCCC" w:sz="1"/>
              <w:left w:val="single" w:color="CCCCCC" w:sz="1"/>
              <w:bottom w:val="single" w:color="CCCCCC" w:sz="1"/>
              <w:right w:val="single" w:color="CCCCCC" w:sz="1"/>
            </w:tcBorders>
            <w:shd w:fill="E6F4F6"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5</w:t>
            </w:r>
          </w:p>
        </w:tc>
        <w:tc>
          <w:tcPr>
            <w:tcW w:type="dxa" w:w="54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Launch recruitment via all three channels simultaneously; target 12–15 screened applicants per partner</w:t>
            </w:r>
          </w:p>
        </w:tc>
        <w:tc>
          <w:tcPr>
            <w:tcW w:type="dxa" w:w="162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i/>
                <w:iCs/>
                <w:color w:val="333333"/>
                <w:sz w:val="20"/>
                <w:szCs w:val="20"/>
              </w:rPr>
              <w:t xml:space="preserve">Design Research</w:t>
            </w:r>
          </w:p>
        </w:tc>
        <w:tc>
          <w:tcPr>
            <w:tcW w:type="dxa" w:w="18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pPr>
              <w:jc w:val="center"/>
            </w:pPr>
            <w:r>
              <w:rPr>
                <w:rFonts w:ascii="Arial" w:cs="Arial" w:eastAsia="Arial" w:hAnsi="Arial"/>
                <w:color w:val="1A7C8C"/>
                <w:sz w:val="20"/>
                <w:szCs w:val="20"/>
              </w:rPr>
              <w:t xml:space="preserve">Week 2</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Run moderated session series; hold partner debrief after each session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333333"/>
                <w:sz w:val="20"/>
                <w:szCs w:val="20"/>
              </w:rPr>
              <w:t xml:space="preserve">Design Research + Partners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7C8C"/>
                <w:sz w:val="20"/>
                <w:szCs w:val="20"/>
              </w:rPr>
              <w:t xml:space="preserve">Week 3–4</w:t>
            </w:r>
          </w:p>
        </w:tc>
      </w:tr>
      <w:tr>
        <w:tc>
          <w:tcPr>
            <w:tcW w:type="dxa" w:w="540"/>
            <w:tcBorders>
              <w:top w:val="single" w:color="CCCCCC" w:sz="1"/>
              <w:left w:val="single" w:color="CCCCCC" w:sz="1"/>
              <w:bottom w:val="single" w:color="CCCCCC" w:sz="1"/>
              <w:right w:val="single" w:color="CCCCCC" w:sz="1"/>
            </w:tcBorders>
            <w:shd w:fill="E6F4F6"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7</w:t>
            </w:r>
          </w:p>
        </w:tc>
        <w:tc>
          <w:tcPr>
            <w:tcW w:type="dxa" w:w="54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color w:val="333333"/>
                <w:sz w:val="21"/>
                <w:szCs w:val="21"/>
              </w:rPr>
              <w:t xml:space="preserve">Run affinity mapping synthesis; produce insight report</w:t>
            </w:r>
          </w:p>
        </w:tc>
        <w:tc>
          <w:tcPr>
            <w:tcW w:type="dxa" w:w="162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r>
              <w:rPr>
                <w:rFonts w:ascii="Arial" w:cs="Arial" w:eastAsia="Arial" w:hAnsi="Arial"/>
                <w:i/>
                <w:iCs/>
                <w:color w:val="333333"/>
                <w:sz w:val="20"/>
                <w:szCs w:val="20"/>
              </w:rPr>
              <w:t xml:space="preserve">Design Team</w:t>
            </w:r>
          </w:p>
        </w:tc>
        <w:tc>
          <w:tcPr>
            <w:tcW w:type="dxa" w:w="1800"/>
            <w:tcBorders>
              <w:top w:val="single" w:color="CCCCCC" w:sz="1"/>
              <w:left w:val="single" w:color="CCCCCC" w:sz="1"/>
              <w:bottom w:val="single" w:color="CCCCCC" w:sz="1"/>
              <w:right w:val="single" w:color="CCCCCC" w:sz="1"/>
            </w:tcBorders>
            <w:shd w:fill="E6F4F6" w:val="clear"/>
            <w:tcMar>
              <w:top w:type="dxa" w:w="80"/>
              <w:left w:type="dxa" w:w="140"/>
              <w:bottom w:type="dxa" w:w="80"/>
              <w:right w:type="dxa" w:w="140"/>
            </w:tcMar>
          </w:tcPr>
          <w:p>
            <w:pPr>
              <w:jc w:val="center"/>
            </w:pPr>
            <w:r>
              <w:rPr>
                <w:rFonts w:ascii="Arial" w:cs="Arial" w:eastAsia="Arial" w:hAnsi="Arial"/>
                <w:color w:val="1A7C8C"/>
                <w:sz w:val="20"/>
                <w:szCs w:val="20"/>
              </w:rPr>
              <w:t xml:space="preserve">Week 4–5</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7C8C"/>
                <w:sz w:val="21"/>
                <w:szCs w:val="21"/>
              </w:rPr>
              <w:t xml:space="preserve">8</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1"/>
                <w:szCs w:val="21"/>
              </w:rPr>
              <w:t xml:space="preserve">Ship design changes; initiate 5% soft launch with monitoring plan in place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333333"/>
                <w:sz w:val="20"/>
                <w:szCs w:val="20"/>
              </w:rPr>
              <w:t xml:space="preserve">Design + Engineering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7C8C"/>
                <w:sz w:val="20"/>
                <w:szCs w:val="20"/>
              </w:rPr>
              <w:t xml:space="preserve">Week 6+</w:t>
            </w:r>
          </w:p>
        </w:tc>
      </w:tr>
    </w:tbl>
    <w:p>
      <w:pPr>
        <w:spacing w:after="120" w:before="0"/>
      </w:pPr>
      <w:r>
        <w:t xml:space="preserve"/>
      </w:r>
    </w:p>
    <w:p>
      <w:pPr>
        <w:pBdr>
          <w:bottom w:val="single" w:color="B2DDE3" w:sz="4"/>
        </w:pBdr>
        <w:spacing w:after="120" w:before="120"/>
      </w:pPr>
      <w:r>
        <w:t xml:space="preserve"/>
      </w:r>
    </w:p>
    <w:p>
      <w:pPr>
        <w:spacing w:after="60" w:before="0"/>
      </w:pPr>
      <w:r>
        <w:t xml:space="preserve"/>
      </w:r>
    </w:p>
    <w:p>
      <w:pPr>
        <w:spacing w:after="80" w:before="60"/>
      </w:pPr>
      <w:r>
        <w:rPr>
          <w:rFonts w:ascii="Arial" w:cs="Arial" w:eastAsia="Arial" w:hAnsi="Arial"/>
          <w:b w:val="false"/>
          <w:bCs w:val="false"/>
          <w:i/>
          <w:iCs/>
          <w:color w:val="666666"/>
          <w:sz w:val="22"/>
          <w:szCs w:val="22"/>
        </w:rPr>
        <w:t xml:space="preserve">Questions about this strategy should be directed to the Director of Design. This document is intended as a living resource — updated as the testing program progresses.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DDE3" w:sz="4" w:space="1"/>
      </w:pBdr>
      <w:tabs>
        <w:tab w:val="right" w:pos="9360"/>
      </w:tabs>
    </w:pPr>
    <w:r>
      <w:rPr>
        <w:rFonts w:ascii="Arial" w:cs="Arial" w:eastAsia="Arial" w:hAnsi="Arial"/>
        <w:color w:val="666666"/>
        <w:sz w:val="18"/>
        <w:szCs w:val="18"/>
      </w:rPr>
      <w:t xml:space="preserve">April 2026</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DDE3" w:sz="4" w:space="1"/>
      </w:pBdr>
      <w:tabs>
        <w:tab w:val="right" w:pos="9360"/>
      </w:tabs>
    </w:pPr>
    <w:r>
      <w:rPr>
        <w:rFonts w:ascii="Arial" w:cs="Arial" w:eastAsia="Arial" w:hAnsi="Arial"/>
        <w:color w:val="666666"/>
        <w:sz w:val="18"/>
        <w:szCs w:val="18"/>
      </w:rPr>
      <w:t xml:space="preserve">User Testing Strategy — Partner Integration Program</w:t>
    </w:r>
    <w:r>
      <w:rPr>
        <w:rFonts w:ascii="Arial" w:cs="Arial" w:eastAsia="Arial" w:hAnsi="Arial"/>
        <w:sz w:val="18"/>
        <w:szCs w:val="18"/>
      </w:rPr>
      <w:t xml:space="preserve">	</w:t>
    </w:r>
    <w:r>
      <w:rPr>
        <w:rFonts w:ascii="Arial" w:cs="Arial" w:eastAsia="Arial" w:hAnsi="Arial"/>
        <w:i/>
        <w:iCs/>
        <w:color w:val="1A7C8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7C8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2026-04-07T13:58:30.489Z</dcterms:created>
  <dcterms:modified xsi:type="dcterms:W3CDTF">2026-04-07T13:58:30.489Z</dcterms:modified>
</cp:coreProperties>
</file>

<file path=docProps/custom.xml><?xml version="1.0" encoding="utf-8"?>
<Properties xmlns="http://schemas.openxmlformats.org/officeDocument/2006/custom-properties" xmlns:vt="http://schemas.openxmlformats.org/officeDocument/2006/docPropsVTypes"/>
</file>