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4F0" w:rsidRDefault="001004F0" w:rsidP="001004F0">
      <w:pPr>
        <w:jc w:val="center"/>
      </w:pPr>
      <w:r>
        <w:t>Opioid Data Description</w:t>
      </w:r>
    </w:p>
    <w:p w:rsidR="00D71197" w:rsidRDefault="00D71197" w:rsidP="001004F0">
      <w:pPr>
        <w:jc w:val="center"/>
      </w:pPr>
    </w:p>
    <w:p w:rsidR="00131AC7" w:rsidRPr="00D71197" w:rsidRDefault="00D71197">
      <w:pPr>
        <w:rPr>
          <w:b/>
        </w:rPr>
      </w:pPr>
      <w:r>
        <w:rPr>
          <w:b/>
        </w:rPr>
        <w:t>Land Area of County:</w:t>
      </w:r>
    </w:p>
    <w:p w:rsidR="00142A1A" w:rsidRDefault="00142A1A">
      <w:r w:rsidRPr="00142A1A">
        <w:t>factfinder.census.gov</w:t>
      </w:r>
    </w:p>
    <w:p w:rsidR="0042549F" w:rsidRDefault="006A5687" w:rsidP="006A5687">
      <w:r w:rsidRPr="006A5687">
        <w:t>2010 Census Summary</w:t>
      </w:r>
    </w:p>
    <w:p w:rsidR="006A5687" w:rsidRDefault="00BA1CC3">
      <w:r w:rsidRPr="00BA1CC3">
        <w:t>1890</w:t>
      </w:r>
      <w:r>
        <w:t xml:space="preserve"> counties are taken under consideration</w:t>
      </w:r>
    </w:p>
    <w:p w:rsidR="001004F0" w:rsidRDefault="001004F0"/>
    <w:p w:rsidR="00D71197" w:rsidRPr="00D71197" w:rsidRDefault="00D71197">
      <w:pPr>
        <w:rPr>
          <w:b/>
        </w:rPr>
      </w:pPr>
      <w:r w:rsidRPr="00D71197">
        <w:rPr>
          <w:b/>
        </w:rPr>
        <w:t>Year:</w:t>
      </w:r>
    </w:p>
    <w:p w:rsidR="001004F0" w:rsidRDefault="00D71197">
      <w:r>
        <w:t>2011- 2017</w:t>
      </w:r>
    </w:p>
    <w:p w:rsidR="00142A1A" w:rsidRDefault="00142A1A"/>
    <w:p w:rsidR="00D71197" w:rsidRDefault="00142A1A" w:rsidP="00142A1A">
      <w:pPr>
        <w:rPr>
          <w:b/>
        </w:rPr>
      </w:pPr>
      <w:r w:rsidRPr="00D71197">
        <w:rPr>
          <w:b/>
        </w:rPr>
        <w:t>Population</w:t>
      </w:r>
      <w:r w:rsidR="00D71197">
        <w:rPr>
          <w:b/>
        </w:rPr>
        <w:t>:</w:t>
      </w:r>
    </w:p>
    <w:p w:rsidR="00142A1A" w:rsidRDefault="00142A1A" w:rsidP="00142A1A">
      <w:r>
        <w:t xml:space="preserve"> </w:t>
      </w:r>
      <w:hyperlink r:id="rId4" w:anchor="par_textimage_70769902" w:history="1">
        <w:r>
          <w:rPr>
            <w:rStyle w:val="Hyperlink"/>
          </w:rPr>
          <w:t>https://www.census.gov/data/datasets/time-series/demo/popest/2010s-counties-total.html#par_textimage_70769902</w:t>
        </w:r>
      </w:hyperlink>
    </w:p>
    <w:p w:rsidR="006A5687" w:rsidRPr="006A5687" w:rsidRDefault="006A5687" w:rsidP="006A5687">
      <w:r w:rsidRPr="006A5687">
        <w:t>Annual Estimates of the Resident Population for Counties: April 1, 2010 to July 1, 2018</w:t>
      </w:r>
    </w:p>
    <w:p w:rsidR="00BC3A99" w:rsidRDefault="00BC3A99" w:rsidP="00142A1A"/>
    <w:p w:rsidR="00D71197" w:rsidRDefault="00142A1A" w:rsidP="00142A1A">
      <w:pPr>
        <w:rPr>
          <w:b/>
        </w:rPr>
      </w:pPr>
      <w:r w:rsidRPr="00D71197">
        <w:rPr>
          <w:b/>
        </w:rPr>
        <w:t>Death by Opioid Type</w:t>
      </w:r>
      <w:r w:rsidR="00D71197">
        <w:rPr>
          <w:b/>
        </w:rPr>
        <w:t>:</w:t>
      </w:r>
    </w:p>
    <w:p w:rsidR="00142A1A" w:rsidRDefault="00142A1A" w:rsidP="00142A1A">
      <w:hyperlink r:id="rId5" w:history="1">
        <w:r w:rsidRPr="00142A1A">
          <w:rPr>
            <w:color w:val="0000FF"/>
            <w:u w:val="single"/>
          </w:rPr>
          <w:t>https://wonder.cdc.gov/</w:t>
        </w:r>
      </w:hyperlink>
    </w:p>
    <w:p w:rsidR="00E117BE" w:rsidRDefault="00E117BE" w:rsidP="00E117BE">
      <w:r w:rsidRPr="00E117BE">
        <w:t>The mortality data are based on information from all death certificates filed in the fifty states</w:t>
      </w:r>
    </w:p>
    <w:p w:rsidR="00E117BE" w:rsidRDefault="00E117BE">
      <w:r w:rsidRPr="00E117BE">
        <w:t xml:space="preserve">all sub-national data representing zero to nine (0-9) </w:t>
      </w:r>
      <w:r w:rsidR="00D71197">
        <w:t>deaths</w:t>
      </w:r>
      <w:r w:rsidRPr="00E117BE">
        <w:t xml:space="preserve"> are suppressed.</w:t>
      </w:r>
    </w:p>
    <w:p w:rsidR="00D71197" w:rsidRDefault="00D71197" w:rsidP="00BA1CC3"/>
    <w:p w:rsidR="00BA1CC3" w:rsidRDefault="00BA1CC3" w:rsidP="00BA1CC3">
      <w:r w:rsidRPr="00BA1CC3">
        <w:t>601</w:t>
      </w:r>
      <w:r w:rsidR="00D71197">
        <w:t xml:space="preserve"> c</w:t>
      </w:r>
      <w:r>
        <w:t>ounties had the minimum</w:t>
      </w:r>
      <w:r w:rsidR="00BC3A99">
        <w:t xml:space="preserve"> </w:t>
      </w:r>
      <w:r w:rsidR="00BC3A99">
        <w:t>mortality</w:t>
      </w:r>
      <w:r w:rsidR="00BC3A99">
        <w:t xml:space="preserve"> rate to</w:t>
      </w:r>
      <w:r>
        <w:t xml:space="preserve"> </w:t>
      </w:r>
      <w:r w:rsidR="00D71197">
        <w:t xml:space="preserve">be </w:t>
      </w:r>
      <w:r w:rsidR="00BC3A99">
        <w:t>represented</w:t>
      </w:r>
      <w:r>
        <w:t xml:space="preserve"> for analysis and were pulled from the WONDER database.</w:t>
      </w:r>
      <w:r w:rsidR="00F048F2">
        <w:t xml:space="preserve"> These were the recommended codes to use when relating to Opioid deaths provided by the CDC.</w:t>
      </w:r>
    </w:p>
    <w:p w:rsidR="00D71197" w:rsidRPr="00BA1CC3" w:rsidRDefault="00D71197" w:rsidP="00BA1CC3"/>
    <w:p w:rsidR="00D71197" w:rsidRPr="00BC3A99" w:rsidRDefault="00E117BE">
      <w:pPr>
        <w:rPr>
          <w:b/>
        </w:rPr>
      </w:pPr>
      <w:r w:rsidRPr="00BC3A99">
        <w:rPr>
          <w:b/>
        </w:rPr>
        <w:t>Type of death:</w:t>
      </w:r>
    </w:p>
    <w:p w:rsidR="00E117BE" w:rsidRDefault="00E117BE" w:rsidP="00E117BE">
      <w:r>
        <w:t>T40.0 (Opium)</w:t>
      </w:r>
      <w:r w:rsidR="0042549F">
        <w:t xml:space="preserve"> – No </w:t>
      </w:r>
      <w:r w:rsidR="00D71197">
        <w:t>c</w:t>
      </w:r>
      <w:r w:rsidR="0042549F">
        <w:t xml:space="preserve">ounty reached the number of deaths above 9 per year to not be suppressed </w:t>
      </w:r>
      <w:r w:rsidR="00D71197">
        <w:t>when finding specific cause</w:t>
      </w:r>
    </w:p>
    <w:p w:rsidR="00E117BE" w:rsidRDefault="00E117BE" w:rsidP="00E117BE">
      <w:r>
        <w:t>T40.1 (Heroin)</w:t>
      </w:r>
    </w:p>
    <w:p w:rsidR="00E117BE" w:rsidRDefault="00E117BE" w:rsidP="00E117BE">
      <w:r>
        <w:t>T40.2 (Other opioids)</w:t>
      </w:r>
    </w:p>
    <w:p w:rsidR="00E117BE" w:rsidRDefault="00E117BE" w:rsidP="00E117BE">
      <w:r>
        <w:t>T40.3 (Methadone)</w:t>
      </w:r>
    </w:p>
    <w:p w:rsidR="00E117BE" w:rsidRDefault="00E117BE" w:rsidP="00E117BE">
      <w:r>
        <w:t>T40.4 (Other synthetic narcotics)</w:t>
      </w:r>
    </w:p>
    <w:p w:rsidR="00E117BE" w:rsidRDefault="0042549F">
      <w:r>
        <w:t>From the CDC Wonder Database.</w:t>
      </w:r>
    </w:p>
    <w:p w:rsidR="00E117BE" w:rsidRDefault="00E117BE">
      <w:r>
        <w:t>Type of death by county</w:t>
      </w:r>
      <w:r w:rsidR="00D71197">
        <w:t xml:space="preserve"> will not add up to total mortality due to the fact that</w:t>
      </w:r>
      <w:r>
        <w:t xml:space="preserve"> low death rate of a county was withheld from data to protect privacy of individuals. </w:t>
      </w:r>
    </w:p>
    <w:p w:rsidR="00BC3A99" w:rsidRDefault="00BC3A99"/>
    <w:p w:rsidR="00BC3A99" w:rsidRPr="00BC3A99" w:rsidRDefault="00142A1A">
      <w:r w:rsidRPr="00BC3A99">
        <w:rPr>
          <w:b/>
        </w:rPr>
        <w:t>Non-US Born</w:t>
      </w:r>
      <w:r w:rsidR="00BC3A99">
        <w:t>:</w:t>
      </w:r>
      <w:r w:rsidRPr="00BC3A99">
        <w:t xml:space="preserve"> </w:t>
      </w:r>
    </w:p>
    <w:p w:rsidR="00142A1A" w:rsidRDefault="00142A1A">
      <w:r w:rsidRPr="00142A1A">
        <w:t>factfinder.census.gov</w:t>
      </w:r>
    </w:p>
    <w:p w:rsidR="00142A1A" w:rsidRDefault="00142A1A" w:rsidP="00142A1A">
      <w:r w:rsidRPr="00142A1A">
        <w:t>American Community Survey 5-Year Estimates</w:t>
      </w:r>
    </w:p>
    <w:p w:rsidR="00F048F2" w:rsidRDefault="00D71197" w:rsidP="00142A1A">
      <w:r>
        <w:t>The total n</w:t>
      </w:r>
      <w:r w:rsidR="00F048F2">
        <w:t xml:space="preserve">umber of </w:t>
      </w:r>
      <w:r w:rsidR="0058147B">
        <w:t xml:space="preserve">Non-Us born citizens that reside in each </w:t>
      </w:r>
      <w:r>
        <w:t>county</w:t>
      </w:r>
    </w:p>
    <w:p w:rsidR="00142A1A" w:rsidRDefault="00142A1A"/>
    <w:p w:rsidR="00BC3A99" w:rsidRDefault="00142A1A">
      <w:r w:rsidRPr="00BC3A99">
        <w:rPr>
          <w:b/>
        </w:rPr>
        <w:t>Education:</w:t>
      </w:r>
      <w:r>
        <w:t xml:space="preserve"> </w:t>
      </w:r>
    </w:p>
    <w:p w:rsidR="00142A1A" w:rsidRDefault="00142A1A">
      <w:r w:rsidRPr="00142A1A">
        <w:t>factfinder.census.gov</w:t>
      </w:r>
    </w:p>
    <w:p w:rsidR="00142A1A" w:rsidRDefault="00142A1A" w:rsidP="00142A1A">
      <w:r w:rsidRPr="00142A1A">
        <w:t>American Community Survey 5-Year Estimates</w:t>
      </w:r>
    </w:p>
    <w:p w:rsidR="00BC3A99" w:rsidRDefault="00BC3A99" w:rsidP="00142A1A">
      <w:r>
        <w:t>Categories Consist of:</w:t>
      </w:r>
    </w:p>
    <w:p w:rsidR="00142A1A" w:rsidRDefault="0058147B">
      <w:r>
        <w:t>Less Than High School Degree</w:t>
      </w:r>
    </w:p>
    <w:p w:rsidR="0058147B" w:rsidRDefault="0058147B">
      <w:r>
        <w:t>Some College or Associate’s Degree</w:t>
      </w:r>
    </w:p>
    <w:p w:rsidR="0058147B" w:rsidRDefault="0058147B">
      <w:r>
        <w:lastRenderedPageBreak/>
        <w:t>Bachelor’s Degree</w:t>
      </w:r>
    </w:p>
    <w:p w:rsidR="0058147B" w:rsidRDefault="0058147B">
      <w:r>
        <w:t>Graduate or Professional Degree</w:t>
      </w:r>
    </w:p>
    <w:p w:rsidR="00142A1A" w:rsidRDefault="00142A1A" w:rsidP="00142A1A"/>
    <w:p w:rsidR="00BC3A99" w:rsidRDefault="00131AC7" w:rsidP="00142A1A">
      <w:r w:rsidRPr="00BC3A99">
        <w:rPr>
          <w:b/>
        </w:rPr>
        <w:t xml:space="preserve">Income by </w:t>
      </w:r>
      <w:r w:rsidR="00142A1A" w:rsidRPr="00BC3A99">
        <w:rPr>
          <w:b/>
        </w:rPr>
        <w:t>Household:</w:t>
      </w:r>
      <w:r w:rsidR="00142A1A">
        <w:t xml:space="preserve"> </w:t>
      </w:r>
    </w:p>
    <w:p w:rsidR="00142A1A" w:rsidRDefault="00142A1A" w:rsidP="00142A1A">
      <w:r w:rsidRPr="00142A1A">
        <w:t>factfinder.census.gov</w:t>
      </w:r>
    </w:p>
    <w:p w:rsidR="00142A1A" w:rsidRDefault="00142A1A" w:rsidP="00142A1A">
      <w:r w:rsidRPr="00142A1A">
        <w:t>American Community Survey 5-Year Estimates</w:t>
      </w:r>
    </w:p>
    <w:p w:rsidR="00BA1CC3" w:rsidRDefault="00BA1CC3" w:rsidP="00142A1A">
      <w:r>
        <w:t>Incomes given by the mean household income in that county</w:t>
      </w:r>
    </w:p>
    <w:p w:rsidR="00F048F2" w:rsidRDefault="00F048F2" w:rsidP="00142A1A"/>
    <w:p w:rsidR="00BC3A99" w:rsidRDefault="00F048F2" w:rsidP="00142A1A">
      <w:pPr>
        <w:rPr>
          <w:b/>
        </w:rPr>
      </w:pPr>
      <w:r w:rsidRPr="00BC3A99">
        <w:rPr>
          <w:b/>
        </w:rPr>
        <w:t>Transportation</w:t>
      </w:r>
      <w:r w:rsidR="00BC3A99">
        <w:rPr>
          <w:b/>
        </w:rPr>
        <w:t>:</w:t>
      </w:r>
    </w:p>
    <w:p w:rsidR="00F048F2" w:rsidRDefault="00935B36" w:rsidP="00142A1A">
      <w:r>
        <w:t>Percentage of County that uses these means of transportation to get to work.</w:t>
      </w:r>
    </w:p>
    <w:p w:rsidR="00BC3A99" w:rsidRDefault="00F048F2" w:rsidP="00F048F2">
      <w:r w:rsidRPr="00142A1A">
        <w:t>American Community Survey 5-Year Estimates</w:t>
      </w:r>
    </w:p>
    <w:p w:rsidR="00BC3A99" w:rsidRDefault="00BC3A99" w:rsidP="00F048F2">
      <w:r>
        <w:t>Categories Consist of:</w:t>
      </w:r>
      <w:bookmarkStart w:id="0" w:name="_GoBack"/>
      <w:bookmarkEnd w:id="0"/>
    </w:p>
    <w:p w:rsidR="00935B36" w:rsidRDefault="00935B36" w:rsidP="00F048F2">
      <w:r>
        <w:t>Commute Alone to work by driving</w:t>
      </w:r>
    </w:p>
    <w:p w:rsidR="00935B36" w:rsidRDefault="00935B36" w:rsidP="00F048F2">
      <w:r>
        <w:t>Carpool</w:t>
      </w:r>
    </w:p>
    <w:p w:rsidR="00935B36" w:rsidRDefault="00935B36" w:rsidP="00F048F2">
      <w:r>
        <w:t xml:space="preserve">Walk </w:t>
      </w:r>
    </w:p>
    <w:p w:rsidR="00935B36" w:rsidRDefault="00935B36" w:rsidP="00F048F2">
      <w:r>
        <w:t>Public Transit</w:t>
      </w:r>
    </w:p>
    <w:p w:rsidR="00935B36" w:rsidRDefault="00935B36" w:rsidP="00F048F2">
      <w:r>
        <w:t xml:space="preserve">Bike </w:t>
      </w:r>
    </w:p>
    <w:p w:rsidR="00935B36" w:rsidRDefault="00935B36" w:rsidP="00F048F2"/>
    <w:p w:rsidR="00935B36" w:rsidRDefault="00935B36" w:rsidP="00F048F2"/>
    <w:p w:rsidR="00142A1A" w:rsidRDefault="00142A1A"/>
    <w:sectPr w:rsidR="00142A1A" w:rsidSect="00793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1A"/>
    <w:rsid w:val="001004F0"/>
    <w:rsid w:val="00131AC7"/>
    <w:rsid w:val="00142A1A"/>
    <w:rsid w:val="002645B6"/>
    <w:rsid w:val="0042549F"/>
    <w:rsid w:val="004D62F8"/>
    <w:rsid w:val="0058147B"/>
    <w:rsid w:val="006A5687"/>
    <w:rsid w:val="00764148"/>
    <w:rsid w:val="00793A23"/>
    <w:rsid w:val="00935B36"/>
    <w:rsid w:val="00BA1CC3"/>
    <w:rsid w:val="00BC3A99"/>
    <w:rsid w:val="00D71197"/>
    <w:rsid w:val="00E117BE"/>
    <w:rsid w:val="00F0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FF497"/>
  <w15:chartTrackingRefBased/>
  <w15:docId w15:val="{5FD09251-DC3C-CC43-9819-AA05F165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2A1A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6A568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2A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A56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5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54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onder.cdc.gov/" TargetMode="External"/><Relationship Id="rId4" Type="http://schemas.openxmlformats.org/officeDocument/2006/relationships/hyperlink" Target="https://www.census.gov/data/datasets/time-series/demo/popest/2010s-counties-tot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Andrew Eckberg</dc:creator>
  <cp:keywords/>
  <dc:description/>
  <cp:lastModifiedBy>Ryan Andrew Eckberg</cp:lastModifiedBy>
  <cp:revision>6</cp:revision>
  <dcterms:created xsi:type="dcterms:W3CDTF">2019-11-09T02:53:00Z</dcterms:created>
  <dcterms:modified xsi:type="dcterms:W3CDTF">2019-11-09T15:52:00Z</dcterms:modified>
</cp:coreProperties>
</file>