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E63" w:rsidRPr="00002E63" w:rsidRDefault="00002E63" w:rsidP="00002E63">
      <w:pPr>
        <w:spacing w:line="240" w:lineRule="auto"/>
        <w:rPr>
          <w:rFonts w:ascii="Arial" w:eastAsia="Times New Roman" w:hAnsi="Arial" w:cs="Arial"/>
          <w:b/>
          <w:bCs/>
          <w:sz w:val="30"/>
          <w:szCs w:val="30"/>
        </w:rPr>
      </w:pPr>
      <w:r w:rsidRPr="00002E63">
        <w:rPr>
          <w:rFonts w:ascii="Arial" w:eastAsia="Times New Roman" w:hAnsi="Arial" w:cs="Arial"/>
          <w:b/>
          <w:bCs/>
          <w:sz w:val="30"/>
          <w:szCs w:val="30"/>
        </w:rPr>
        <w:t>STREAMFLIX CATALOGUE &amp; SUBSCRIBER ANALYTICS</w:t>
      </w:r>
    </w:p>
    <w:p w:rsidR="00002E63" w:rsidRPr="00002E63" w:rsidRDefault="00002E63" w:rsidP="00002E63">
      <w:pPr>
        <w:spacing w:line="240" w:lineRule="auto"/>
        <w:rPr>
          <w:rFonts w:ascii="Arial" w:eastAsia="Times New Roman" w:hAnsi="Arial" w:cs="Arial"/>
          <w:sz w:val="24"/>
          <w:szCs w:val="24"/>
        </w:rPr>
      </w:pPr>
      <w:r w:rsidRPr="00002E63">
        <w:rPr>
          <w:rFonts w:ascii="Arial" w:eastAsia="Times New Roman" w:hAnsi="Arial" w:cs="Arial"/>
          <w:b/>
          <w:bCs/>
          <w:sz w:val="24"/>
          <w:szCs w:val="24"/>
        </w:rPr>
        <w:t>TO:</w:t>
      </w:r>
      <w:r w:rsidRPr="00002E63">
        <w:rPr>
          <w:rFonts w:ascii="Arial" w:eastAsia="Times New Roman" w:hAnsi="Arial" w:cs="Arial"/>
          <w:sz w:val="24"/>
          <w:szCs w:val="24"/>
        </w:rPr>
        <w:t xml:space="preserve"> Chief Executive Officer, </w:t>
      </w:r>
      <w:proofErr w:type="spellStart"/>
      <w:r w:rsidRPr="00002E63">
        <w:rPr>
          <w:rFonts w:ascii="Arial" w:eastAsia="Times New Roman" w:hAnsi="Arial" w:cs="Arial"/>
          <w:sz w:val="24"/>
          <w:szCs w:val="24"/>
        </w:rPr>
        <w:t>StreamFlix</w:t>
      </w:r>
      <w:proofErr w:type="spellEnd"/>
      <w:r w:rsidRPr="00002E63">
        <w:rPr>
          <w:rFonts w:ascii="Arial" w:eastAsia="Times New Roman" w:hAnsi="Arial" w:cs="Arial"/>
          <w:sz w:val="24"/>
          <w:szCs w:val="24"/>
        </w:rPr>
        <w:br/>
      </w:r>
      <w:r w:rsidRPr="00002E63">
        <w:rPr>
          <w:rFonts w:ascii="Arial" w:eastAsia="Times New Roman" w:hAnsi="Arial" w:cs="Arial"/>
          <w:b/>
          <w:bCs/>
          <w:sz w:val="24"/>
          <w:szCs w:val="24"/>
        </w:rPr>
        <w:t>FROM:</w:t>
      </w:r>
      <w:r w:rsidRPr="00002E63">
        <w:rPr>
          <w:rFonts w:ascii="Arial" w:eastAsia="Times New Roman" w:hAnsi="Arial" w:cs="Arial"/>
          <w:sz w:val="24"/>
          <w:szCs w:val="24"/>
        </w:rPr>
        <w:t xml:space="preserve"> </w:t>
      </w:r>
      <w:proofErr w:type="spellStart"/>
      <w:r w:rsidRPr="00002E63">
        <w:rPr>
          <w:rFonts w:ascii="Arial" w:eastAsia="Times New Roman" w:hAnsi="Arial" w:cs="Arial"/>
          <w:sz w:val="24"/>
          <w:szCs w:val="24"/>
        </w:rPr>
        <w:t>Jenitha</w:t>
      </w:r>
      <w:proofErr w:type="spellEnd"/>
      <w:r w:rsidRPr="00002E63">
        <w:rPr>
          <w:rFonts w:ascii="Arial" w:eastAsia="Times New Roman" w:hAnsi="Arial" w:cs="Arial"/>
          <w:sz w:val="24"/>
          <w:szCs w:val="24"/>
        </w:rPr>
        <w:t xml:space="preserve"> P., Junior Data Analyst</w:t>
      </w:r>
      <w:r w:rsidRPr="00002E63">
        <w:rPr>
          <w:rFonts w:ascii="Arial" w:eastAsia="Times New Roman" w:hAnsi="Arial" w:cs="Arial"/>
          <w:sz w:val="24"/>
          <w:szCs w:val="24"/>
        </w:rPr>
        <w:br/>
      </w:r>
      <w:r w:rsidRPr="00002E63">
        <w:rPr>
          <w:rFonts w:ascii="Arial" w:eastAsia="Times New Roman" w:hAnsi="Arial" w:cs="Arial"/>
          <w:b/>
          <w:bCs/>
          <w:sz w:val="24"/>
          <w:szCs w:val="24"/>
        </w:rPr>
        <w:t>DATE:</w:t>
      </w:r>
      <w:r w:rsidRPr="00002E63">
        <w:rPr>
          <w:rFonts w:ascii="Arial" w:eastAsia="Times New Roman" w:hAnsi="Arial" w:cs="Arial"/>
          <w:sz w:val="24"/>
          <w:szCs w:val="24"/>
        </w:rPr>
        <w:t xml:space="preserve"> October 30, 2026</w:t>
      </w:r>
      <w:r w:rsidRPr="00002E63">
        <w:rPr>
          <w:rFonts w:ascii="Arial" w:eastAsia="Times New Roman" w:hAnsi="Arial" w:cs="Arial"/>
          <w:sz w:val="24"/>
          <w:szCs w:val="24"/>
        </w:rPr>
        <w:br/>
      </w:r>
      <w:r w:rsidRPr="00002E63">
        <w:rPr>
          <w:rFonts w:ascii="Arial" w:eastAsia="Times New Roman" w:hAnsi="Arial" w:cs="Arial"/>
          <w:b/>
          <w:bCs/>
          <w:sz w:val="24"/>
          <w:szCs w:val="24"/>
        </w:rPr>
        <w:t>SUBJECT:</w:t>
      </w:r>
      <w:r w:rsidRPr="00002E63">
        <w:rPr>
          <w:rFonts w:ascii="Arial" w:eastAsia="Times New Roman" w:hAnsi="Arial" w:cs="Arial"/>
          <w:sz w:val="24"/>
          <w:szCs w:val="24"/>
        </w:rPr>
        <w:t xml:space="preserve"> Q3 2026 Strategic Performance &amp; Content Analytics Report</w:t>
      </w:r>
    </w:p>
    <w:p w:rsidR="00002E63" w:rsidRPr="00002E63" w:rsidRDefault="00002E63" w:rsidP="00002E63">
      <w:pPr>
        <w:spacing w:before="480" w:after="480" w:line="240" w:lineRule="auto"/>
        <w:rPr>
          <w:rFonts w:ascii="Times New Roman" w:eastAsia="Times New Roman" w:hAnsi="Times New Roman" w:cs="Times New Roman"/>
          <w:sz w:val="24"/>
          <w:szCs w:val="24"/>
        </w:rPr>
      </w:pPr>
      <w:r w:rsidRPr="00002E63">
        <w:rPr>
          <w:rFonts w:ascii="Times New Roman" w:eastAsia="Times New Roman" w:hAnsi="Times New Roman" w:cs="Times New Roman"/>
          <w:sz w:val="24"/>
          <w:szCs w:val="24"/>
        </w:rPr>
        <w:pict>
          <v:rect id="_x0000_i1025" style="width:0;height:1.5pt" o:hralign="center" o:hrstd="t" o:hr="t" fillcolor="#a0a0a0" stroked="f"/>
        </w:pict>
      </w:r>
    </w:p>
    <w:p w:rsidR="00002E63" w:rsidRPr="00002E63" w:rsidRDefault="00002E63" w:rsidP="00002E63">
      <w:pPr>
        <w:spacing w:before="480" w:after="480" w:line="240" w:lineRule="auto"/>
        <w:rPr>
          <w:rFonts w:ascii="Arial" w:eastAsia="Times New Roman" w:hAnsi="Arial" w:cs="Arial"/>
          <w:b/>
          <w:bCs/>
          <w:sz w:val="30"/>
          <w:szCs w:val="30"/>
        </w:rPr>
      </w:pPr>
      <w:r w:rsidRPr="00002E63">
        <w:rPr>
          <w:rFonts w:ascii="Arial" w:eastAsia="Times New Roman" w:hAnsi="Arial" w:cs="Arial"/>
          <w:b/>
          <w:bCs/>
          <w:sz w:val="30"/>
          <w:szCs w:val="30"/>
        </w:rPr>
        <w:t>1. Executive Summary</w:t>
      </w:r>
    </w:p>
    <w:p w:rsidR="00002E63" w:rsidRPr="00002E63" w:rsidRDefault="00002E63" w:rsidP="00002E63">
      <w:pPr>
        <w:spacing w:before="480" w:after="480" w:line="240" w:lineRule="auto"/>
        <w:rPr>
          <w:rFonts w:ascii="Arial" w:eastAsia="Times New Roman" w:hAnsi="Arial" w:cs="Arial"/>
          <w:sz w:val="24"/>
          <w:szCs w:val="24"/>
        </w:rPr>
      </w:pPr>
      <w:r w:rsidRPr="00002E63">
        <w:rPr>
          <w:rFonts w:ascii="Arial" w:eastAsia="Times New Roman" w:hAnsi="Arial" w:cs="Arial"/>
          <w:sz w:val="24"/>
          <w:szCs w:val="24"/>
        </w:rPr>
        <w:t xml:space="preserve">This report provides a data-driven evaluation of </w:t>
      </w:r>
      <w:proofErr w:type="spellStart"/>
      <w:r w:rsidRPr="00002E63">
        <w:rPr>
          <w:rFonts w:ascii="Arial" w:eastAsia="Times New Roman" w:hAnsi="Arial" w:cs="Arial"/>
          <w:sz w:val="24"/>
          <w:szCs w:val="24"/>
        </w:rPr>
        <w:t>StreamFlix’s</w:t>
      </w:r>
      <w:proofErr w:type="spellEnd"/>
      <w:r w:rsidRPr="00002E63">
        <w:rPr>
          <w:rFonts w:ascii="Arial" w:eastAsia="Times New Roman" w:hAnsi="Arial" w:cs="Arial"/>
          <w:sz w:val="24"/>
          <w:szCs w:val="24"/>
        </w:rPr>
        <w:t xml:space="preserve"> global subscription video-on-demand (SVOD) platform health, library utility, and revenue sustainability based on more than nine years of platform history. Overall, the platform is in an exceptionally healthy state. </w:t>
      </w:r>
      <w:proofErr w:type="spellStart"/>
      <w:r w:rsidRPr="00002E63">
        <w:rPr>
          <w:rFonts w:ascii="Arial" w:eastAsia="Times New Roman" w:hAnsi="Arial" w:cs="Arial"/>
          <w:sz w:val="24"/>
          <w:szCs w:val="24"/>
        </w:rPr>
        <w:t>StreamFlix</w:t>
      </w:r>
      <w:proofErr w:type="spellEnd"/>
      <w:r w:rsidRPr="00002E63">
        <w:rPr>
          <w:rFonts w:ascii="Arial" w:eastAsia="Times New Roman" w:hAnsi="Arial" w:cs="Arial"/>
          <w:sz w:val="24"/>
          <w:szCs w:val="24"/>
        </w:rPr>
        <w:t xml:space="preserve"> currently maintains an active subscriber rate of 74.66%, successfully beating the board's target floor of 70%.</w:t>
      </w:r>
    </w:p>
    <w:p w:rsidR="00002E63" w:rsidRPr="00002E63" w:rsidRDefault="00002E63" w:rsidP="00002E63">
      <w:pPr>
        <w:spacing w:before="480" w:after="480" w:line="240" w:lineRule="auto"/>
        <w:rPr>
          <w:rFonts w:ascii="Arial" w:eastAsia="Times New Roman" w:hAnsi="Arial" w:cs="Arial"/>
          <w:sz w:val="24"/>
          <w:szCs w:val="24"/>
        </w:rPr>
      </w:pPr>
      <w:r w:rsidRPr="00002E63">
        <w:rPr>
          <w:rFonts w:ascii="Arial" w:eastAsia="Times New Roman" w:hAnsi="Arial" w:cs="Arial"/>
          <w:sz w:val="24"/>
          <w:szCs w:val="24"/>
        </w:rPr>
        <w:t>With total consumption reaching a massive 3,333,467 hours and an average completion rate of 65.31%, customer engagement depth is robust. Our financial footing remains strong, yielding a global Monthly Recurring Revenue (MRR) of $175,868.51 from active tiers and a healthy Average Revenue Per User (ARPU) of $15.70. Our content library shows an excellent risk profile, proving that our ecosystem is resilient and well-positioned for efficient scale.</w:t>
      </w:r>
    </w:p>
    <w:p w:rsidR="00002E63" w:rsidRPr="00002E63" w:rsidRDefault="00002E63" w:rsidP="00002E63">
      <w:pPr>
        <w:spacing w:before="480" w:after="480" w:line="240" w:lineRule="auto"/>
        <w:rPr>
          <w:rFonts w:ascii="Times New Roman" w:eastAsia="Times New Roman" w:hAnsi="Times New Roman" w:cs="Times New Roman"/>
          <w:sz w:val="24"/>
          <w:szCs w:val="24"/>
        </w:rPr>
      </w:pPr>
      <w:r w:rsidRPr="00002E63">
        <w:rPr>
          <w:rFonts w:ascii="Times New Roman" w:eastAsia="Times New Roman" w:hAnsi="Times New Roman" w:cs="Times New Roman"/>
          <w:sz w:val="24"/>
          <w:szCs w:val="24"/>
        </w:rPr>
        <w:pict>
          <v:rect id="_x0000_i1026" style="width:0;height:1.5pt" o:hralign="center" o:hrstd="t" o:hr="t" fillcolor="#a0a0a0" stroked="f"/>
        </w:pict>
      </w:r>
    </w:p>
    <w:p w:rsidR="00002E63" w:rsidRPr="00002E63" w:rsidRDefault="00002E63" w:rsidP="00002E63">
      <w:pPr>
        <w:spacing w:before="480" w:after="480" w:line="240" w:lineRule="auto"/>
        <w:rPr>
          <w:rFonts w:ascii="Arial" w:eastAsia="Times New Roman" w:hAnsi="Arial" w:cs="Arial"/>
          <w:b/>
          <w:bCs/>
          <w:sz w:val="30"/>
          <w:szCs w:val="30"/>
        </w:rPr>
      </w:pPr>
      <w:r w:rsidRPr="00002E63">
        <w:rPr>
          <w:rFonts w:ascii="Arial" w:eastAsia="Times New Roman" w:hAnsi="Arial" w:cs="Arial"/>
          <w:b/>
          <w:bCs/>
          <w:sz w:val="30"/>
          <w:szCs w:val="30"/>
        </w:rPr>
        <w:t>2. The Core Performance Ledger</w:t>
      </w:r>
    </w:p>
    <w:p w:rsidR="00002E63" w:rsidRPr="00002E63" w:rsidRDefault="00002E63" w:rsidP="00002E63">
      <w:pPr>
        <w:spacing w:before="480" w:after="480" w:line="240" w:lineRule="auto"/>
        <w:rPr>
          <w:rFonts w:ascii="Arial" w:eastAsia="Times New Roman" w:hAnsi="Arial" w:cs="Arial"/>
          <w:sz w:val="24"/>
          <w:szCs w:val="24"/>
        </w:rPr>
      </w:pPr>
      <w:r w:rsidRPr="00002E63">
        <w:rPr>
          <w:rFonts w:ascii="Arial" w:eastAsia="Times New Roman" w:hAnsi="Arial" w:cs="Arial"/>
          <w:sz w:val="24"/>
          <w:szCs w:val="24"/>
        </w:rPr>
        <w:t>A summary of the core business metrics calculated across our relational data pipelines reveals the following platform baseline:</w:t>
      </w:r>
    </w:p>
    <w:p w:rsidR="00002E63" w:rsidRPr="00002E63" w:rsidRDefault="00002E63" w:rsidP="00002E63">
      <w:pPr>
        <w:numPr>
          <w:ilvl w:val="0"/>
          <w:numId w:val="1"/>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Total Content Utilization:</w:t>
      </w:r>
      <w:r w:rsidRPr="00002E63">
        <w:rPr>
          <w:rFonts w:ascii="Arial" w:eastAsia="Times New Roman" w:hAnsi="Arial" w:cs="Arial"/>
          <w:sz w:val="24"/>
          <w:szCs w:val="24"/>
        </w:rPr>
        <w:t xml:space="preserve"> 3,333,467.73 Watch Hours</w:t>
      </w:r>
    </w:p>
    <w:p w:rsidR="00002E63" w:rsidRPr="00002E63" w:rsidRDefault="00002E63" w:rsidP="00002E63">
      <w:pPr>
        <w:numPr>
          <w:ilvl w:val="0"/>
          <w:numId w:val="1"/>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Platform Health Index:</w:t>
      </w:r>
      <w:r w:rsidRPr="00002E63">
        <w:rPr>
          <w:rFonts w:ascii="Arial" w:eastAsia="Times New Roman" w:hAnsi="Arial" w:cs="Arial"/>
          <w:sz w:val="24"/>
          <w:szCs w:val="24"/>
        </w:rPr>
        <w:t xml:space="preserve"> 74.66% Active Subscriber Rate (25.34% Cumulative Churn)</w:t>
      </w:r>
    </w:p>
    <w:p w:rsidR="00002E63" w:rsidRPr="00002E63" w:rsidRDefault="00002E63" w:rsidP="00002E63">
      <w:pPr>
        <w:numPr>
          <w:ilvl w:val="0"/>
          <w:numId w:val="1"/>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Engagement Depth:</w:t>
      </w:r>
      <w:r w:rsidRPr="00002E63">
        <w:rPr>
          <w:rFonts w:ascii="Arial" w:eastAsia="Times New Roman" w:hAnsi="Arial" w:cs="Arial"/>
          <w:sz w:val="24"/>
          <w:szCs w:val="24"/>
        </w:rPr>
        <w:t xml:space="preserve"> 65.31% Average Content Completion Rate</w:t>
      </w:r>
    </w:p>
    <w:p w:rsidR="00002E63" w:rsidRPr="00002E63" w:rsidRDefault="00002E63" w:rsidP="00002E63">
      <w:pPr>
        <w:numPr>
          <w:ilvl w:val="0"/>
          <w:numId w:val="1"/>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Monthly Recurring Revenue (MRR):</w:t>
      </w:r>
      <w:r w:rsidRPr="00002E63">
        <w:rPr>
          <w:rFonts w:ascii="Arial" w:eastAsia="Times New Roman" w:hAnsi="Arial" w:cs="Arial"/>
          <w:sz w:val="24"/>
          <w:szCs w:val="24"/>
        </w:rPr>
        <w:t xml:space="preserve"> $175,868.51 (Active billing tiers only)</w:t>
      </w:r>
    </w:p>
    <w:p w:rsidR="00002E63" w:rsidRPr="00002E63" w:rsidRDefault="00002E63" w:rsidP="00002E63">
      <w:pPr>
        <w:numPr>
          <w:ilvl w:val="0"/>
          <w:numId w:val="1"/>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Average Revenue Per User (ARPU):</w:t>
      </w:r>
      <w:r w:rsidRPr="00002E63">
        <w:rPr>
          <w:rFonts w:ascii="Arial" w:eastAsia="Times New Roman" w:hAnsi="Arial" w:cs="Arial"/>
          <w:sz w:val="24"/>
          <w:szCs w:val="24"/>
        </w:rPr>
        <w:t xml:space="preserve"> $15.70</w:t>
      </w:r>
    </w:p>
    <w:p w:rsidR="00002E63" w:rsidRPr="00002E63" w:rsidRDefault="00002E63" w:rsidP="00002E63">
      <w:pPr>
        <w:numPr>
          <w:ilvl w:val="0"/>
          <w:numId w:val="1"/>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Subscriber Utility Metric:</w:t>
      </w:r>
      <w:r w:rsidRPr="00002E63">
        <w:rPr>
          <w:rFonts w:ascii="Arial" w:eastAsia="Times New Roman" w:hAnsi="Arial" w:cs="Arial"/>
          <w:sz w:val="24"/>
          <w:szCs w:val="24"/>
        </w:rPr>
        <w:t xml:space="preserve"> 297.66 Average Watch Hours </w:t>
      </w:r>
      <w:proofErr w:type="gramStart"/>
      <w:r w:rsidRPr="00002E63">
        <w:rPr>
          <w:rFonts w:ascii="Arial" w:eastAsia="Times New Roman" w:hAnsi="Arial" w:cs="Arial"/>
          <w:sz w:val="24"/>
          <w:szCs w:val="24"/>
        </w:rPr>
        <w:t>per</w:t>
      </w:r>
      <w:proofErr w:type="gramEnd"/>
      <w:r w:rsidRPr="00002E63">
        <w:rPr>
          <w:rFonts w:ascii="Arial" w:eastAsia="Times New Roman" w:hAnsi="Arial" w:cs="Arial"/>
          <w:sz w:val="24"/>
          <w:szCs w:val="24"/>
        </w:rPr>
        <w:t xml:space="preserve"> Active User</w:t>
      </w:r>
    </w:p>
    <w:p w:rsidR="00002E63" w:rsidRPr="00002E63" w:rsidRDefault="00002E63" w:rsidP="00002E63">
      <w:pPr>
        <w:numPr>
          <w:ilvl w:val="0"/>
          <w:numId w:val="1"/>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Intent-to-Streaming Efficiency:</w:t>
      </w:r>
      <w:r w:rsidRPr="00002E63">
        <w:rPr>
          <w:rFonts w:ascii="Arial" w:eastAsia="Times New Roman" w:hAnsi="Arial" w:cs="Arial"/>
          <w:sz w:val="24"/>
          <w:szCs w:val="24"/>
        </w:rPr>
        <w:t xml:space="preserve"> 46.23% </w:t>
      </w:r>
      <w:proofErr w:type="spellStart"/>
      <w:r w:rsidRPr="00002E63">
        <w:rPr>
          <w:rFonts w:ascii="Arial" w:eastAsia="Times New Roman" w:hAnsi="Arial" w:cs="Arial"/>
          <w:sz w:val="24"/>
          <w:szCs w:val="24"/>
        </w:rPr>
        <w:t>Watchlist</w:t>
      </w:r>
      <w:proofErr w:type="spellEnd"/>
      <w:r w:rsidRPr="00002E63">
        <w:rPr>
          <w:rFonts w:ascii="Arial" w:eastAsia="Times New Roman" w:hAnsi="Arial" w:cs="Arial"/>
          <w:sz w:val="24"/>
          <w:szCs w:val="24"/>
        </w:rPr>
        <w:t xml:space="preserve"> Conversion Rate</w:t>
      </w:r>
    </w:p>
    <w:p w:rsidR="00002E63" w:rsidRPr="00002E63" w:rsidRDefault="00002E63" w:rsidP="00002E63">
      <w:pPr>
        <w:numPr>
          <w:ilvl w:val="0"/>
          <w:numId w:val="1"/>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Catalog Concentration Risk:</w:t>
      </w:r>
      <w:r w:rsidRPr="00002E63">
        <w:rPr>
          <w:rFonts w:ascii="Arial" w:eastAsia="Times New Roman" w:hAnsi="Arial" w:cs="Arial"/>
          <w:sz w:val="24"/>
          <w:szCs w:val="24"/>
        </w:rPr>
        <w:t xml:space="preserve"> 30.99% Hit Concentration (Top 10% of library assets)</w:t>
      </w:r>
    </w:p>
    <w:p w:rsidR="00002E63" w:rsidRPr="00002E63" w:rsidRDefault="00002E63" w:rsidP="00002E63">
      <w:pPr>
        <w:numPr>
          <w:ilvl w:val="0"/>
          <w:numId w:val="1"/>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Original Content Footprint:</w:t>
      </w:r>
      <w:r w:rsidRPr="00002E63">
        <w:rPr>
          <w:rFonts w:ascii="Arial" w:eastAsia="Times New Roman" w:hAnsi="Arial" w:cs="Arial"/>
          <w:sz w:val="24"/>
          <w:szCs w:val="24"/>
        </w:rPr>
        <w:t xml:space="preserve"> 27.17% Originals Share of Global Watch Hours</w:t>
      </w:r>
    </w:p>
    <w:p w:rsidR="00002E63" w:rsidRPr="00002E63" w:rsidRDefault="00002E63" w:rsidP="00002E63">
      <w:pPr>
        <w:spacing w:before="480" w:after="480" w:line="240" w:lineRule="auto"/>
        <w:rPr>
          <w:rFonts w:ascii="Times New Roman" w:eastAsia="Times New Roman" w:hAnsi="Times New Roman" w:cs="Times New Roman"/>
          <w:sz w:val="24"/>
          <w:szCs w:val="24"/>
        </w:rPr>
      </w:pPr>
      <w:r w:rsidRPr="00002E63">
        <w:rPr>
          <w:rFonts w:ascii="Times New Roman" w:eastAsia="Times New Roman" w:hAnsi="Times New Roman" w:cs="Times New Roman"/>
          <w:sz w:val="24"/>
          <w:szCs w:val="24"/>
        </w:rPr>
        <w:lastRenderedPageBreak/>
        <w:pict>
          <v:rect id="_x0000_i1027" style="width:0;height:1.5pt" o:hralign="center" o:hrstd="t" o:hr="t" fillcolor="#a0a0a0" stroked="f"/>
        </w:pict>
      </w:r>
    </w:p>
    <w:p w:rsidR="00002E63" w:rsidRPr="00002E63" w:rsidRDefault="00002E63" w:rsidP="00002E63">
      <w:pPr>
        <w:spacing w:before="480" w:after="480" w:line="240" w:lineRule="auto"/>
        <w:rPr>
          <w:rFonts w:ascii="Arial" w:eastAsia="Times New Roman" w:hAnsi="Arial" w:cs="Arial"/>
          <w:b/>
          <w:bCs/>
          <w:sz w:val="30"/>
          <w:szCs w:val="30"/>
        </w:rPr>
      </w:pPr>
      <w:r w:rsidRPr="00002E63">
        <w:rPr>
          <w:rFonts w:ascii="Arial" w:eastAsia="Times New Roman" w:hAnsi="Arial" w:cs="Arial"/>
          <w:b/>
          <w:bCs/>
          <w:sz w:val="30"/>
          <w:szCs w:val="30"/>
        </w:rPr>
        <w:t>3. Deep-Dive Strategic Analysis &amp; Insights</w:t>
      </w:r>
    </w:p>
    <w:p w:rsidR="00002E63" w:rsidRPr="00002E63" w:rsidRDefault="00002E63" w:rsidP="00002E63">
      <w:pPr>
        <w:numPr>
          <w:ilvl w:val="0"/>
          <w:numId w:val="2"/>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Insulation Against Catalog Concentration Risks:</w:t>
      </w:r>
      <w:r w:rsidRPr="00002E63">
        <w:rPr>
          <w:rFonts w:ascii="Arial" w:eastAsia="Times New Roman" w:hAnsi="Arial" w:cs="Arial"/>
          <w:sz w:val="24"/>
          <w:szCs w:val="24"/>
        </w:rPr>
        <w:br/>
        <w:t xml:space="preserve">One of our most reassuring discoveries is a </w:t>
      </w:r>
      <w:r w:rsidRPr="00002E63">
        <w:rPr>
          <w:rFonts w:ascii="Arial" w:eastAsia="Times New Roman" w:hAnsi="Arial" w:cs="Arial"/>
          <w:b/>
          <w:bCs/>
          <w:sz w:val="24"/>
          <w:szCs w:val="24"/>
        </w:rPr>
        <w:t>Hit Concentration of 30.99%</w:t>
      </w:r>
      <w:r w:rsidRPr="00002E63">
        <w:rPr>
          <w:rFonts w:ascii="Arial" w:eastAsia="Times New Roman" w:hAnsi="Arial" w:cs="Arial"/>
          <w:sz w:val="24"/>
          <w:szCs w:val="24"/>
        </w:rPr>
        <w:t xml:space="preserve">. In the streaming industry, platforms often face heavy concentration risks where a tiny handful of licensed studio blockbusters account for over half of all watch time. If those external licenses expire, the platform faces sudden churn. Because our top 10% of titles drive less than a third of total streaming volume, </w:t>
      </w:r>
      <w:proofErr w:type="spellStart"/>
      <w:r w:rsidRPr="00002E63">
        <w:rPr>
          <w:rFonts w:ascii="Arial" w:eastAsia="Times New Roman" w:hAnsi="Arial" w:cs="Arial"/>
          <w:sz w:val="24"/>
          <w:szCs w:val="24"/>
        </w:rPr>
        <w:t>StreamFlix</w:t>
      </w:r>
      <w:proofErr w:type="spellEnd"/>
      <w:r w:rsidRPr="00002E63">
        <w:rPr>
          <w:rFonts w:ascii="Arial" w:eastAsia="Times New Roman" w:hAnsi="Arial" w:cs="Arial"/>
          <w:sz w:val="24"/>
          <w:szCs w:val="24"/>
        </w:rPr>
        <w:t xml:space="preserve"> has a highly diversified, "long-tail" catalog. Our subscribers are actively exploring a wide variety of content, protecting us from relying on just a few massive hits.</w:t>
      </w:r>
    </w:p>
    <w:p w:rsidR="00002E63" w:rsidRPr="00002E63" w:rsidRDefault="00002E63" w:rsidP="00002E63">
      <w:pPr>
        <w:numPr>
          <w:ilvl w:val="0"/>
          <w:numId w:val="2"/>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Healthy Premium Tier Migration:</w:t>
      </w:r>
      <w:r w:rsidRPr="00002E63">
        <w:rPr>
          <w:rFonts w:ascii="Arial" w:eastAsia="Times New Roman" w:hAnsi="Arial" w:cs="Arial"/>
          <w:sz w:val="24"/>
          <w:szCs w:val="24"/>
        </w:rPr>
        <w:br/>
        <w:t xml:space="preserve">Our global </w:t>
      </w:r>
      <w:r w:rsidRPr="00002E63">
        <w:rPr>
          <w:rFonts w:ascii="Arial" w:eastAsia="Times New Roman" w:hAnsi="Arial" w:cs="Arial"/>
          <w:b/>
          <w:bCs/>
          <w:sz w:val="24"/>
          <w:szCs w:val="24"/>
        </w:rPr>
        <w:t>ARPU stands at $15.70</w:t>
      </w:r>
      <w:r w:rsidRPr="00002E63">
        <w:rPr>
          <w:rFonts w:ascii="Arial" w:eastAsia="Times New Roman" w:hAnsi="Arial" w:cs="Arial"/>
          <w:sz w:val="24"/>
          <w:szCs w:val="24"/>
        </w:rPr>
        <w:t>, which sits comfortably above our Standard pricing baseline ($15.49). This proves that our marketing and tier structures are working; a significant portion of our active subscriber base is actively choosing our Premium tier ($22.99) for multi-device streaming and ultra-high-definition resolution, boosting overall profit margins.</w:t>
      </w:r>
    </w:p>
    <w:p w:rsidR="00002E63" w:rsidRPr="00002E63" w:rsidRDefault="00002E63" w:rsidP="00002E63">
      <w:pPr>
        <w:numPr>
          <w:ilvl w:val="0"/>
          <w:numId w:val="2"/>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High Recommendation Engine Efficacy:</w:t>
      </w:r>
      <w:r w:rsidRPr="00002E63">
        <w:rPr>
          <w:rFonts w:ascii="Arial" w:eastAsia="Times New Roman" w:hAnsi="Arial" w:cs="Arial"/>
          <w:sz w:val="24"/>
          <w:szCs w:val="24"/>
        </w:rPr>
        <w:br/>
        <w:t xml:space="preserve">Our </w:t>
      </w:r>
      <w:proofErr w:type="spellStart"/>
      <w:r w:rsidRPr="00002E63">
        <w:rPr>
          <w:rFonts w:ascii="Arial" w:eastAsia="Times New Roman" w:hAnsi="Arial" w:cs="Arial"/>
          <w:b/>
          <w:bCs/>
          <w:sz w:val="24"/>
          <w:szCs w:val="24"/>
        </w:rPr>
        <w:t>Watchlist</w:t>
      </w:r>
      <w:proofErr w:type="spellEnd"/>
      <w:r w:rsidRPr="00002E63">
        <w:rPr>
          <w:rFonts w:ascii="Arial" w:eastAsia="Times New Roman" w:hAnsi="Arial" w:cs="Arial"/>
          <w:b/>
          <w:bCs/>
          <w:sz w:val="24"/>
          <w:szCs w:val="24"/>
        </w:rPr>
        <w:t xml:space="preserve"> Conversion Rate of 46.23%</w:t>
      </w:r>
      <w:r w:rsidRPr="00002E63">
        <w:rPr>
          <w:rFonts w:ascii="Arial" w:eastAsia="Times New Roman" w:hAnsi="Arial" w:cs="Arial"/>
          <w:sz w:val="24"/>
          <w:szCs w:val="24"/>
        </w:rPr>
        <w:t xml:space="preserve"> easily beats standard industry benchmarks (which hover around 40%). This confirms that when users save content to watch later, nearly half of them follow through. This indicates that our personal recommendation feeds and home screen layouts are highly effective at matching users with content they actually want to watch.</w:t>
      </w:r>
    </w:p>
    <w:p w:rsidR="00002E63" w:rsidRPr="00002E63" w:rsidRDefault="00002E63" w:rsidP="00002E63">
      <w:pPr>
        <w:spacing w:before="480" w:after="480" w:line="240" w:lineRule="auto"/>
        <w:rPr>
          <w:rFonts w:ascii="Times New Roman" w:eastAsia="Times New Roman" w:hAnsi="Times New Roman" w:cs="Times New Roman"/>
          <w:sz w:val="24"/>
          <w:szCs w:val="24"/>
        </w:rPr>
      </w:pPr>
      <w:r w:rsidRPr="00002E63">
        <w:rPr>
          <w:rFonts w:ascii="Times New Roman" w:eastAsia="Times New Roman" w:hAnsi="Times New Roman" w:cs="Times New Roman"/>
          <w:sz w:val="24"/>
          <w:szCs w:val="24"/>
        </w:rPr>
        <w:pict>
          <v:rect id="_x0000_i1028" style="width:0;height:1.5pt" o:hralign="center" o:hrstd="t" o:hr="t" fillcolor="#a0a0a0" stroked="f"/>
        </w:pict>
      </w:r>
    </w:p>
    <w:p w:rsidR="00002E63" w:rsidRPr="00002E63" w:rsidRDefault="00002E63" w:rsidP="00002E63">
      <w:pPr>
        <w:spacing w:before="480" w:after="480" w:line="240" w:lineRule="auto"/>
        <w:rPr>
          <w:rFonts w:ascii="Arial" w:eastAsia="Times New Roman" w:hAnsi="Arial" w:cs="Arial"/>
          <w:b/>
          <w:bCs/>
          <w:sz w:val="30"/>
          <w:szCs w:val="30"/>
        </w:rPr>
      </w:pPr>
      <w:r w:rsidRPr="00002E63">
        <w:rPr>
          <w:rFonts w:ascii="Arial" w:eastAsia="Times New Roman" w:hAnsi="Arial" w:cs="Arial"/>
          <w:b/>
          <w:bCs/>
          <w:sz w:val="30"/>
          <w:szCs w:val="30"/>
        </w:rPr>
        <w:t>4. Strategic Risks Identified</w:t>
      </w:r>
    </w:p>
    <w:p w:rsidR="00002E63" w:rsidRPr="00002E63" w:rsidRDefault="00002E63" w:rsidP="00002E63">
      <w:pPr>
        <w:numPr>
          <w:ilvl w:val="0"/>
          <w:numId w:val="3"/>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The Early Churn Window (Months 0–3):</w:t>
      </w:r>
      <w:r w:rsidRPr="00002E63">
        <w:rPr>
          <w:rFonts w:ascii="Arial" w:eastAsia="Times New Roman" w:hAnsi="Arial" w:cs="Arial"/>
          <w:sz w:val="24"/>
          <w:szCs w:val="24"/>
        </w:rPr>
        <w:br/>
        <w:t>While our total churn rate of 25.34% meets our internal goals, our cohort analysis reveals a distinct drop in user retention within the first 90 days following sign-up. This suggests that while marketing effectively drives new sign-ups, the initial onboarding experience needs to hook users faster to prevent early cancellations.</w:t>
      </w:r>
    </w:p>
    <w:p w:rsidR="00002E63" w:rsidRPr="00002E63" w:rsidRDefault="00002E63" w:rsidP="00002E63">
      <w:pPr>
        <w:numPr>
          <w:ilvl w:val="0"/>
          <w:numId w:val="3"/>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Original Content Return on Investment (ROI):</w:t>
      </w:r>
      <w:r w:rsidRPr="00002E63">
        <w:rPr>
          <w:rFonts w:ascii="Arial" w:eastAsia="Times New Roman" w:hAnsi="Arial" w:cs="Arial"/>
          <w:sz w:val="24"/>
          <w:szCs w:val="24"/>
        </w:rPr>
        <w:br/>
      </w:r>
      <w:proofErr w:type="spellStart"/>
      <w:r w:rsidRPr="00002E63">
        <w:rPr>
          <w:rFonts w:ascii="Arial" w:eastAsia="Times New Roman" w:hAnsi="Arial" w:cs="Arial"/>
          <w:sz w:val="24"/>
          <w:szCs w:val="24"/>
        </w:rPr>
        <w:t>StreamFlix</w:t>
      </w:r>
      <w:proofErr w:type="spellEnd"/>
      <w:r w:rsidRPr="00002E63">
        <w:rPr>
          <w:rFonts w:ascii="Arial" w:eastAsia="Times New Roman" w:hAnsi="Arial" w:cs="Arial"/>
          <w:sz w:val="24"/>
          <w:szCs w:val="24"/>
        </w:rPr>
        <w:t xml:space="preserve"> Originals currently drive </w:t>
      </w:r>
      <w:r w:rsidRPr="00002E63">
        <w:rPr>
          <w:rFonts w:ascii="Arial" w:eastAsia="Times New Roman" w:hAnsi="Arial" w:cs="Arial"/>
          <w:b/>
          <w:bCs/>
          <w:sz w:val="24"/>
          <w:szCs w:val="24"/>
        </w:rPr>
        <w:t>27.17% of total watch hours</w:t>
      </w:r>
      <w:r w:rsidRPr="00002E63">
        <w:rPr>
          <w:rFonts w:ascii="Arial" w:eastAsia="Times New Roman" w:hAnsi="Arial" w:cs="Arial"/>
          <w:sz w:val="24"/>
          <w:szCs w:val="24"/>
        </w:rPr>
        <w:t>. While this is a solid anchor, it means that licensed third-party titles still carry nearly three-quarters of the platform's engagement. Given the high capital costs required to produce original films and series, we must ensure our production budget is targeted toward concepts with guaranteed multi-season appeal rather than expensive, low-completion experiments.</w:t>
      </w:r>
    </w:p>
    <w:p w:rsidR="00002E63" w:rsidRPr="00002E63" w:rsidRDefault="00002E63" w:rsidP="00002E63">
      <w:pPr>
        <w:spacing w:before="480" w:after="480" w:line="240" w:lineRule="auto"/>
        <w:rPr>
          <w:rFonts w:ascii="Times New Roman" w:eastAsia="Times New Roman" w:hAnsi="Times New Roman" w:cs="Times New Roman"/>
          <w:sz w:val="24"/>
          <w:szCs w:val="24"/>
        </w:rPr>
      </w:pPr>
      <w:r w:rsidRPr="00002E63">
        <w:rPr>
          <w:rFonts w:ascii="Times New Roman" w:eastAsia="Times New Roman" w:hAnsi="Times New Roman" w:cs="Times New Roman"/>
          <w:sz w:val="24"/>
          <w:szCs w:val="24"/>
        </w:rPr>
        <w:pict>
          <v:rect id="_x0000_i1029" style="width:0;height:1.5pt" o:hralign="center" o:hrstd="t" o:hr="t" fillcolor="#a0a0a0" stroked="f"/>
        </w:pict>
      </w:r>
    </w:p>
    <w:p w:rsidR="00002E63" w:rsidRPr="00002E63" w:rsidRDefault="00002E63" w:rsidP="00002E63">
      <w:pPr>
        <w:spacing w:before="480" w:after="480" w:line="240" w:lineRule="auto"/>
        <w:rPr>
          <w:rFonts w:ascii="Arial" w:eastAsia="Times New Roman" w:hAnsi="Arial" w:cs="Arial"/>
          <w:b/>
          <w:bCs/>
          <w:sz w:val="30"/>
          <w:szCs w:val="30"/>
        </w:rPr>
      </w:pPr>
      <w:r w:rsidRPr="00002E63">
        <w:rPr>
          <w:rFonts w:ascii="Arial" w:eastAsia="Times New Roman" w:hAnsi="Arial" w:cs="Arial"/>
          <w:b/>
          <w:bCs/>
          <w:sz w:val="30"/>
          <w:szCs w:val="30"/>
        </w:rPr>
        <w:lastRenderedPageBreak/>
        <w:t>5. Actionable Recommendations for Growth</w:t>
      </w:r>
    </w:p>
    <w:p w:rsidR="00002E63" w:rsidRPr="00002E63" w:rsidRDefault="00002E63" w:rsidP="00002E63">
      <w:pPr>
        <w:numPr>
          <w:ilvl w:val="0"/>
          <w:numId w:val="4"/>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Deploy a "90-Day Engagement Hook" for New Cohorts:</w:t>
      </w:r>
      <w:r w:rsidRPr="00002E63">
        <w:rPr>
          <w:rFonts w:ascii="Arial" w:eastAsia="Times New Roman" w:hAnsi="Arial" w:cs="Arial"/>
          <w:sz w:val="24"/>
          <w:szCs w:val="24"/>
        </w:rPr>
        <w:br/>
        <w:t>To mitigate early churn, we should launch automated, personalized push notifications and specialized home screen hero banners tailored directly to the specific genres a user watched during their first 14 days. Ensuring a new user discovers a second and third "must-watch" title in their first month is critical to securing retention past the Month 3 churn cliff.</w:t>
      </w:r>
    </w:p>
    <w:p w:rsidR="00002E63" w:rsidRPr="00002E63" w:rsidRDefault="00002E63" w:rsidP="00002E63">
      <w:pPr>
        <w:numPr>
          <w:ilvl w:val="0"/>
          <w:numId w:val="4"/>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Shift Budget to Localized, High-Completion Content:</w:t>
      </w:r>
      <w:r w:rsidRPr="00002E63">
        <w:rPr>
          <w:rFonts w:ascii="Arial" w:eastAsia="Times New Roman" w:hAnsi="Arial" w:cs="Arial"/>
          <w:sz w:val="24"/>
          <w:szCs w:val="24"/>
        </w:rPr>
        <w:br/>
        <w:t xml:space="preserve">Our content metrics show that while massive blockbusters bring in absolute hour volume, specific smaller, localized genres (such as Musicals, Animation, and Stand-Up) hold the highest average completion rates on the platform. We should look to acquire or produce lower-cost, high-completion content in these sticky categories to optimize </w:t>
      </w:r>
      <w:proofErr w:type="gramStart"/>
      <w:r w:rsidRPr="00002E63">
        <w:rPr>
          <w:rFonts w:ascii="Arial" w:eastAsia="Times New Roman" w:hAnsi="Arial" w:cs="Arial"/>
          <w:sz w:val="24"/>
          <w:szCs w:val="24"/>
        </w:rPr>
        <w:t>our</w:t>
      </w:r>
      <w:proofErr w:type="gramEnd"/>
      <w:r w:rsidRPr="00002E63">
        <w:rPr>
          <w:rFonts w:ascii="Arial" w:eastAsia="Times New Roman" w:hAnsi="Arial" w:cs="Arial"/>
          <w:sz w:val="24"/>
          <w:szCs w:val="24"/>
        </w:rPr>
        <w:t xml:space="preserve"> spend and increase user satisfaction.</w:t>
      </w:r>
    </w:p>
    <w:p w:rsidR="00002E63" w:rsidRPr="00002E63" w:rsidRDefault="00002E63" w:rsidP="00002E63">
      <w:pPr>
        <w:numPr>
          <w:ilvl w:val="0"/>
          <w:numId w:val="4"/>
        </w:numPr>
        <w:spacing w:after="0" w:line="240" w:lineRule="auto"/>
        <w:ind w:left="0"/>
        <w:rPr>
          <w:rFonts w:ascii="Arial" w:eastAsia="Times New Roman" w:hAnsi="Arial" w:cs="Arial"/>
          <w:sz w:val="24"/>
          <w:szCs w:val="24"/>
        </w:rPr>
      </w:pPr>
      <w:r w:rsidRPr="00002E63">
        <w:rPr>
          <w:rFonts w:ascii="Arial" w:eastAsia="Times New Roman" w:hAnsi="Arial" w:cs="Arial"/>
          <w:b/>
          <w:bCs/>
          <w:sz w:val="24"/>
          <w:szCs w:val="24"/>
        </w:rPr>
        <w:t xml:space="preserve">Optimize the </w:t>
      </w:r>
      <w:proofErr w:type="spellStart"/>
      <w:r w:rsidRPr="00002E63">
        <w:rPr>
          <w:rFonts w:ascii="Arial" w:eastAsia="Times New Roman" w:hAnsi="Arial" w:cs="Arial"/>
          <w:b/>
          <w:bCs/>
          <w:sz w:val="24"/>
          <w:szCs w:val="24"/>
        </w:rPr>
        <w:t>Watchlist</w:t>
      </w:r>
      <w:proofErr w:type="spellEnd"/>
      <w:r w:rsidRPr="00002E63">
        <w:rPr>
          <w:rFonts w:ascii="Arial" w:eastAsia="Times New Roman" w:hAnsi="Arial" w:cs="Arial"/>
          <w:b/>
          <w:bCs/>
          <w:sz w:val="24"/>
          <w:szCs w:val="24"/>
        </w:rPr>
        <w:t xml:space="preserve"> Flow to Drive Instant Viewing:</w:t>
      </w:r>
      <w:r w:rsidRPr="00002E63">
        <w:rPr>
          <w:rFonts w:ascii="Arial" w:eastAsia="Times New Roman" w:hAnsi="Arial" w:cs="Arial"/>
          <w:sz w:val="24"/>
          <w:szCs w:val="24"/>
        </w:rPr>
        <w:br/>
        <w:t xml:space="preserve">Since our </w:t>
      </w:r>
      <w:proofErr w:type="spellStart"/>
      <w:r w:rsidRPr="00002E63">
        <w:rPr>
          <w:rFonts w:ascii="Arial" w:eastAsia="Times New Roman" w:hAnsi="Arial" w:cs="Arial"/>
          <w:sz w:val="24"/>
          <w:szCs w:val="24"/>
        </w:rPr>
        <w:t>watchlist</w:t>
      </w:r>
      <w:proofErr w:type="spellEnd"/>
      <w:r w:rsidRPr="00002E63">
        <w:rPr>
          <w:rFonts w:ascii="Arial" w:eastAsia="Times New Roman" w:hAnsi="Arial" w:cs="Arial"/>
          <w:sz w:val="24"/>
          <w:szCs w:val="24"/>
        </w:rPr>
        <w:t xml:space="preserve"> conversion rate is already high at 46.23%, we can leverage this momentum. We recommend introducing an auto-play trailer feature or</w:t>
      </w:r>
      <w:bookmarkStart w:id="0" w:name="_GoBack"/>
      <w:bookmarkEnd w:id="0"/>
      <w:r w:rsidRPr="00002E63">
        <w:rPr>
          <w:rFonts w:ascii="Arial" w:eastAsia="Times New Roman" w:hAnsi="Arial" w:cs="Arial"/>
          <w:sz w:val="24"/>
          <w:szCs w:val="24"/>
        </w:rPr>
        <w:t xml:space="preserve"> a "From Your </w:t>
      </w:r>
      <w:proofErr w:type="spellStart"/>
      <w:r w:rsidRPr="00002E63">
        <w:rPr>
          <w:rFonts w:ascii="Arial" w:eastAsia="Times New Roman" w:hAnsi="Arial" w:cs="Arial"/>
          <w:sz w:val="24"/>
          <w:szCs w:val="24"/>
        </w:rPr>
        <w:t>Watchlist</w:t>
      </w:r>
      <w:proofErr w:type="spellEnd"/>
      <w:r w:rsidRPr="00002E63">
        <w:rPr>
          <w:rFonts w:ascii="Arial" w:eastAsia="Times New Roman" w:hAnsi="Arial" w:cs="Arial"/>
          <w:sz w:val="24"/>
          <w:szCs w:val="24"/>
        </w:rPr>
        <w:t>" row directly at the top of the user dashboard on high-usage devices like Smart TVs to reduce decision fatigue and convert intent into instant watch hours.</w:t>
      </w:r>
    </w:p>
    <w:p w:rsidR="003C0A65" w:rsidRPr="00002E63" w:rsidRDefault="003C0A65" w:rsidP="00002E63">
      <w:pPr>
        <w:spacing w:before="480" w:after="480" w:line="240" w:lineRule="auto"/>
        <w:rPr>
          <w:rFonts w:ascii="Times New Roman" w:eastAsia="Times New Roman" w:hAnsi="Times New Roman" w:cs="Times New Roman"/>
          <w:sz w:val="24"/>
          <w:szCs w:val="24"/>
        </w:rPr>
      </w:pPr>
    </w:p>
    <w:sectPr w:rsidR="003C0A65" w:rsidRPr="00002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870CCC"/>
    <w:multiLevelType w:val="multilevel"/>
    <w:tmpl w:val="3246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B70C4"/>
    <w:multiLevelType w:val="multilevel"/>
    <w:tmpl w:val="E1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F6C79"/>
    <w:multiLevelType w:val="multilevel"/>
    <w:tmpl w:val="424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2566B"/>
    <w:multiLevelType w:val="multilevel"/>
    <w:tmpl w:val="106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475"/>
    <w:rsid w:val="00002E63"/>
    <w:rsid w:val="003C0A65"/>
    <w:rsid w:val="008B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7A1D"/>
  <w15:chartTrackingRefBased/>
  <w15:docId w15:val="{65E24452-04C7-4441-9C50-86F3C8552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02E63"/>
    <w:rPr>
      <w:b/>
      <w:bCs/>
    </w:rPr>
  </w:style>
  <w:style w:type="character" w:customStyle="1" w:styleId="inqyif">
    <w:name w:val="inqyif"/>
    <w:basedOn w:val="DefaultParagraphFont"/>
    <w:rsid w:val="00002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963547">
      <w:bodyDiv w:val="1"/>
      <w:marLeft w:val="0"/>
      <w:marRight w:val="0"/>
      <w:marTop w:val="0"/>
      <w:marBottom w:val="0"/>
      <w:divBdr>
        <w:top w:val="none" w:sz="0" w:space="0" w:color="auto"/>
        <w:left w:val="none" w:sz="0" w:space="0" w:color="auto"/>
        <w:bottom w:val="none" w:sz="0" w:space="0" w:color="auto"/>
        <w:right w:val="none" w:sz="0" w:space="0" w:color="auto"/>
      </w:divBdr>
      <w:divsChild>
        <w:div w:id="11807582">
          <w:marLeft w:val="0"/>
          <w:marRight w:val="0"/>
          <w:marTop w:val="360"/>
          <w:marBottom w:val="180"/>
          <w:divBdr>
            <w:top w:val="none" w:sz="0" w:space="0" w:color="auto"/>
            <w:left w:val="none" w:sz="0" w:space="0" w:color="auto"/>
            <w:bottom w:val="none" w:sz="0" w:space="0" w:color="auto"/>
            <w:right w:val="none" w:sz="0" w:space="0" w:color="auto"/>
          </w:divBdr>
        </w:div>
        <w:div w:id="1272591096">
          <w:marLeft w:val="0"/>
          <w:marRight w:val="0"/>
          <w:marTop w:val="180"/>
          <w:marBottom w:val="240"/>
          <w:divBdr>
            <w:top w:val="none" w:sz="0" w:space="0" w:color="auto"/>
            <w:left w:val="none" w:sz="0" w:space="0" w:color="auto"/>
            <w:bottom w:val="none" w:sz="0" w:space="0" w:color="auto"/>
            <w:right w:val="none" w:sz="0" w:space="0" w:color="auto"/>
          </w:divBdr>
        </w:div>
        <w:div w:id="1548371005">
          <w:marLeft w:val="0"/>
          <w:marRight w:val="0"/>
          <w:marTop w:val="360"/>
          <w:marBottom w:val="180"/>
          <w:divBdr>
            <w:top w:val="none" w:sz="0" w:space="0" w:color="auto"/>
            <w:left w:val="none" w:sz="0" w:space="0" w:color="auto"/>
            <w:bottom w:val="none" w:sz="0" w:space="0" w:color="auto"/>
            <w:right w:val="none" w:sz="0" w:space="0" w:color="auto"/>
          </w:divBdr>
        </w:div>
        <w:div w:id="38936996">
          <w:marLeft w:val="0"/>
          <w:marRight w:val="0"/>
          <w:marTop w:val="180"/>
          <w:marBottom w:val="240"/>
          <w:divBdr>
            <w:top w:val="none" w:sz="0" w:space="0" w:color="auto"/>
            <w:left w:val="none" w:sz="0" w:space="0" w:color="auto"/>
            <w:bottom w:val="none" w:sz="0" w:space="0" w:color="auto"/>
            <w:right w:val="none" w:sz="0" w:space="0" w:color="auto"/>
          </w:divBdr>
        </w:div>
        <w:div w:id="868372404">
          <w:marLeft w:val="0"/>
          <w:marRight w:val="0"/>
          <w:marTop w:val="180"/>
          <w:marBottom w:val="240"/>
          <w:divBdr>
            <w:top w:val="none" w:sz="0" w:space="0" w:color="auto"/>
            <w:left w:val="none" w:sz="0" w:space="0" w:color="auto"/>
            <w:bottom w:val="none" w:sz="0" w:space="0" w:color="auto"/>
            <w:right w:val="none" w:sz="0" w:space="0" w:color="auto"/>
          </w:divBdr>
        </w:div>
        <w:div w:id="1397312931">
          <w:marLeft w:val="0"/>
          <w:marRight w:val="0"/>
          <w:marTop w:val="360"/>
          <w:marBottom w:val="180"/>
          <w:divBdr>
            <w:top w:val="none" w:sz="0" w:space="0" w:color="auto"/>
            <w:left w:val="none" w:sz="0" w:space="0" w:color="auto"/>
            <w:bottom w:val="none" w:sz="0" w:space="0" w:color="auto"/>
            <w:right w:val="none" w:sz="0" w:space="0" w:color="auto"/>
          </w:divBdr>
        </w:div>
        <w:div w:id="1960994051">
          <w:marLeft w:val="0"/>
          <w:marRight w:val="0"/>
          <w:marTop w:val="180"/>
          <w:marBottom w:val="240"/>
          <w:divBdr>
            <w:top w:val="none" w:sz="0" w:space="0" w:color="auto"/>
            <w:left w:val="none" w:sz="0" w:space="0" w:color="auto"/>
            <w:bottom w:val="none" w:sz="0" w:space="0" w:color="auto"/>
            <w:right w:val="none" w:sz="0" w:space="0" w:color="auto"/>
          </w:divBdr>
        </w:div>
        <w:div w:id="2095205914">
          <w:marLeft w:val="0"/>
          <w:marRight w:val="0"/>
          <w:marTop w:val="360"/>
          <w:marBottom w:val="180"/>
          <w:divBdr>
            <w:top w:val="none" w:sz="0" w:space="0" w:color="auto"/>
            <w:left w:val="none" w:sz="0" w:space="0" w:color="auto"/>
            <w:bottom w:val="none" w:sz="0" w:space="0" w:color="auto"/>
            <w:right w:val="none" w:sz="0" w:space="0" w:color="auto"/>
          </w:divBdr>
        </w:div>
        <w:div w:id="1598057124">
          <w:marLeft w:val="0"/>
          <w:marRight w:val="0"/>
          <w:marTop w:val="360"/>
          <w:marBottom w:val="180"/>
          <w:divBdr>
            <w:top w:val="none" w:sz="0" w:space="0" w:color="auto"/>
            <w:left w:val="none" w:sz="0" w:space="0" w:color="auto"/>
            <w:bottom w:val="none" w:sz="0" w:space="0" w:color="auto"/>
            <w:right w:val="none" w:sz="0" w:space="0" w:color="auto"/>
          </w:divBdr>
        </w:div>
        <w:div w:id="1958560430">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811</Words>
  <Characters>4627</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mano</dc:creator>
  <cp:keywords/>
  <dc:description/>
  <cp:lastModifiedBy>Manohar mano</cp:lastModifiedBy>
  <cp:revision>2</cp:revision>
  <dcterms:created xsi:type="dcterms:W3CDTF">2026-10-30T10:19:00Z</dcterms:created>
  <dcterms:modified xsi:type="dcterms:W3CDTF">2026-10-30T10:20:00Z</dcterms:modified>
</cp:coreProperties>
</file>