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AUDITORÍA Y BALANCE GENERAL FINANCIERO</w:t>
      </w:r>
    </w:p>
    <w:p>
      <w:r>
        <w:t>El presente estado financiero consolidado contiene los activos corrientes, pasivos exigibles, y el patrimonio neto de la organización. Según el dictamen pericial del revisor fiscal, los estados de resultados integrales y flujos de efectivo cumplen con las normas NIIF.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