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9082A">
      <w:pPr>
        <w:bidi w:val="0"/>
        <w:spacing w:before="120" w:after="12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A73017E">
      <w:pPr>
        <w:bidi w:val="0"/>
        <w:spacing w:before="120" w:after="12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2B90CD37">
      <w:pPr>
        <w:bidi w:val="0"/>
        <w:spacing w:before="120" w:after="120" w:line="276" w:lineRule="auto"/>
        <w:ind w:left="21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2E6E05F">
      <w:pPr>
        <w:bidi w:val="0"/>
        <w:spacing w:before="120" w:after="120" w:line="276" w:lineRule="auto"/>
        <w:ind w:left="21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2A1E9A29">
      <w:pPr>
        <w:bidi w:val="0"/>
        <w:spacing w:before="120" w:after="120" w:line="276" w:lineRule="auto"/>
        <w:ind w:left="21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BAD6541">
      <w:pPr>
        <w:bidi w:val="0"/>
        <w:spacing w:before="120" w:after="120" w:line="276" w:lineRule="auto"/>
        <w:ind w:left="0" w:right="42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Нижегородский институт управления</w:t>
      </w:r>
    </w:p>
    <w:p w14:paraId="3C7139AD">
      <w:pPr>
        <w:bidi w:val="0"/>
        <w:spacing w:before="120" w:after="120" w:line="276" w:lineRule="auto"/>
        <w:ind w:left="10" w:right="49" w:hanging="1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Кафедра Информатики и информационных технологий</w:t>
      </w:r>
    </w:p>
    <w:p w14:paraId="4EE15D76">
      <w:pPr>
        <w:bidi w:val="0"/>
        <w:spacing w:before="120" w:after="120" w:line="276" w:lineRule="auto"/>
        <w:ind w:left="26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61035790">
      <w:pPr>
        <w:bidi w:val="0"/>
        <w:spacing w:before="120" w:after="120" w:line="276" w:lineRule="auto"/>
        <w:ind w:left="26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4CF41BA2">
      <w:pPr>
        <w:bidi w:val="0"/>
        <w:spacing w:before="120" w:after="120" w:line="276" w:lineRule="auto"/>
        <w:ind w:left="21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775ED45">
      <w:pPr>
        <w:bidi w:val="0"/>
        <w:spacing w:before="120" w:after="120" w:line="276" w:lineRule="auto"/>
        <w:ind w:left="21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24FF75DA">
      <w:pPr>
        <w:bidi w:val="0"/>
        <w:spacing w:before="0" w:after="98" w:line="276" w:lineRule="auto"/>
        <w:ind w:left="10" w:right="48" w:hanging="10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ОТЧЕТ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№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  <w:t>3</w:t>
      </w:r>
    </w:p>
    <w:p w14:paraId="5E256F17">
      <w:pPr>
        <w:bidi w:val="0"/>
        <w:spacing w:before="0" w:after="98" w:line="276" w:lineRule="auto"/>
        <w:ind w:left="10" w:right="48" w:hanging="1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О ПРОДЕЛАННОЙ РАБОТЕ по курсу</w:t>
      </w:r>
    </w:p>
    <w:p w14:paraId="2C88419F">
      <w:pPr>
        <w:bidi w:val="0"/>
        <w:spacing w:line="276" w:lineRule="auto"/>
        <w:ind w:left="2371" w:right="1226" w:hanging="81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«</w:t>
      </w:r>
      <w:r>
        <w:rPr>
          <w:rFonts w:eastAsia="Times New Roman" w:cs="Times New Roman"/>
          <w:color w:val="000000"/>
          <w:sz w:val="28"/>
          <w:szCs w:val="28"/>
          <w:lang w:val="ru-RU"/>
        </w:rPr>
        <w:t>П</w:t>
      </w:r>
      <w:r>
        <w:rPr>
          <w:rFonts w:ascii="Times New Roman" w:hAnsi="Times New Roman" w:eastAsia="Times New Roman" w:cs="Times New Roman"/>
          <w:sz w:val="28"/>
          <w:szCs w:val="28"/>
        </w:rPr>
        <w:t>рограмм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ная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инженерия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»</w:t>
      </w:r>
    </w:p>
    <w:p w14:paraId="3347C72D">
      <w:pPr>
        <w:bidi w:val="0"/>
        <w:spacing w:line="276" w:lineRule="auto"/>
        <w:ind w:left="2371" w:right="1226" w:hanging="81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56A2B6C9">
      <w:pPr>
        <w:bidi w:val="0"/>
        <w:spacing w:before="120" w:after="120" w:line="276" w:lineRule="auto"/>
        <w:ind w:left="26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3739CA9C">
      <w:pPr>
        <w:bidi w:val="0"/>
        <w:spacing w:before="120" w:after="120" w:line="276" w:lineRule="auto"/>
        <w:ind w:left="26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09A850A2">
      <w:pPr>
        <w:bidi w:val="0"/>
        <w:spacing w:before="120" w:after="120" w:line="276" w:lineRule="auto"/>
        <w:ind w:left="26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0AAC02D5">
      <w:pPr>
        <w:bidi w:val="0"/>
        <w:spacing w:before="120" w:after="120" w:line="276" w:lineRule="auto"/>
        <w:ind w:left="0" w:right="0" w:firstLine="0"/>
        <w:jc w:val="right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6FDC8AB2">
      <w:pPr>
        <w:pStyle w:val="8"/>
        <w:bidi w:val="0"/>
        <w:spacing w:line="276" w:lineRule="auto"/>
        <w:ind w:left="0" w:right="0" w:firstLine="0"/>
        <w:jc w:val="right"/>
        <w:rPr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Выполнила: студентка группы ИБ1-321</w:t>
      </w:r>
    </w:p>
    <w:p w14:paraId="002956E4">
      <w:pPr>
        <w:pStyle w:val="8"/>
        <w:bidi w:val="0"/>
        <w:spacing w:line="276" w:lineRule="auto"/>
        <w:ind w:left="0" w:right="0" w:firstLine="0"/>
        <w:jc w:val="right"/>
        <w:rPr>
          <w:sz w:val="28"/>
          <w:szCs w:val="28"/>
          <w:lang w:val="ru-RU"/>
        </w:rPr>
      </w:pPr>
      <w:r>
        <w:rPr>
          <w:sz w:val="28"/>
          <w:szCs w:val="28"/>
        </w:rPr>
        <w:t>Яшина Евгения Леонидовна</w:t>
      </w:r>
    </w:p>
    <w:p w14:paraId="6A7F1BF9">
      <w:pPr>
        <w:bidi w:val="0"/>
        <w:spacing w:before="120" w:after="120" w:line="276" w:lineRule="auto"/>
        <w:ind w:left="21" w:right="0" w:firstLine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6D4E72C7">
      <w:pPr>
        <w:bidi w:val="0"/>
        <w:spacing w:before="120" w:after="120" w:line="276" w:lineRule="auto"/>
        <w:ind w:left="0" w:right="35" w:firstLine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7248648A">
      <w:pPr>
        <w:bidi w:val="0"/>
        <w:spacing w:before="120" w:after="120" w:line="276" w:lineRule="auto"/>
        <w:ind w:right="3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F0C82AD">
      <w:pPr>
        <w:bidi w:val="0"/>
        <w:spacing w:before="120" w:after="120" w:line="276" w:lineRule="auto"/>
        <w:ind w:left="10" w:right="35" w:hanging="1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Нижний Новгород</w:t>
      </w:r>
    </w:p>
    <w:p w14:paraId="3FB54D8A">
      <w:pPr>
        <w:bidi w:val="0"/>
        <w:ind w:left="0" w:right="0" w:firstLine="0"/>
        <w:jc w:val="center"/>
        <w:rPr>
          <w:rFonts w:hint="default"/>
          <w:lang w:val="en-US"/>
        </w:rPr>
      </w:pPr>
      <w:r>
        <w:t>202</w:t>
      </w:r>
      <w:r>
        <w:rPr>
          <w:rFonts w:hint="default"/>
          <w:lang w:val="ru-RU"/>
        </w:rPr>
        <w:t>6</w:t>
      </w:r>
      <w:r>
        <w:t xml:space="preserve"> г.</w:t>
      </w:r>
    </w:p>
    <w:p w14:paraId="09955A45">
      <w:pPr>
        <w:jc w:val="center"/>
        <w:rPr>
          <w:rFonts w:hint="default"/>
          <w:b/>
          <w:bCs/>
          <w:sz w:val="40"/>
          <w:szCs w:val="40"/>
          <w:lang w:val="ru-RU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5E7778A9">
      <w:pPr>
        <w:pStyle w:val="16"/>
        <w:tabs>
          <w:tab w:val="right" w:leader="dot" w:pos="8306"/>
        </w:tabs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Оглавление</w:t>
      </w:r>
    </w:p>
    <w:p w14:paraId="1FCD7C40">
      <w:pPr>
        <w:rPr>
          <w:rFonts w:hint="default"/>
          <w:lang w:val="ru-RU"/>
        </w:rPr>
      </w:pPr>
    </w:p>
    <w:p w14:paraId="638BA71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TOC \o "1-3" \h \u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_Toc32525 </w:instrText>
      </w:r>
      <w:r>
        <w:rPr>
          <w:rFonts w:hint="default" w:ascii="Times New Roman" w:hAnsi="Times New Roman" w:cs="Times New Roman"/>
        </w:rPr>
        <w:fldChar w:fldCharType="separate"/>
      </w:r>
      <w:r>
        <w:t>Цель</w:t>
      </w:r>
      <w:r>
        <w:rPr>
          <w:rFonts w:hint="default"/>
          <w:lang w:val="ru-RU"/>
        </w:rPr>
        <w:t xml:space="preserve"> работы:</w:t>
      </w:r>
      <w:r>
        <w:tab/>
      </w:r>
      <w:r>
        <w:fldChar w:fldCharType="begin"/>
      </w:r>
      <w:r>
        <w:instrText xml:space="preserve"> PAGEREF _Toc32525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AFA6DC8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_Toc24965 </w:instrText>
      </w:r>
      <w:r>
        <w:rPr>
          <w:rFonts w:hint="default" w:ascii="Times New Roman" w:hAnsi="Times New Roman" w:cs="Times New Roman"/>
        </w:rPr>
        <w:fldChar w:fldCharType="separate"/>
      </w:r>
      <w:r>
        <w:t>Задачи :</w:t>
      </w:r>
      <w:r>
        <w:tab/>
      </w:r>
      <w:r>
        <w:fldChar w:fldCharType="begin"/>
      </w:r>
      <w:r>
        <w:instrText xml:space="preserve"> PAGEREF _Toc24965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59CF665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_Toc17653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/>
          <w:lang w:val="ru-RU"/>
        </w:rPr>
        <w:t>Ход работы:</w:t>
      </w:r>
      <w:r>
        <w:tab/>
      </w:r>
      <w:r>
        <w:fldChar w:fldCharType="begin"/>
      </w:r>
      <w:r>
        <w:instrText xml:space="preserve"> PAGEREF _Toc17653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33B7A94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_Toc19025 </w:instrText>
      </w:r>
      <w:r>
        <w:rPr>
          <w:rFonts w:hint="default" w:ascii="Times New Roman" w:hAnsi="Times New Roman" w:cs="Times New Roman"/>
        </w:rPr>
        <w:fldChar w:fldCharType="separate"/>
      </w:r>
      <w:r>
        <w:t>1. Теоретико-методологический базис нотации BPMN 2.0</w:t>
      </w:r>
      <w:r>
        <w:tab/>
      </w:r>
      <w:r>
        <w:fldChar w:fldCharType="begin"/>
      </w:r>
      <w:r>
        <w:instrText xml:space="preserve"> PAGEREF _Toc19025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9077460">
      <w:pPr>
        <w:pStyle w:val="18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_Toc31398 </w:instrText>
      </w:r>
      <w:r>
        <w:rPr>
          <w:rFonts w:hint="default" w:ascii="Times New Roman" w:hAnsi="Times New Roman" w:cs="Times New Roman"/>
        </w:rPr>
        <w:fldChar w:fldCharType="separate"/>
      </w:r>
      <w:r>
        <w:t>1.1. Эволюция и функциональное назначение стандарта</w:t>
      </w:r>
      <w:r>
        <w:tab/>
      </w:r>
      <w:r>
        <w:fldChar w:fldCharType="begin"/>
      </w:r>
      <w:r>
        <w:instrText xml:space="preserve"> PAGEREF _Toc31398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929AEFD">
      <w:pPr>
        <w:pStyle w:val="18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_Toc31260 </w:instrText>
      </w:r>
      <w:r>
        <w:rPr>
          <w:rFonts w:hint="default" w:ascii="Times New Roman" w:hAnsi="Times New Roman" w:cs="Times New Roman"/>
        </w:rPr>
        <w:fldChar w:fldCharType="separate"/>
      </w:r>
      <w:r>
        <w:t>1.2. Фундаментальная концепция «Маркера» (Token)</w:t>
      </w:r>
      <w:r>
        <w:tab/>
      </w:r>
      <w:r>
        <w:fldChar w:fldCharType="begin"/>
      </w:r>
      <w:r>
        <w:instrText xml:space="preserve"> PAGEREF _Toc31260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5F65EBE9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_Toc5448 </w:instrText>
      </w:r>
      <w:r>
        <w:rPr>
          <w:rFonts w:hint="default" w:ascii="Times New Roman" w:hAnsi="Times New Roman" w:cs="Times New Roman"/>
        </w:rPr>
        <w:fldChar w:fldCharType="separate"/>
      </w:r>
      <w:r>
        <w:t>2. Развернутая классификация элементов BPMN 2.0</w:t>
      </w:r>
      <w:r>
        <w:tab/>
      </w:r>
      <w:r>
        <w:fldChar w:fldCharType="begin"/>
      </w:r>
      <w:r>
        <w:instrText xml:space="preserve"> PAGEREF _Toc5448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1F258BA">
      <w:pPr>
        <w:pStyle w:val="18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_Toc22090 </w:instrText>
      </w:r>
      <w:r>
        <w:rPr>
          <w:rFonts w:hint="default" w:ascii="Times New Roman" w:hAnsi="Times New Roman" w:cs="Times New Roman"/>
        </w:rPr>
        <w:fldChar w:fldCharType="separate"/>
      </w:r>
      <w:r>
        <w:t>2.1. Объекты потока (Flow Objects)</w:t>
      </w:r>
      <w:r>
        <w:tab/>
      </w:r>
      <w:r>
        <w:fldChar w:fldCharType="begin"/>
      </w:r>
      <w:r>
        <w:instrText xml:space="preserve"> PAGEREF _Toc22090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61A1D03">
      <w:pPr>
        <w:pStyle w:val="18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_Toc32290 </w:instrText>
      </w:r>
      <w:r>
        <w:rPr>
          <w:rFonts w:hint="default" w:ascii="Times New Roman" w:hAnsi="Times New Roman" w:cs="Times New Roman"/>
        </w:rPr>
        <w:fldChar w:fldCharType="separate"/>
      </w:r>
      <w:r>
        <w:t>2.2. Соединяющие объекты (Connecting Objects)</w:t>
      </w:r>
      <w:r>
        <w:tab/>
      </w:r>
      <w:r>
        <w:fldChar w:fldCharType="begin"/>
      </w:r>
      <w:r>
        <w:instrText xml:space="preserve"> PAGEREF _Toc32290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52B06BC8">
      <w:pPr>
        <w:pStyle w:val="18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_Toc7857 </w:instrText>
      </w:r>
      <w:r>
        <w:rPr>
          <w:rFonts w:hint="default" w:ascii="Times New Roman" w:hAnsi="Times New Roman" w:cs="Times New Roman"/>
        </w:rPr>
        <w:fldChar w:fldCharType="separate"/>
      </w:r>
      <w:r>
        <w:t>2.3. Организационные элементы (Swimlanes)</w:t>
      </w:r>
      <w:r>
        <w:tab/>
      </w:r>
      <w:r>
        <w:fldChar w:fldCharType="begin"/>
      </w:r>
      <w:r>
        <w:instrText xml:space="preserve"> PAGEREF _Toc7857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BE8C0A7">
      <w:pPr>
        <w:pStyle w:val="18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_Toc10933 </w:instrText>
      </w:r>
      <w:r>
        <w:rPr>
          <w:rFonts w:hint="default" w:ascii="Times New Roman" w:hAnsi="Times New Roman" w:cs="Times New Roman"/>
        </w:rPr>
        <w:fldChar w:fldCharType="separate"/>
      </w:r>
      <w:r>
        <w:t>2.4. Артефакты и объекты данных</w:t>
      </w:r>
      <w:r>
        <w:tab/>
      </w:r>
      <w:r>
        <w:fldChar w:fldCharType="begin"/>
      </w:r>
      <w:r>
        <w:instrText xml:space="preserve"> PAGEREF _Toc10933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764129D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_Toc23492 </w:instrText>
      </w:r>
      <w:r>
        <w:rPr>
          <w:rFonts w:hint="default" w:ascii="Times New Roman" w:hAnsi="Times New Roman" w:cs="Times New Roman"/>
        </w:rPr>
        <w:fldChar w:fldCharType="separate"/>
      </w:r>
      <w:r>
        <w:t>3. Практическая часть: Моделирование процесса в библиотечной системе</w:t>
      </w:r>
      <w:r>
        <w:tab/>
      </w:r>
      <w:r>
        <w:fldChar w:fldCharType="begin"/>
      </w:r>
      <w:r>
        <w:instrText xml:space="preserve"> PAGEREF _Toc23492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62481EF">
      <w:pPr>
        <w:pStyle w:val="18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_Toc11959 </w:instrText>
      </w:r>
      <w:r>
        <w:rPr>
          <w:rFonts w:hint="default" w:ascii="Times New Roman" w:hAnsi="Times New Roman" w:cs="Times New Roman"/>
        </w:rPr>
        <w:fldChar w:fldCharType="separate"/>
      </w:r>
      <w:r>
        <w:t>3.1. Сценарный анализ предметной области</w:t>
      </w:r>
      <w:r>
        <w:tab/>
      </w:r>
      <w:r>
        <w:fldChar w:fldCharType="begin"/>
      </w:r>
      <w:r>
        <w:instrText xml:space="preserve"> PAGEREF _Toc11959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57BCE2E8">
      <w:pPr>
        <w:pStyle w:val="18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_Toc4908 </w:instrText>
      </w:r>
      <w:r>
        <w:rPr>
          <w:rFonts w:hint="default" w:ascii="Times New Roman" w:hAnsi="Times New Roman" w:cs="Times New Roman"/>
        </w:rPr>
        <w:fldChar w:fldCharType="separate"/>
      </w:r>
      <w:r>
        <w:t>3.2. Логическое описание структуры модели</w:t>
      </w:r>
      <w:r>
        <w:tab/>
      </w:r>
      <w:r>
        <w:fldChar w:fldCharType="begin"/>
      </w:r>
      <w:r>
        <w:instrText xml:space="preserve"> PAGEREF _Toc4908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D306BB5">
      <w:pPr>
        <w:pStyle w:val="18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_Toc24272 </w:instrText>
      </w:r>
      <w:r>
        <w:rPr>
          <w:rFonts w:hint="default" w:ascii="Times New Roman" w:hAnsi="Times New Roman" w:cs="Times New Roman"/>
        </w:rPr>
        <w:fldChar w:fldCharType="separate"/>
      </w:r>
      <w:r>
        <w:t>3.3. Анализ динамики потока управления (Токена)</w:t>
      </w:r>
      <w:r>
        <w:tab/>
      </w:r>
      <w:r>
        <w:fldChar w:fldCharType="begin"/>
      </w:r>
      <w:r>
        <w:instrText xml:space="preserve"> PAGEREF _Toc24272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022F9A7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_Toc7694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/>
          <w:lang w:val="ru-RU"/>
        </w:rPr>
        <w:t>Вывод:</w:t>
      </w:r>
      <w:r>
        <w:tab/>
      </w:r>
      <w:r>
        <w:fldChar w:fldCharType="begin"/>
      </w:r>
      <w:r>
        <w:instrText xml:space="preserve"> PAGEREF _Toc7694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DE0A4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end"/>
      </w:r>
    </w:p>
    <w:p w14:paraId="2C455A32">
      <w:r>
        <w:br w:type="page"/>
      </w:r>
    </w:p>
    <w:p w14:paraId="73E5FA26">
      <w:pPr>
        <w:pStyle w:val="2"/>
        <w:bidi w:val="0"/>
        <w:spacing w:line="360" w:lineRule="auto"/>
        <w:rPr>
          <w:rFonts w:hint="default"/>
          <w:lang w:val="ru-RU"/>
        </w:rPr>
      </w:pPr>
      <w:bookmarkStart w:id="0" w:name="_Toc32525"/>
      <w:r>
        <w:t>Цель</w:t>
      </w:r>
      <w:r>
        <w:rPr>
          <w:rFonts w:hint="default"/>
          <w:lang w:val="ru-RU"/>
        </w:rPr>
        <w:t xml:space="preserve"> работы:</w:t>
      </w:r>
      <w:bookmarkEnd w:id="0"/>
    </w:p>
    <w:p w14:paraId="1B28F210">
      <w:pPr>
        <w:bidi w:val="0"/>
        <w:spacing w:line="360" w:lineRule="auto"/>
      </w:pPr>
      <w:r>
        <w:t>Изучить принципы моделирования бизнес-процессов в нотации BPMN 2.0, классифицировать её графические элементы и получить практические навыки построения моделей на примере системы библиотечного обслуживания.</w:t>
      </w:r>
    </w:p>
    <w:p w14:paraId="340C9619">
      <w:pPr>
        <w:pStyle w:val="2"/>
        <w:bidi w:val="0"/>
        <w:spacing w:line="360" w:lineRule="auto"/>
      </w:pPr>
      <w:bookmarkStart w:id="1" w:name="_Toc24965"/>
      <w:r>
        <w:t>Задачи :</w:t>
      </w:r>
      <w:bookmarkEnd w:id="1"/>
    </w:p>
    <w:p w14:paraId="78D85BFA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</w:pPr>
      <w:r>
        <w:t>Рассмотреть назначение и основные возможности стандарта BPMN 2.0 для описания логики процессов.</w:t>
      </w:r>
    </w:p>
    <w:p w14:paraId="31CC94EE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</w:pPr>
      <w:r>
        <w:t>Изучить классификацию графических элементов нотации (события, действия, шлюзы и соединяющие объекты).</w:t>
      </w:r>
    </w:p>
    <w:p w14:paraId="3CAE0F45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</w:pPr>
      <w:r>
        <w:t>Разработать графическую модель процесса «Выдача книги из архива» с распределением зон ответственности между участниками.</w:t>
      </w:r>
    </w:p>
    <w:p w14:paraId="1A6C4FF3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</w:pPr>
      <w:r>
        <w:t>Проанализировать логические взаимосвязи элементов в построенной модели.</w:t>
      </w:r>
    </w:p>
    <w:p w14:paraId="4191E6CD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</w:pPr>
      <w:r>
        <w:t>Сформулировать аналитические выводы о применимости нотации BPMN для оптимизации работы организации.</w:t>
      </w:r>
    </w:p>
    <w:p w14:paraId="0949CE6C">
      <w:pPr>
        <w:spacing w:line="36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br w:type="page"/>
      </w:r>
    </w:p>
    <w:p w14:paraId="67B54C01">
      <w:pPr>
        <w:pStyle w:val="2"/>
        <w:bidi w:val="0"/>
        <w:spacing w:line="360" w:lineRule="auto"/>
        <w:rPr>
          <w:rFonts w:hint="default"/>
          <w:lang w:val="ru-RU"/>
        </w:rPr>
      </w:pPr>
      <w:bookmarkStart w:id="2" w:name="_Toc17653"/>
      <w:r>
        <w:rPr>
          <w:rFonts w:hint="default"/>
          <w:lang w:val="ru-RU"/>
        </w:rPr>
        <w:t>Ход работы:</w:t>
      </w:r>
      <w:bookmarkEnd w:id="2"/>
    </w:p>
    <w:p w14:paraId="707740D0">
      <w:pPr>
        <w:pStyle w:val="3"/>
        <w:bidi w:val="0"/>
        <w:spacing w:line="360" w:lineRule="auto"/>
      </w:pPr>
      <w:bookmarkStart w:id="3" w:name="_Toc19025"/>
      <w:r>
        <w:t>1. Теоретико-методологический базис нотации BPMN 2.0</w:t>
      </w:r>
      <w:bookmarkEnd w:id="3"/>
    </w:p>
    <w:p w14:paraId="612A94A3">
      <w:pPr>
        <w:pStyle w:val="4"/>
        <w:bidi w:val="0"/>
        <w:spacing w:line="360" w:lineRule="auto"/>
      </w:pPr>
      <w:bookmarkStart w:id="4" w:name="_Toc31398"/>
      <w:r>
        <w:t>1.1. Эволюция и функциональное назначение стандарта</w:t>
      </w:r>
      <w:bookmarkEnd w:id="4"/>
    </w:p>
    <w:p w14:paraId="3F89E72C">
      <w:pPr>
        <w:bidi w:val="0"/>
        <w:spacing w:line="360" w:lineRule="auto"/>
      </w:pPr>
      <w:r>
        <w:t>Нотация BPMN 2.0 (международный стандарт ISO/IEC 19510) представляет собой специализированный графический язык, разработанный для спецификации бизнес-процессов. В отличие от упрощенных методов визуализации (Flowcharts), BPMN 2.0 базируется на строгой математической семантике.</w:t>
      </w:r>
    </w:p>
    <w:p w14:paraId="54A1ECDC">
      <w:pPr>
        <w:bidi w:val="0"/>
        <w:spacing w:line="360" w:lineRule="auto"/>
      </w:pPr>
      <w:r>
        <w:t>Ключевой задачей стандарта является обеспечение интероперабельности: модель, созданная аналитиком, должна быть однозначно интерпретируема информационной системой (BPMS) без промежуточного переписывания кода. Это достигается за счет использования концепции Оркестрации (описание процесса с точки зрения одного участника) и Хореографии (описание взаимодействий между несколькими независимыми субъектами).</w:t>
      </w:r>
    </w:p>
    <w:p w14:paraId="02C75E80">
      <w:pPr>
        <w:pStyle w:val="4"/>
        <w:bidi w:val="0"/>
        <w:spacing w:line="360" w:lineRule="auto"/>
      </w:pPr>
      <w:bookmarkStart w:id="5" w:name="_Toc31260"/>
      <w:r>
        <w:t>1.2. Фундаментальная концепция «Маркера» (Token)</w:t>
      </w:r>
      <w:bookmarkEnd w:id="5"/>
    </w:p>
    <w:p w14:paraId="030A4DA4">
      <w:pPr>
        <w:bidi w:val="0"/>
        <w:spacing w:line="360" w:lineRule="auto"/>
      </w:pPr>
      <w:r>
        <w:t xml:space="preserve">Основой динамики в BPMN является «токен» </w:t>
      </w:r>
      <w:r>
        <w:rPr>
          <w:rFonts w:hint="default"/>
          <w:lang w:val="en-US"/>
        </w:rPr>
        <w:t>-</w:t>
      </w:r>
      <w:r>
        <w:t xml:space="preserve"> теоретическая единица управления. Процесс считается активным до тех пор, пока в его рамках существует хотя бы один токен. Он порождается стартовым событием, дублируется параллельными шлюзами и поглощается конечными событиями. Моделирование в данной нотации </w:t>
      </w:r>
      <w:r>
        <w:rPr>
          <w:rFonts w:hint="default"/>
          <w:lang w:val="en-US"/>
        </w:rPr>
        <w:t>-</w:t>
      </w:r>
      <w:r>
        <w:t xml:space="preserve"> это, по сути, проектирование «траектории» движения токена с учетом всех возможных развилок и задержек.</w:t>
      </w:r>
    </w:p>
    <w:p w14:paraId="5A8F5459">
      <w:pPr>
        <w:pStyle w:val="3"/>
        <w:bidi w:val="0"/>
        <w:spacing w:line="360" w:lineRule="auto"/>
      </w:pPr>
      <w:bookmarkStart w:id="6" w:name="_Toc5448"/>
      <w:r>
        <w:t>2. Развернутая классификация элементов BPMN 2.0</w:t>
      </w:r>
      <w:bookmarkEnd w:id="6"/>
    </w:p>
    <w:p w14:paraId="50248795">
      <w:pPr>
        <w:bidi w:val="0"/>
        <w:spacing w:line="360" w:lineRule="auto"/>
      </w:pPr>
      <w:r>
        <w:t>Согласно спецификации консорциума OMG, элементы нотации классифицируются по четырем агрегированным категориям:</w:t>
      </w:r>
    </w:p>
    <w:p w14:paraId="6F1119FA">
      <w:pPr>
        <w:pStyle w:val="4"/>
        <w:bidi w:val="0"/>
        <w:spacing w:line="360" w:lineRule="auto"/>
      </w:pPr>
      <w:bookmarkStart w:id="7" w:name="_Toc22090"/>
      <w:r>
        <w:t>2.1. Объекты потока (Flow Objects)</w:t>
      </w:r>
      <w:bookmarkEnd w:id="7"/>
    </w:p>
    <w:p w14:paraId="7C510347">
      <w:pPr>
        <w:bidi w:val="0"/>
        <w:spacing w:line="360" w:lineRule="auto"/>
      </w:pPr>
    </w:p>
    <w:p w14:paraId="7B8D097D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События (Events): Отражают мгновенные триггеры.</w:t>
      </w:r>
    </w:p>
    <w:p w14:paraId="3BFC1C6C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Стартовые: Инициируют экземпляр процесса (простые, таймерные, сигнальные).</w:t>
      </w:r>
    </w:p>
    <w:p w14:paraId="03D362CE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Промежуточные: Возникают в процессе выполнения (например, ожидание сообщения или истечение срока).</w:t>
      </w:r>
    </w:p>
    <w:p w14:paraId="4830AE15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Конечные: Завершают ветку процесса или весь процесс целиком (простые, терминирующие, ошибочные).</w:t>
      </w:r>
    </w:p>
    <w:p w14:paraId="455187DD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Действия (Activities): Работа, выполняемая субъектами.</w:t>
      </w:r>
    </w:p>
    <w:p w14:paraId="7EC73949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Задачи (Tasks): Элементарные операции. Различают: User Task (взаимодействие с интерфейсом), Service Task (автоматический вызов API), Manual Task (физический труд).</w:t>
      </w:r>
    </w:p>
    <w:p w14:paraId="477DCCE4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Подпроцессы (Sub-processes): Способ инкапсуляции сложной логики для снижения когнитивной нагрузки на диаграмму.</w:t>
      </w:r>
    </w:p>
    <w:p w14:paraId="532E75FB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Шлюзы (Gateways): Логические операторы маршрутизации.</w:t>
      </w:r>
    </w:p>
    <w:p w14:paraId="2875CB3C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 xml:space="preserve">XOR (Exclusive): Реализует логику «исключающего ИЛИ» </w:t>
      </w:r>
      <w:r>
        <w:rPr>
          <w:rFonts w:hint="default"/>
          <w:lang w:val="en-US"/>
        </w:rPr>
        <w:t>-</w:t>
      </w:r>
      <w:r>
        <w:t xml:space="preserve"> токен идет только по одному пути.</w:t>
      </w:r>
    </w:p>
    <w:p w14:paraId="7433DA48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AND (Parallel): Разделяет поток на несколько параллельных веток, которые исполняются одновременно.</w:t>
      </w:r>
    </w:p>
    <w:p w14:paraId="72475F9A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OR (Inclusive): Позволяет активировать одну или несколько веток на основе набора условий.</w:t>
      </w:r>
    </w:p>
    <w:p w14:paraId="0B384DA6">
      <w:pPr>
        <w:numPr>
          <w:numId w:val="0"/>
        </w:numPr>
        <w:bidi w:val="0"/>
        <w:spacing w:line="360" w:lineRule="auto"/>
        <w:ind w:leftChars="0"/>
      </w:pPr>
    </w:p>
    <w:p w14:paraId="53CCFC4D">
      <w:pPr>
        <w:pStyle w:val="4"/>
        <w:bidi w:val="0"/>
        <w:spacing w:line="360" w:lineRule="auto"/>
      </w:pPr>
      <w:bookmarkStart w:id="8" w:name="_Toc32290"/>
      <w:r>
        <w:t>2.2. Соединяющие объекты (Connecting Objects)</w:t>
      </w:r>
      <w:bookmarkEnd w:id="8"/>
    </w:p>
    <w:p w14:paraId="779DA4BB">
      <w:pPr>
        <w:spacing w:line="360" w:lineRule="auto"/>
      </w:pPr>
    </w:p>
    <w:p w14:paraId="71746296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Sequence Flow (Поток управления): Определяет очередность задач. Не может выходить за пределы одного Пула.</w:t>
      </w:r>
    </w:p>
    <w:p w14:paraId="6C224E14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Message Flow (Поток сообщений): Передает данные между Пулами. Визуализирует внешние коммуникации.</w:t>
      </w:r>
    </w:p>
    <w:p w14:paraId="5797DC1B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Association (Ассоциация): Используется для привязки неисполняемой информации (текстовых пояснений).</w:t>
      </w:r>
    </w:p>
    <w:p w14:paraId="0133AB98">
      <w:pPr>
        <w:bidi w:val="0"/>
      </w:pPr>
      <w:r>
        <w:t>Данная категория элементов обеспечивает топологическую целостность диаграммы и определяет правила взаимодействия между объектами потока</w:t>
      </w:r>
    </w:p>
    <w:p w14:paraId="70343933">
      <w:pPr>
        <w:pStyle w:val="4"/>
        <w:bidi w:val="0"/>
        <w:spacing w:line="360" w:lineRule="auto"/>
      </w:pPr>
      <w:bookmarkStart w:id="9" w:name="_Toc7857"/>
      <w:r>
        <w:t>2.3. Организационные элементы (Swimlanes)</w:t>
      </w:r>
      <w:bookmarkEnd w:id="9"/>
    </w:p>
    <w:p w14:paraId="248D1567">
      <w:pPr>
        <w:bidi w:val="0"/>
        <w:spacing w:line="360" w:lineRule="auto"/>
      </w:pPr>
    </w:p>
    <w:p w14:paraId="5A28F54A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Пул (Pool): Обозначает границы процесса одного участника (например, «Библиотека»).</w:t>
      </w:r>
    </w:p>
    <w:p w14:paraId="399C43F2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Дорожка (Lane): Подраздел Пула, уточняющий роль исполнителя (например, «Заведующий складом»). Разделение на дорожки позволяет выявить дублирование функций и неэффективное распределение нагрузки.</w:t>
      </w:r>
    </w:p>
    <w:p w14:paraId="6A5A934B">
      <w:pPr>
        <w:bidi w:val="0"/>
      </w:pPr>
      <w:r>
        <w:t>Инструменты организационной декомпозиции позволяют визуализировать структуру предприятия и распределить функциональные обязанности внутри процесса</w:t>
      </w:r>
    </w:p>
    <w:p w14:paraId="25D47DB8">
      <w:pPr>
        <w:pStyle w:val="4"/>
        <w:bidi w:val="0"/>
        <w:spacing w:line="360" w:lineRule="auto"/>
      </w:pPr>
      <w:bookmarkStart w:id="10" w:name="_Toc10933"/>
      <w:r>
        <w:t>2.4. Артефакты и объекты данных</w:t>
      </w:r>
      <w:bookmarkEnd w:id="10"/>
    </w:p>
    <w:p w14:paraId="520B7390">
      <w:pPr>
        <w:bidi w:val="0"/>
        <w:spacing w:line="360" w:lineRule="auto"/>
      </w:pPr>
      <w:r>
        <w:t>Позволяют отобразить информационный контекст процесса: объекты данных (электронные документы), коллекции данных и текстовые аннотации.</w:t>
      </w:r>
    </w:p>
    <w:p w14:paraId="113EBE96">
      <w:pPr>
        <w:bidi w:val="0"/>
        <w:spacing w:line="360" w:lineRule="auto"/>
      </w:pPr>
    </w:p>
    <w:p w14:paraId="2A0C9FEF">
      <w:pPr>
        <w:pStyle w:val="3"/>
        <w:bidi w:val="0"/>
        <w:spacing w:line="360" w:lineRule="auto"/>
      </w:pPr>
      <w:bookmarkStart w:id="11" w:name="_Toc23492"/>
      <w:r>
        <w:t>3. Практическая часть: Моделирование процесса в библиотечной системе</w:t>
      </w:r>
      <w:bookmarkEnd w:id="11"/>
    </w:p>
    <w:p w14:paraId="18229311">
      <w:pPr>
        <w:pStyle w:val="4"/>
        <w:bidi w:val="0"/>
        <w:spacing w:line="360" w:lineRule="auto"/>
      </w:pPr>
      <w:bookmarkStart w:id="12" w:name="_Toc11959"/>
      <w:r>
        <w:t>3.1. Сценарный анализ предметной области</w:t>
      </w:r>
      <w:bookmarkEnd w:id="12"/>
    </w:p>
    <w:p w14:paraId="0796811F">
      <w:pPr>
        <w:bidi w:val="0"/>
        <w:spacing w:line="360" w:lineRule="auto"/>
      </w:pPr>
      <w:r>
        <w:t>В качестве объекта исследования выбран процесс «Межбиблиотечный запрос и выдача архивного экземпляра». Данный процесс является многостадийным и включает риск-сценарий (отсутствие книги).</w:t>
      </w:r>
    </w:p>
    <w:p w14:paraId="29ADB890">
      <w:pPr>
        <w:bidi w:val="0"/>
        <w:spacing w:line="360" w:lineRule="auto"/>
      </w:pPr>
      <w:r>
        <w:t>Логика исполнения:</w:t>
      </w:r>
    </w:p>
    <w:p w14:paraId="20DFBE35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Читатель инициирует процесс через форму запроса.</w:t>
      </w:r>
    </w:p>
    <w:p w14:paraId="3261047E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Сотрудник абонемента верифицирует данные в электронном каталоге.</w:t>
      </w:r>
    </w:p>
    <w:p w14:paraId="06BE1C46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При необходимости задействуется сотрудник архива для физического извлечения книги.</w:t>
      </w:r>
    </w:p>
    <w:p w14:paraId="6C88F92E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Процесс завершается либо выдачей издания, либо аргументированным отказом.</w:t>
      </w:r>
    </w:p>
    <w:p w14:paraId="255D7D53">
      <w:pPr>
        <w:bidi w:val="0"/>
        <w:spacing w:line="360" w:lineRule="auto"/>
      </w:pPr>
    </w:p>
    <w:p w14:paraId="2A552E58">
      <w:pPr>
        <w:pStyle w:val="4"/>
        <w:bidi w:val="0"/>
        <w:spacing w:line="360" w:lineRule="auto"/>
      </w:pPr>
      <w:bookmarkStart w:id="13" w:name="_Toc4908"/>
      <w:r>
        <w:t>3.2. Логическое описание структуры модели</w:t>
      </w:r>
      <w:bookmarkEnd w:id="13"/>
    </w:p>
    <w:p w14:paraId="700E96A5">
      <w:pPr>
        <w:bidi w:val="0"/>
        <w:spacing w:line="360" w:lineRule="auto"/>
      </w:pPr>
      <w:r>
        <w:t>Процесс реализован в рамках одного Пула «Библиотечный комплекс». Для детализации ответственности введены три Дорожки:</w:t>
      </w:r>
    </w:p>
    <w:p w14:paraId="4E0F2E8C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Lane «Читатель»: Инициация и прием результата.</w:t>
      </w:r>
    </w:p>
    <w:p w14:paraId="12C618CC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Lane «Библиотекарь»: Проверка данных и итоговая фиксация выдачи.</w:t>
      </w:r>
    </w:p>
    <w:p w14:paraId="23E19858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Lane «Архивариус»: Работа с физическими носителями в закрытом фонде.</w:t>
      </w:r>
    </w:p>
    <w:p w14:paraId="6744D6E0">
      <w:pPr>
        <w:numPr>
          <w:numId w:val="0"/>
        </w:numPr>
        <w:bidi w:val="0"/>
        <w:spacing w:line="360" w:lineRule="auto"/>
        <w:ind w:leftChars="0"/>
      </w:pPr>
      <w:r>
        <w:drawing>
          <wp:inline distT="0" distB="0" distL="114300" distR="114300">
            <wp:extent cx="5264150" cy="3289300"/>
            <wp:effectExtent l="0" t="0" r="8890" b="2540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648B">
      <w:pPr>
        <w:pStyle w:val="9"/>
        <w:numPr>
          <w:numId w:val="0"/>
        </w:numPr>
        <w:bidi w:val="0"/>
        <w:spacing w:line="360" w:lineRule="auto"/>
        <w:ind w:leftChars="0"/>
        <w:rPr>
          <w:rFonts w:hint="default"/>
          <w:lang w:val="ru-RU"/>
        </w:rPr>
      </w:pPr>
      <w:r>
        <w:rPr>
          <w:lang w:val="ru-RU"/>
        </w:rPr>
        <w:t>Рисунок</w:t>
      </w:r>
      <w:r>
        <w:t xml:space="preserve">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 - Диаграмма бизнес-процесса «Выдача книги из архива»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.</w:t>
      </w:r>
    </w:p>
    <w:p w14:paraId="0CB3F31B">
      <w:pPr>
        <w:bidi w:val="0"/>
        <w:rPr>
          <w:rFonts w:hint="default"/>
          <w:lang w:val="ru-RU"/>
        </w:rPr>
      </w:pPr>
      <w:r>
        <w:t>Важной особенностью архитектуры данной модели является использование сплошных линий потока управления (Sequence Flow) для связи задач между Читателем, Библиотекарем и Архивариусом. Согласно стандарту BPMN 2.0, поскольку все участники находятся внутри одного единого Пула («Библиотечный комплекс»), взаимодействие между их дорожками должно отображаться именно через Sequence Flow. Пунктирные линии сообщений (Message Flow) в данной модели не применяются, так как они зарезервированы исключительно для взаимодействия между разными (независимыми) пулами. Таким образом, выбранный тип связей подчеркивает целостность организационной системы библиотеки.</w:t>
      </w:r>
    </w:p>
    <w:p w14:paraId="7DC920A9">
      <w:pPr>
        <w:pStyle w:val="4"/>
        <w:bidi w:val="0"/>
        <w:spacing w:line="360" w:lineRule="auto"/>
      </w:pPr>
      <w:bookmarkStart w:id="14" w:name="_Toc24272"/>
      <w:r>
        <w:t>3.3. Анализ динамики потока управления (Токена)</w:t>
      </w:r>
      <w:bookmarkEnd w:id="14"/>
    </w:p>
    <w:p w14:paraId="6CE3B5D3">
      <w:pPr>
        <w:bidi w:val="0"/>
        <w:spacing w:line="360" w:lineRule="auto"/>
      </w:pPr>
      <w:r>
        <w:t>В ходе анализа спроектированной модели выявлено следующее поведение токена:</w:t>
      </w:r>
    </w:p>
    <w:p w14:paraId="2588B751">
      <w:pPr>
        <w:bidi w:val="0"/>
        <w:spacing w:line="360" w:lineRule="auto"/>
      </w:pPr>
    </w:p>
    <w:p w14:paraId="70418C62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default"/>
          <w:lang w:val="ru-RU"/>
        </w:rPr>
      </w:pPr>
      <w:r>
        <w:t>Генерация: Токен создается при наступлении стартового события «Читатель запрашивает книгу».</w:t>
      </w:r>
    </w:p>
    <w:p w14:paraId="3DBBA8D6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Ветвление: При достижении эксклюзивного шлюза (XOR) «Книга есть в фонде?» происходит проверка условия. Если результат отрицателен, токен направляется по ветви «Нет» к конечному событию «Книга отсутствует», минуя стадию работы с архивом.</w:t>
      </w:r>
    </w:p>
    <w:p w14:paraId="0007A6E7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</w:pPr>
      <w:r>
        <w:t>Синхронизация: В модели предусмотрена жесткая последовательность (Sequence Flow), исключающая выдачу документа без его физического извлечения архивариусом (в случае положительного результата проверки).</w:t>
      </w:r>
    </w:p>
    <w:p w14:paraId="6A726860">
      <w:pPr>
        <w:bidi w:val="0"/>
        <w:spacing w:line="360" w:lineRule="auto"/>
      </w:pPr>
    </w:p>
    <w:p w14:paraId="77F26C2B">
      <w:pPr>
        <w:bidi w:val="0"/>
        <w:spacing w:line="360" w:lineRule="auto"/>
      </w:pPr>
      <w:r>
        <w:t>Примененный эксклюзивный шлюз (XOR) обеспечивает строгий выбор одного из двух маршрутов, что исключает возможность одновременного выполнения альтернативных сценариев.</w:t>
      </w:r>
    </w:p>
    <w:p w14:paraId="007D38D6">
      <w:pPr>
        <w:bidi w:val="0"/>
        <w:spacing w:line="360" w:lineRule="auto"/>
      </w:pPr>
      <w:r>
        <w:br w:type="page"/>
      </w:r>
    </w:p>
    <w:p w14:paraId="34221AFA">
      <w:pPr>
        <w:pStyle w:val="2"/>
        <w:bidi w:val="0"/>
        <w:spacing w:line="360" w:lineRule="auto"/>
        <w:rPr>
          <w:rFonts w:hint="default"/>
          <w:lang w:val="ru-RU"/>
        </w:rPr>
      </w:pPr>
      <w:bookmarkStart w:id="15" w:name="_Toc7694"/>
      <w:r>
        <w:rPr>
          <w:rFonts w:hint="default"/>
          <w:lang w:val="ru-RU"/>
        </w:rPr>
        <w:t>Вывод:</w:t>
      </w:r>
      <w:bookmarkEnd w:id="15"/>
    </w:p>
    <w:p w14:paraId="3AE9BE50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В ходе выполнения лабораторной работы был проведен комплексный теоретико-методологический анализ стандарта BPMN 2.0. Решены все поставленные задачи: изучена семантика графического языка, выполнена строгая классификация элементов по четырем ключевым категориям, а также закреплены практические навыки процессного моделирования.</w:t>
      </w:r>
    </w:p>
    <w:p w14:paraId="4D2D2EF8">
      <w:pPr>
        <w:bidi w:val="0"/>
        <w:spacing w:line="360" w:lineRule="auto"/>
        <w:rPr>
          <w:rFonts w:hint="default"/>
        </w:rPr>
      </w:pPr>
    </w:p>
    <w:p w14:paraId="4EC74AC3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Разработанная модель бизнес-процесса «Обработка запроса на выдачу книжного издания» демонстрирует прикладную ценность нотации. Применение дорожек (Lanes) позволило четко разграничить организационную ответственность, а использование эксклюзивного шлюза маршрутизации (XOR-Gateway) </w:t>
      </w:r>
      <w:r>
        <w:rPr>
          <w:rFonts w:hint="default"/>
          <w:lang w:val="ru-RU"/>
        </w:rPr>
        <w:t>-</w:t>
      </w:r>
      <w:bookmarkStart w:id="16" w:name="_GoBack"/>
      <w:bookmarkEnd w:id="16"/>
      <w:r>
        <w:rPr>
          <w:rFonts w:hint="default"/>
        </w:rPr>
        <w:t xml:space="preserve"> формализовать логику обработки исключительных ситуаций, таких как отсутствие книги в фонде.</w:t>
      </w:r>
    </w:p>
    <w:p w14:paraId="5A063B8C">
      <w:pPr>
        <w:bidi w:val="0"/>
        <w:spacing w:line="360" w:lineRule="auto"/>
        <w:rPr>
          <w:rFonts w:hint="default"/>
        </w:rPr>
      </w:pPr>
    </w:p>
    <w:p w14:paraId="41846E08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Таким образом, поставленная цель работы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изучение принципов моделирования бизнес-процессов в нотации BPMN 2.0 и построение практической модели процесса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была успешно достигнута. Полученные результаты демонстрируют, что использование BPMN позволяет формализовать организационные процессы, наглядно представить распределение ответственности между участниками и обеспечить логически корректное описание последовательности действий. Методология BPMN позволяет создавать однозначно интерпретируемые и алгоритмически точные спецификации, готовые к внедрению в современные информационные системы управления предприятием.</w:t>
      </w:r>
    </w:p>
    <w:p w14:paraId="024E762B">
      <w:pPr>
        <w:bidi w:val="0"/>
        <w:spacing w:line="360" w:lineRule="auto"/>
        <w:rPr>
          <w:rFonts w:hint="default"/>
          <w:lang w:val="ru-RU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52262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495EB9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495EB9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D1956D"/>
    <w:multiLevelType w:val="singleLevel"/>
    <w:tmpl w:val="EFD1956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66BA41C"/>
    <w:multiLevelType w:val="singleLevel"/>
    <w:tmpl w:val="F66BA4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902F72"/>
    <w:rsid w:val="03A97F02"/>
    <w:rsid w:val="10F12CE6"/>
    <w:rsid w:val="4702347F"/>
    <w:rsid w:val="47267E1B"/>
    <w:rsid w:val="4D7E6A70"/>
    <w:rsid w:val="6390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default" w:ascii="Times New Roman" w:hAnsi="Times New Roman" w:eastAsia="SimSun" w:cs="SimSun"/>
      <w:b/>
      <w:bCs/>
      <w:kern w:val="0"/>
      <w:sz w:val="32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/>
      <w:bCs/>
      <w:kern w:val="0"/>
      <w:sz w:val="28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0"/>
    <w:pPr>
      <w:spacing w:before="0" w:after="140" w:line="276" w:lineRule="auto"/>
    </w:pPr>
  </w:style>
  <w:style w:type="paragraph" w:styleId="9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6"/>
    <w:qFormat/>
    <w:uiPriority w:val="0"/>
    <w:rPr>
      <w:b/>
      <w:bCs/>
    </w:rPr>
  </w:style>
  <w:style w:type="paragraph" w:styleId="16">
    <w:name w:val="toc 1"/>
    <w:basedOn w:val="1"/>
    <w:next w:val="1"/>
    <w:uiPriority w:val="0"/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toc 3"/>
    <w:basedOn w:val="1"/>
    <w:next w:val="1"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2026-03-05T16:02:00Z</dcterms:created>
  <dc:creator>Женяш</dc:creator>
  <cp:lastModifiedBy>Женяш</cp:lastModifiedBy>
  <dcterms:modified xsi:type="dcterms:W3CDTF">2026-03-05T18:40:40Z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DF3F930863674E9BB44B60ECFEC129CC_11</vt:lpwstr>
  </property>
</Properties>
</file>