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0EB4" w14:textId="2BB0A5EF" w:rsidR="00385D68" w:rsidRPr="001F7061" w:rsidRDefault="00F818F5" w:rsidP="00396D44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>Jen Johnson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BIOL 310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HW2</w:t>
      </w:r>
    </w:p>
    <w:p w14:paraId="3381969F" w14:textId="79037314" w:rsidR="00741082" w:rsidRPr="001F7061" w:rsidRDefault="00396D44" w:rsidP="00741082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ab/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is a metabolic pathway unique to the 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>Archaea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where hydrogen gas is used to convert a single-carbon molecule into methane. This pathway is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bioenergetic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>, as it produces ATP through the dissipation of a sodium or proton motive force through ATP synthase. However,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F201C2" w:rsidRPr="001F7061">
        <w:rPr>
          <w:rFonts w:ascii="Times New Roman" w:hAnsi="Times New Roman" w:cs="Times New Roman"/>
          <w:i/>
          <w:color w:val="0D0D0D" w:themeColor="text1" w:themeTint="F2"/>
        </w:rPr>
        <w:t>B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>acteria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do not use this pathway. 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do not perform </w:t>
      </w:r>
      <w:proofErr w:type="spellStart"/>
      <w:r w:rsidR="00BB7723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because they would prefer to produce a </w:t>
      </w:r>
      <w:r w:rsidR="006E3A8E">
        <w:rPr>
          <w:rFonts w:ascii="Times New Roman" w:hAnsi="Times New Roman" w:cs="Times New Roman"/>
          <w:color w:val="0D0D0D" w:themeColor="text1" w:themeTint="F2"/>
        </w:rPr>
        <w:t>multipurpose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intermediate, retain flexibility in </w:t>
      </w:r>
      <w:r w:rsidR="00FF5079" w:rsidRPr="001F7061">
        <w:rPr>
          <w:rFonts w:ascii="Times New Roman" w:hAnsi="Times New Roman" w:cs="Times New Roman"/>
          <w:color w:val="0D0D0D" w:themeColor="text1" w:themeTint="F2"/>
        </w:rPr>
        <w:t xml:space="preserve">their 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metabolism, and </w:t>
      </w:r>
      <w:r w:rsidR="00412FDE" w:rsidRPr="001F7061">
        <w:rPr>
          <w:rFonts w:ascii="Times New Roman" w:hAnsi="Times New Roman" w:cs="Times New Roman"/>
          <w:color w:val="0D0D0D" w:themeColor="text1" w:themeTint="F2"/>
        </w:rPr>
        <w:t>avoid competition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with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 xml:space="preserve"> Archaea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>.</w:t>
      </w:r>
    </w:p>
    <w:p w14:paraId="339D55C1" w14:textId="1FF5777C" w:rsidR="00B77AD7" w:rsidRPr="001F7061" w:rsidRDefault="00741082" w:rsidP="00B77AD7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can use the substrates required for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to perform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prefer this pathway because acetate can be converted into pyruvate, a molecule that is involved with a variety of different metabolic pathways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for both anabolism and catabolism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Gray and Tomkins call pyruvate a 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“keystone molecule”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and a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 “master fuel input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.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”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139ik9ovm3","properties":{"formattedCitation":"(1)","plainCitation":"(1)"},"citationItems":[{"id":18,"uris":["http://zotero.org/users/4535483/items/J7WMFUPT"],"uri":["http://zotero.org/users/4535483/items/J7WMFUPT"],"itemData":{"id":18,"type":"article-journal","title":"Regulation of pyruvate metabolism and human disease","container-title":"Cellular and Molecular Life Sciences","page":"2577-2604","volume":"71","issue":"14","source":"CrossRef","DOI":"10.1007/s00018-013-1539-2","ISSN":"1420-682X, 1420-9071","language":"en","author":[{"family":"Gray","given":"Lawrence R."},{"family":"Tompkins","given":"Sean C."},{"family":"Taylor","given":"Eric B."}],"issued":{"date-parts":[["2014",7]]}}}],"schema":"https://github.com/citation-style-language/schema/raw/master/csl-citation.json"}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(1)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They found that mutations that cause deficiency in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pyruvate-involving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pathways cause problems for the organism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>.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One such pathway is fermentation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>, which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F201C2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do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use. Therefore, </w:t>
      </w:r>
      <w:proofErr w:type="spellStart"/>
      <w:r w:rsidR="00F201C2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is an alternative method of producing pyruvate </w:t>
      </w:r>
      <w:r w:rsidR="00B105C7">
        <w:rPr>
          <w:rFonts w:ascii="Times New Roman" w:hAnsi="Times New Roman" w:cs="Times New Roman"/>
          <w:color w:val="0D0D0D" w:themeColor="text1" w:themeTint="F2"/>
        </w:rPr>
        <w:t>effectively from a different set of substrates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. This redundancy in function suggests that pyruvate is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indeed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crucial.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2kj0h3t8v","properties":{"formattedCitation":"(2)","plainCitation":"(2)"},"citationItems":[{"id":16,"uris":["http://zotero.org/users/4535483/items/MQW2LCUG"],"uri":["http://zotero.org/users/4535483/items/MQW2LCUG"],"itemData":{"id":16,"type":"article-journal","title":"Acetate Metabolism in Anaerobes from the Domain Archaea","container-title":"Life","page":"1454-1471","volume":"5","issue":"2","source":"CrossRef","DOI":"10.3390/life5021454","ISSN":"2075-1729","language":"en","author":[{"family":"Ferry","given":"James"}],"issued":{"date-parts":[["2015",6,9]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(2)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18F218AE" w14:textId="1462C6D8" w:rsidR="00F201C2" w:rsidRPr="001F7061" w:rsidRDefault="00741082" w:rsidP="00B77AD7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The generation of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acetate (and the resulting pyruvate) </w:t>
      </w:r>
      <w:r w:rsidRPr="001F7061">
        <w:rPr>
          <w:rFonts w:ascii="Times New Roman" w:hAnsi="Times New Roman" w:cs="Times New Roman"/>
          <w:color w:val="0D0D0D" w:themeColor="text1" w:themeTint="F2"/>
        </w:rPr>
        <w:t>instead of methane and energy is better for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 xml:space="preserve"> 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because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pyruvate can also </w:t>
      </w:r>
      <w:r w:rsidR="00B105C7">
        <w:rPr>
          <w:rFonts w:ascii="Times New Roman" w:hAnsi="Times New Roman" w:cs="Times New Roman"/>
          <w:color w:val="0D0D0D" w:themeColor="text1" w:themeTint="F2"/>
        </w:rPr>
        <w:t>be used to generate energy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produces -105 kJ of free energy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per acetate molecule produced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>via 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sodium motive force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. On the other hand, the energy yield of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is -36 kJ. Therefore,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is beneficial for the organism because there is a higher energy yield. Furthermore, the acetate can then be converted to pyruvate by driving the fermentation pathway backwards. 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>When pyruvate enter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>s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the citric acid cycle, it produces ATP via substrate level phosphorylation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 and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>oxidative phosphorylation.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color w:val="0D0D0D" w:themeColor="text1" w:themeTint="F2"/>
        </w:rPr>
        <w:t>Without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A0ECE" w:rsidRPr="001F7061">
        <w:rPr>
          <w:rFonts w:ascii="Times New Roman" w:hAnsi="Times New Roman" w:cs="Times New Roman"/>
          <w:color w:val="0D0D0D" w:themeColor="text1" w:themeTint="F2"/>
        </w:rPr>
        <w:t>quinone</w:t>
      </w:r>
      <w:proofErr w:type="spellEnd"/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 enhancement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of proton motive force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one molecule of 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pyruvate yields a total of 30 ATP.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The combination of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B105C7">
        <w:rPr>
          <w:rFonts w:ascii="Times New Roman" w:hAnsi="Times New Roman" w:cs="Times New Roman"/>
          <w:color w:val="0D0D0D" w:themeColor="text1" w:themeTint="F2"/>
        </w:rPr>
        <w:t>the citric acid cycle produces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more energy than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>, so this indirect method is favored over the direct production of methane and energy.</w:t>
      </w:r>
    </w:p>
    <w:p w14:paraId="0079C87A" w14:textId="0E79AAD1" w:rsidR="00F201C2" w:rsidRPr="001F7061" w:rsidRDefault="00B105C7" w:rsidP="0058189D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In addition to </w:t>
      </w:r>
      <w:r w:rsidR="006E3A8E">
        <w:rPr>
          <w:rFonts w:ascii="Times New Roman" w:hAnsi="Times New Roman" w:cs="Times New Roman"/>
          <w:color w:val="0D0D0D" w:themeColor="text1" w:themeTint="F2"/>
        </w:rPr>
        <w:t>maximizing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energy yield, </w:t>
      </w:r>
      <w:r w:rsidR="00C10CA6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prefer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and pyruvate production because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>pyruvate can be used as a storage unit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</w:rPr>
        <w:t>As already mentioned, p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yruvate is part of a variety of </w:t>
      </w:r>
      <w:r w:rsidR="006E3A8E">
        <w:rPr>
          <w:rFonts w:ascii="Times New Roman" w:hAnsi="Times New Roman" w:cs="Times New Roman"/>
          <w:color w:val="0D0D0D" w:themeColor="text1" w:themeTint="F2"/>
        </w:rPr>
        <w:t>mechanisms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 for both energy production and assimilation 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>purposes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, so </w:t>
      </w:r>
      <w:r w:rsidR="002B7D17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 xml:space="preserve">metabolism </w:t>
      </w:r>
      <w:r>
        <w:rPr>
          <w:rFonts w:ascii="Times New Roman" w:hAnsi="Times New Roman" w:cs="Times New Roman"/>
          <w:color w:val="0D0D0D" w:themeColor="text1" w:themeTint="F2"/>
        </w:rPr>
        <w:t xml:space="preserve">relies on pyruvate as </w:t>
      </w:r>
      <w:r w:rsidR="006E3A8E">
        <w:rPr>
          <w:rFonts w:ascii="Times New Roman" w:hAnsi="Times New Roman" w:cs="Times New Roman"/>
          <w:color w:val="0D0D0D" w:themeColor="text1" w:themeTint="F2"/>
        </w:rPr>
        <w:t>a molecule than can be exchanged across different pathways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DE2CF1" w:rsidRPr="001F7061">
        <w:rPr>
          <w:rFonts w:ascii="Times New Roman" w:hAnsi="Times New Roman" w:cs="Times New Roman"/>
          <w:color w:val="0D0D0D" w:themeColor="text1" w:themeTint="F2"/>
        </w:rPr>
        <w:t xml:space="preserve">For example, pyruvate can be used to produce the alanine family </w:t>
      </w:r>
      <w:r w:rsidR="00DE2CF1" w:rsidRPr="001F7061">
        <w:rPr>
          <w:rFonts w:ascii="Times New Roman" w:hAnsi="Times New Roman" w:cs="Times New Roman"/>
          <w:color w:val="0D0D0D" w:themeColor="text1" w:themeTint="F2"/>
        </w:rPr>
        <w:lastRenderedPageBreak/>
        <w:t xml:space="preserve">of amino acids or glucose via gluconeogenesis. 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The uses of pyruvate are diverse, and the production of this intermediate gives </w:t>
      </w:r>
      <w:r w:rsidR="00741082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 flexibility to generate </w:t>
      </w:r>
      <w:r>
        <w:rPr>
          <w:rFonts w:ascii="Times New Roman" w:hAnsi="Times New Roman" w:cs="Times New Roman"/>
          <w:color w:val="0D0D0D" w:themeColor="text1" w:themeTint="F2"/>
        </w:rPr>
        <w:t>resources as they are needed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This is one reason why </w:t>
      </w:r>
      <w:r w:rsidR="001B154C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 have evolved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 instead of </w:t>
      </w:r>
      <w:proofErr w:type="spellStart"/>
      <w:r w:rsidR="001B154C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1B154C" w:rsidRPr="001F7061">
        <w:rPr>
          <w:rFonts w:ascii="Times New Roman" w:hAnsi="Times New Roman" w:cs="Times New Roman"/>
          <w:color w:val="0D0D0D" w:themeColor="text1" w:themeTint="F2"/>
        </w:rPr>
        <w:t>.</w:t>
      </w:r>
    </w:p>
    <w:p w14:paraId="0DEB8D6D" w14:textId="30785ABA" w:rsidR="00741082" w:rsidRPr="001F7061" w:rsidRDefault="001B154C" w:rsidP="00741082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Another reason why natural selection did not favor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color w:val="0D0D0D" w:themeColor="text1" w:themeTint="F2"/>
        </w:rPr>
        <w:t>in</w:t>
      </w:r>
      <w:r w:rsidR="00DD0634" w:rsidRPr="001F7061">
        <w:rPr>
          <w:rFonts w:ascii="Times New Roman" w:hAnsi="Times New Roman" w:cs="Times New Roman"/>
          <w:color w:val="0D0D0D" w:themeColor="text1" w:themeTint="F2"/>
        </w:rPr>
        <w:t xml:space="preserve"> the evolution of </w:t>
      </w:r>
      <w:r w:rsidR="00DD0634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is because</w:t>
      </w:r>
      <w:r w:rsidR="00DD0634" w:rsidRPr="001F7061">
        <w:rPr>
          <w:rFonts w:ascii="Times New Roman" w:hAnsi="Times New Roman" w:cs="Times New Roman"/>
          <w:color w:val="0D0D0D" w:themeColor="text1" w:themeTint="F2"/>
        </w:rPr>
        <w:t xml:space="preserve"> methanogen metabolisms are 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not flexible.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The direct pathway of </w:t>
      </w:r>
      <w:proofErr w:type="spellStart"/>
      <w:r w:rsidR="00A8195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 is efficient in its energy production, so methanogens evolved to lose </w:t>
      </w:r>
      <w:r w:rsidR="00B105C7">
        <w:rPr>
          <w:rFonts w:ascii="Times New Roman" w:hAnsi="Times New Roman" w:cs="Times New Roman"/>
          <w:color w:val="0D0D0D" w:themeColor="text1" w:themeTint="F2"/>
        </w:rPr>
        <w:t>alternative</w:t>
      </w:r>
      <w:r w:rsidR="006E3A8E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>less efficient, pathways to save room in the genome.</w:t>
      </w:r>
      <w:r w:rsidR="006E3A8E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6E3A8E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6E3A8E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rumia4f8u","properties":{"formattedCitation":"(3)","plainCitation":"(3)"},"citationItems":[{"id":20,"uris":["http://zotero.org/users/4535483/items/L946P4I3"],"uri":["http://zotero.org/users/4535483/items/L946P4I3"],"itemData":{"id":20,"type":"article-journal","title":"Methanogenesis and the Wood–Ljungdahl Pathway: An Ancient, Versatile, and Fragile Association","container-title":"Genome Biology and Evolution","page":"1706-1711","volume":"8","issue":"6","source":"CrossRef","DOI":"10.1093/gbe/evw114","ISSN":"1759-6653","shortTitle":"Methanogenesis and the Wood–Ljungdahl Pathway","language":"en","author":[{"family":"Borrel","given":"Guillaume"},{"family":"Adam","given":"Panagiotis S."},{"family":"Gribaldo","given":"Simonetta"}],"issued":{"date-parts":[["2016",6]]}}}],"schema":"https://github.com/citation-style-language/schema/raw/master/csl-citation.json"} </w:instrText>
      </w:r>
      <w:r w:rsidR="006E3A8E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6E3A8E">
        <w:rPr>
          <w:rFonts w:ascii="Times New Roman" w:hAnsi="Times New Roman" w:cs="Times New Roman"/>
          <w:noProof/>
          <w:color w:val="0D0D0D" w:themeColor="text1" w:themeTint="F2"/>
        </w:rPr>
        <w:t>(3)</w:t>
      </w:r>
      <w:r w:rsidR="006E3A8E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6E3A8E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Therefore, methanogens are strict methanogens, and would not be able to survive by any other metabolic pathway. Furthermore, methanogens are strictly anaerobic. </w: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instrText xml:space="preserve"> ADDIN ZOTERO_ITEM CSL_CITATION {"citationID":"a1r5e5vmgv6","properties":{"formattedCitation":"(4)","plainCitation":"(4)"},"citationItems":[{"id":17,"uris":["http://zotero.org/users/4535483/items/3YDZVRFK"],"uri":["http://zotero.org/users/4535483/items/3YDZVRFK"],"itemData":{"id":17,"type":"article-journal","title":"Taxonomic, Phylogenetic, and Ecological Diversity of Methanogenic Archaea","container-title":"Anaerobe","page":"205-226","volume":"6","issue":"4","source":"CrossRef","DOI":"10.1006/anae.2000.0345","ISSN":"10759964","language":"en","author":[{"family":"Garcia","given":"Jean-Louis"},{"family":"Patel","given":"Bharat K.C"},{"family":"Ollivier","given":"Bernard"}],"issued":{"date-parts":[["2000",8]]}}}],"schema":"https://github.com/citation-style-language/schema/raw/master/csl-citation.json"}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(4)</w: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Therefore, their survival requirements are even more narrow.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These strict requirements account for one reason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why </w:t>
      </w:r>
      <w:r w:rsidR="00A81956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did not evolve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methanogenesis. </w:t>
      </w:r>
    </w:p>
    <w:p w14:paraId="0FEDC7CC" w14:textId="0E249F26" w:rsidR="00286B1D" w:rsidRPr="001F7061" w:rsidRDefault="00A81956" w:rsidP="00683497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Finally, </w:t>
      </w:r>
      <w:r w:rsidR="00B105C7" w:rsidRPr="00B105C7">
        <w:rPr>
          <w:rFonts w:ascii="Times New Roman" w:hAnsi="Times New Roman" w:cs="Times New Roman"/>
          <w:noProof/>
          <w:color w:val="0D0D0D" w:themeColor="text1" w:themeTint="F2"/>
        </w:rPr>
        <w:t xml:space="preserve">the evolution of methanogenesis in 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 xml:space="preserve">Bacteria </w:t>
      </w:r>
      <w:r w:rsidR="00B105C7" w:rsidRPr="00B105C7">
        <w:rPr>
          <w:rFonts w:ascii="Times New Roman" w:hAnsi="Times New Roman" w:cs="Times New Roman"/>
          <w:noProof/>
          <w:color w:val="0D0D0D" w:themeColor="text1" w:themeTint="F2"/>
        </w:rPr>
        <w:t xml:space="preserve">was not evolutionarily favored because this would increase competition with 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.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The 2 domains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already compete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for some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substrates, but having the exact same pathway would be too much competition. If th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>ey had parallel mechanisms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 and the exact same substrate requirements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, they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would be competing for the exact same role and niche in the environment. 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Sulfate reducing and homoacetogenic bacteria already compete with methanogens for hydrogen, so competition for both substrates would not be evolutionarily favored.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qvvuhbbd2","properties":{"formattedCitation":"(4)","plainCitation":"(4)"},"citationItems":[{"id":17,"uris":["http://zotero.org/users/4535483/items/3YDZVRFK"],"uri":["http://zotero.org/users/4535483/items/3YDZVRFK"],"itemData":{"id":17,"type":"article-journal","title":"Taxonomic, Phylogenetic, and Ecological Diversity of Methanogenic Archaea","container-title":"Anaerobe","page":"205-226","volume":"6","issue":"4","source":"CrossRef","DOI":"10.1006/anae.2000.0345","ISSN":"10759964","language":"en","author":[{"family":"Garcia","given":"Jean-Louis"},{"family":"Patel","given":"Bharat K.C"},{"family":"Ollivier","given":"Bernard"}],"issued":{"date-parts":[["2000",8]]}}}],"schema":"https://github.com/citation-style-language/schema/raw/master/csl-citation.json"}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(4)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Under certain conditions, 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 xml:space="preserve">Bacteria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may be able to outcompete the 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>Archaea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, but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in most cases,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="006E3A8E">
        <w:rPr>
          <w:rFonts w:ascii="Times New Roman" w:hAnsi="Times New Roman" w:cs="Times New Roman"/>
          <w:color w:val="0D0D0D" w:themeColor="text1" w:themeTint="F2"/>
        </w:rPr>
        <w:t>a</w:t>
      </w:r>
      <w:r w:rsidR="00683497" w:rsidRPr="006E3A8E">
        <w:rPr>
          <w:rFonts w:ascii="Times New Roman" w:hAnsi="Times New Roman" w:cs="Times New Roman"/>
          <w:color w:val="0D0D0D" w:themeColor="text1" w:themeTint="F2"/>
        </w:rPr>
        <w:t>rchaea</w:t>
      </w:r>
      <w:r w:rsidR="006E3A8E">
        <w:rPr>
          <w:rFonts w:ascii="Times New Roman" w:hAnsi="Times New Roman" w:cs="Times New Roman"/>
          <w:color w:val="0D0D0D" w:themeColor="text1" w:themeTint="F2"/>
        </w:rPr>
        <w:t>l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 xml:space="preserve">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methanogens would dominate.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13t5ruv79j","properties":{"formattedCitation":"(5)","plainCitation":"(5)"},"citationItems":[{"id":19,"uris":["http://zotero.org/users/4535483/items/4Q56SS6Z"],"uri":["http://zotero.org/users/4535483/items/4Q56SS6Z"],"itemData":{"id":19,"type":"article-journal","title":"Competition and coexistence of sulfate-reducing bacteria, acetogens and methanogens in a lab-scale anaerobic bioreactor as affected by changing substrate to sulfate ratio","container-title":"Applied Microbiology and Biotechnology","page":"1045-1055","volume":"78","issue":"6","source":"CrossRef","DOI":"10.1007/s00253-008-1391-8","ISSN":"0175-7598, 1432-0614","language":"en","author":[{"family":"Dar","given":"Shabir A."},{"family":"Kleerebezem","given":"Robbert"},{"family":"Stams","given":"Alfons J. M."},{"family":"Kuenen","given":"J. Gijs"},{"family":"Muyzer","given":"Gerard"}],"issued":{"date-parts":[["2008",4]]}}}],"schema":"https://github.com/citation-style-language/schema/raw/master/csl-citation.json"}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(5)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>Therefore,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 acetogenesis in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evolved to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allow for </w:t>
      </w:r>
      <w:r w:rsidR="00FE3AFF" w:rsidRPr="001F7061">
        <w:rPr>
          <w:rFonts w:ascii="Times New Roman" w:hAnsi="Times New Roman" w:cs="Times New Roman"/>
          <w:noProof/>
          <w:color w:val="0D0D0D" w:themeColor="text1" w:themeTint="F2"/>
        </w:rPr>
        <w:t>coexistance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. 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If </w:t>
      </w:r>
      <w:r w:rsidR="009D3133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could not compete with </w:t>
      </w:r>
      <w:r w:rsidR="009D3133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, natural selection would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favor another mechanism to t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>hem to survive.</w:t>
      </w:r>
    </w:p>
    <w:p w14:paraId="77B209F4" w14:textId="0F3616A7" w:rsidR="00D92718" w:rsidRDefault="009D3133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Therefore,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do not perform methanogenesis so that they 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can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avoid competition with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 xml:space="preserve">,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produce </w:t>
      </w:r>
      <w:r w:rsidR="006E3A8E">
        <w:rPr>
          <w:rFonts w:ascii="Times New Roman" w:hAnsi="Times New Roman" w:cs="Times New Roman"/>
          <w:noProof/>
          <w:color w:val="0D0D0D" w:themeColor="text1" w:themeTint="F2"/>
        </w:rPr>
        <w:t>the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crucial a</w:t>
      </w:r>
      <w:r w:rsidR="006E3A8E">
        <w:rPr>
          <w:rFonts w:ascii="Times New Roman" w:hAnsi="Times New Roman" w:cs="Times New Roman"/>
          <w:noProof/>
          <w:color w:val="0D0D0D" w:themeColor="text1" w:themeTint="F2"/>
        </w:rPr>
        <w:t>nd robust intermediate molecule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pyruvate</w:t>
      </w:r>
      <w:r w:rsidR="006E3A8E">
        <w:rPr>
          <w:rFonts w:ascii="Times New Roman" w:hAnsi="Times New Roman" w:cs="Times New Roman"/>
          <w:noProof/>
          <w:color w:val="0D0D0D" w:themeColor="text1" w:themeTint="F2"/>
        </w:rPr>
        <w:t>, and retain a flexible metabolism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. </w:t>
      </w:r>
    </w:p>
    <w:p w14:paraId="66348A46" w14:textId="77777777" w:rsidR="00A85D95" w:rsidRDefault="00A85D95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</w:p>
    <w:p w14:paraId="08A980FD" w14:textId="77777777" w:rsidR="00A85D95" w:rsidRDefault="00A85D95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</w:p>
    <w:p w14:paraId="69C6306A" w14:textId="77777777" w:rsidR="00A85D95" w:rsidRDefault="00A85D95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bookmarkStart w:id="0" w:name="_GoBack"/>
      <w:bookmarkEnd w:id="0"/>
    </w:p>
    <w:p w14:paraId="733C4FC9" w14:textId="77777777" w:rsidR="00A85D95" w:rsidRPr="001F7061" w:rsidRDefault="00A85D95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</w:p>
    <w:p w14:paraId="2BC52B4C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begin"/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instrText xml:space="preserve"> ADDIN ZOTERO_BIBL {"custom":[]} CSL_BIBLIOGRAPHY </w:instrTex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separate"/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1.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Gray LR, Tompkins SC, Taylor EB. 2014. Regulation of pyruvate metabolism and human disease. Cell Mol Life Sci 71:2577–2604.</w:t>
      </w:r>
    </w:p>
    <w:p w14:paraId="461AC9F1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2.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Ferry J. 2015. Acetate Metabolism in Anaerobes from the Domain Archaea. Life 5:1454–1471.</w:t>
      </w:r>
    </w:p>
    <w:p w14:paraId="0CC1F965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3.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Borrel G, Adam PS, Gribaldo S. 2016. Methanogenesis and the Wood–Ljungdahl Pathway: An Ancient, Versatile, and Fragile Association. Genome Biol Evol 8:1706–1711.</w:t>
      </w:r>
    </w:p>
    <w:p w14:paraId="08895F2D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4.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Garcia J-L, Patel BK., Ollivier B. 2000. Taxonomic, Phylogenetic, and Ecological Diversity of Methanogenic Archaea. Anaerobe 6:205–226.</w:t>
      </w:r>
    </w:p>
    <w:p w14:paraId="1914FFC4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5.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Dar SA, Kleerebezem R, Stams AJM, Kuenen JG, Muyzer G. 2008. Competition and coexistence of sulfate-reducing bacteria, acetogens and methanogens in a lab-scale anaerobic bioreactor as affected by changing substrate to sulfate ratio. Appl Microbiol Biotechnol 78:1045–1055.</w:t>
      </w:r>
    </w:p>
    <w:p w14:paraId="2CB923E9" w14:textId="3E49B8AF" w:rsidR="004416A5" w:rsidRPr="001F7061" w:rsidRDefault="00ED6118" w:rsidP="00ED6118">
      <w:pPr>
        <w:spacing w:line="480" w:lineRule="auto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end"/>
      </w:r>
      <w:r w:rsidR="002D21B8" w:rsidRPr="001F7061">
        <w:rPr>
          <w:rFonts w:ascii="Times New Roman" w:hAnsi="Times New Roman" w:cs="Times New Roman"/>
          <w:color w:val="0D0D0D" w:themeColor="text1" w:themeTint="F2"/>
        </w:rPr>
        <w:t>I have neither given nor received unauthorized aid on this assignment. Jennifer Johnson</w:t>
      </w:r>
    </w:p>
    <w:p w14:paraId="51A45464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70E032C9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2DD659D5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1340FDE6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sectPr w:rsidR="004416A5" w:rsidRPr="001F7061" w:rsidSect="00F37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56"/>
    <w:rsid w:val="000042D4"/>
    <w:rsid w:val="000857FB"/>
    <w:rsid w:val="000A0AE3"/>
    <w:rsid w:val="000B359A"/>
    <w:rsid w:val="000C0529"/>
    <w:rsid w:val="000D1A35"/>
    <w:rsid w:val="000D2746"/>
    <w:rsid w:val="000F5487"/>
    <w:rsid w:val="00103EDE"/>
    <w:rsid w:val="00121C69"/>
    <w:rsid w:val="00134630"/>
    <w:rsid w:val="0015727D"/>
    <w:rsid w:val="00194FEA"/>
    <w:rsid w:val="001B154C"/>
    <w:rsid w:val="001C52BA"/>
    <w:rsid w:val="001E4BB3"/>
    <w:rsid w:val="001F7061"/>
    <w:rsid w:val="00206519"/>
    <w:rsid w:val="00230928"/>
    <w:rsid w:val="002371DE"/>
    <w:rsid w:val="00286B1D"/>
    <w:rsid w:val="002938E8"/>
    <w:rsid w:val="0029618A"/>
    <w:rsid w:val="002B7D17"/>
    <w:rsid w:val="002D21B8"/>
    <w:rsid w:val="002E2DB2"/>
    <w:rsid w:val="00315D5B"/>
    <w:rsid w:val="00343F7B"/>
    <w:rsid w:val="0034508E"/>
    <w:rsid w:val="00371431"/>
    <w:rsid w:val="003876D6"/>
    <w:rsid w:val="00391E35"/>
    <w:rsid w:val="00396D44"/>
    <w:rsid w:val="003E0E68"/>
    <w:rsid w:val="004127C4"/>
    <w:rsid w:val="00412FDE"/>
    <w:rsid w:val="0043390F"/>
    <w:rsid w:val="004416A5"/>
    <w:rsid w:val="00474CD8"/>
    <w:rsid w:val="00525B1C"/>
    <w:rsid w:val="00557935"/>
    <w:rsid w:val="0058189D"/>
    <w:rsid w:val="00595B86"/>
    <w:rsid w:val="005B38CA"/>
    <w:rsid w:val="005D65F0"/>
    <w:rsid w:val="005E6571"/>
    <w:rsid w:val="00602D36"/>
    <w:rsid w:val="00630A93"/>
    <w:rsid w:val="0066149D"/>
    <w:rsid w:val="00683497"/>
    <w:rsid w:val="00693DE7"/>
    <w:rsid w:val="006D5897"/>
    <w:rsid w:val="006E3A8E"/>
    <w:rsid w:val="00711FA5"/>
    <w:rsid w:val="00740654"/>
    <w:rsid w:val="00741082"/>
    <w:rsid w:val="007561B9"/>
    <w:rsid w:val="007A05B3"/>
    <w:rsid w:val="00812686"/>
    <w:rsid w:val="00860E56"/>
    <w:rsid w:val="00871CFD"/>
    <w:rsid w:val="008A56A1"/>
    <w:rsid w:val="00913015"/>
    <w:rsid w:val="00966872"/>
    <w:rsid w:val="009C7602"/>
    <w:rsid w:val="009D3133"/>
    <w:rsid w:val="00A10666"/>
    <w:rsid w:val="00A1258E"/>
    <w:rsid w:val="00A2244B"/>
    <w:rsid w:val="00A45D6E"/>
    <w:rsid w:val="00A5061B"/>
    <w:rsid w:val="00A81956"/>
    <w:rsid w:val="00A85D95"/>
    <w:rsid w:val="00AB17FF"/>
    <w:rsid w:val="00B105C7"/>
    <w:rsid w:val="00B22812"/>
    <w:rsid w:val="00B54DEC"/>
    <w:rsid w:val="00B67856"/>
    <w:rsid w:val="00B7600E"/>
    <w:rsid w:val="00B77AD7"/>
    <w:rsid w:val="00BB0EAE"/>
    <w:rsid w:val="00BB7723"/>
    <w:rsid w:val="00BD3DEB"/>
    <w:rsid w:val="00BD5116"/>
    <w:rsid w:val="00BF3E38"/>
    <w:rsid w:val="00C10CA6"/>
    <w:rsid w:val="00C25B04"/>
    <w:rsid w:val="00C914EE"/>
    <w:rsid w:val="00CB7F63"/>
    <w:rsid w:val="00CE145C"/>
    <w:rsid w:val="00D469F1"/>
    <w:rsid w:val="00D51E37"/>
    <w:rsid w:val="00D74625"/>
    <w:rsid w:val="00D75680"/>
    <w:rsid w:val="00D92718"/>
    <w:rsid w:val="00DD0634"/>
    <w:rsid w:val="00DD603A"/>
    <w:rsid w:val="00DE2CF1"/>
    <w:rsid w:val="00DF3D1E"/>
    <w:rsid w:val="00DF62F8"/>
    <w:rsid w:val="00E250AA"/>
    <w:rsid w:val="00E62EC0"/>
    <w:rsid w:val="00E86F54"/>
    <w:rsid w:val="00ED5A3C"/>
    <w:rsid w:val="00ED6118"/>
    <w:rsid w:val="00F036CF"/>
    <w:rsid w:val="00F201C2"/>
    <w:rsid w:val="00F269C2"/>
    <w:rsid w:val="00F37696"/>
    <w:rsid w:val="00F41D1D"/>
    <w:rsid w:val="00F818F5"/>
    <w:rsid w:val="00FA0ECE"/>
    <w:rsid w:val="00FD453B"/>
    <w:rsid w:val="00FD4F4D"/>
    <w:rsid w:val="00FE3AFF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E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AD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D6118"/>
    <w:pPr>
      <w:tabs>
        <w:tab w:val="left" w:pos="380"/>
      </w:tabs>
      <w:spacing w:after="240" w:line="48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24F2467-DF14-A143-BFB3-5DA4C1A3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1599</Words>
  <Characters>9118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2017-11-04T19:17:00Z</dcterms:created>
  <dcterms:modified xsi:type="dcterms:W3CDTF">2017-11-30T15:25:00Z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73557124-0ebd-314c-a496-621c0fc388d0</vt:lpwstr>
  </property>
  <property fmtid="{D5CDD505-2E9C-101B-9397-08002B2CF9AE}" pid="4" name="Mendeley Citation Style_1">
    <vt:lpwstr>http://www.zotero.org/styles/american-society-for-microbiology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http://www.zotero.org/styles/american-society-for-microbiology</vt:lpwstr>
  </property>
  <property fmtid="{D5CDD505-2E9C-101B-9397-08002B2CF9AE}" pid="8" name="Mendeley Recent Style Name 1_1">
    <vt:lpwstr>American Society for Microbiology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http://www.zotero.org/styles/chicago-note-bibliography</vt:lpwstr>
  </property>
  <property fmtid="{D5CDD505-2E9C-101B-9397-08002B2CF9AE}" pid="14" name="Mendeley Recent Style Name 4_1">
    <vt:lpwstr>Chicago Manual of Style 16th edition (note)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9th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  <property fmtid="{D5CDD505-2E9C-101B-9397-08002B2CF9AE}" pid="25" name="ZOTERO_PREF_1">
    <vt:lpwstr>&lt;data data-version="3" zotero-version="5.0.29"&gt;&lt;session id="uwebyD1G"/&gt;&lt;style id="http://www.zotero.org/styles/american-society-for-microbiology" hasBibliography="1" bibliographyStyleHasBeenSet="1"/&gt;&lt;prefs&gt;&lt;pref name="fieldType" value="Field"/&gt;&lt;pref name=</vt:lpwstr>
  </property>
  <property fmtid="{D5CDD505-2E9C-101B-9397-08002B2CF9AE}" pid="26" name="ZOTERO_PREF_2">
    <vt:lpwstr>"automaticJournalAbbreviations" value="true"/&gt;&lt;pref name="noteType" value="0"/&gt;&lt;/prefs&gt;&lt;/data&gt;</vt:lpwstr>
  </property>
</Properties>
</file>