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6CD6" w:rsidRDefault="00501F42">
      <w:pPr>
        <w:spacing w:after="60"/>
      </w:pPr>
      <w:r>
        <w:rPr>
          <w:b/>
          <w:bCs/>
          <w:color w:val="1B2A4A"/>
          <w:sz w:val="44"/>
          <w:szCs w:val="44"/>
        </w:rPr>
        <w:t>TEXAS FOODS DIRECT</w:t>
      </w:r>
    </w:p>
    <w:p w:rsidR="00266CD6" w:rsidRDefault="00501F42">
      <w:pPr>
        <w:spacing w:after="300"/>
      </w:pPr>
      <w:r>
        <w:rPr>
          <w:b/>
          <w:bCs/>
          <w:color w:val="B03A2E"/>
          <w:sz w:val="26"/>
          <w:szCs w:val="26"/>
        </w:rPr>
        <w:t>Digital Marketing &amp; Analytics Case Study</w:t>
      </w:r>
    </w:p>
    <w:p w:rsidR="00266CD6" w:rsidRDefault="00501F42">
      <w:pPr>
        <w:pStyle w:val="Heading1"/>
        <w:pBdr>
          <w:bottom w:val="single" w:sz="6" w:space="4" w:color="1B2A4A"/>
        </w:pBdr>
        <w:spacing w:before="400" w:after="200"/>
      </w:pPr>
      <w:bookmarkStart w:id="0" w:name="_GoBack"/>
      <w:bookmarkEnd w:id="0"/>
      <w:r>
        <w:rPr>
          <w:b/>
          <w:bCs/>
          <w:color w:val="1B2A4A"/>
          <w:sz w:val="30"/>
          <w:szCs w:val="30"/>
        </w:rPr>
        <w:t>1. Business Overview</w:t>
      </w:r>
    </w:p>
    <w:tbl>
      <w:tblPr>
        <w:tblW w:w="90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00"/>
      </w:tblGrid>
      <w:tr w:rsidR="00266CD6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5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b/>
                <w:bCs/>
                <w:color w:val="FFFFFF"/>
              </w:rPr>
              <w:t>Detail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Business Model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B2C (business-to-consumer)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E-Commerce Platform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proofErr w:type="spellStart"/>
            <w:r>
              <w:rPr>
                <w:color w:val="000000"/>
              </w:rPr>
              <w:t>Shopify</w:t>
            </w:r>
            <w:proofErr w:type="spellEnd"/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Company Size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Small online retailer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Location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Texas, USA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Founded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2018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Reporting Range Covered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2018 launch through most recent available report (2023)</w:t>
            </w:r>
          </w:p>
        </w:tc>
      </w:tr>
    </w:tbl>
    <w:p w:rsidR="00266CD6" w:rsidRDefault="00501F42">
      <w:pPr>
        <w:spacing w:after="160"/>
      </w:pPr>
      <w:r>
        <w:rPr>
          <w:sz w:val="22"/>
          <w:szCs w:val="22"/>
        </w:rPr>
        <w:t xml:space="preserve">Texas Foods Direct is a small, Texas-based B2C online retailer selling specialty food products (chili powders, spices, hot sauces, infused olive oils, and grilling/smoking supplies) direct to consumers through its </w:t>
      </w:r>
      <w:proofErr w:type="spellStart"/>
      <w:r>
        <w:rPr>
          <w:sz w:val="22"/>
          <w:szCs w:val="22"/>
        </w:rPr>
        <w:t>Shopify</w:t>
      </w:r>
      <w:proofErr w:type="spellEnd"/>
      <w:r>
        <w:rPr>
          <w:sz w:val="22"/>
          <w:szCs w:val="22"/>
        </w:rPr>
        <w:t xml:space="preserve"> storefront. The business launched </w:t>
      </w:r>
      <w:r>
        <w:rPr>
          <w:sz w:val="22"/>
          <w:szCs w:val="22"/>
        </w:rPr>
        <w:t>in 2018, and the analytics reviewed in this case study span its digital marketing stack through the most recent reporting available, 2023.</w:t>
      </w:r>
    </w:p>
    <w:p w:rsidR="00266CD6" w:rsidRDefault="00501F42">
      <w:pPr>
        <w:pStyle w:val="Heading1"/>
        <w:pBdr>
          <w:bottom w:val="single" w:sz="6" w:space="4" w:color="1B2A4A"/>
        </w:pBdr>
        <w:spacing w:before="400" w:after="200"/>
      </w:pPr>
      <w:r>
        <w:rPr>
          <w:b/>
          <w:bCs/>
          <w:color w:val="1B2A4A"/>
          <w:sz w:val="30"/>
          <w:szCs w:val="30"/>
        </w:rPr>
        <w:t>2. Executive Summary</w:t>
      </w:r>
    </w:p>
    <w:p w:rsidR="00266CD6" w:rsidRDefault="00501F42">
      <w:pPr>
        <w:spacing w:after="160"/>
      </w:pPr>
      <w:r>
        <w:rPr>
          <w:sz w:val="22"/>
          <w:szCs w:val="22"/>
        </w:rPr>
        <w:t>TexasFoodsDirect.com runs a full-funnel e-commerce marketing stack: GA4 for measurement, organic</w:t>
      </w:r>
      <w:r>
        <w:rPr>
          <w:sz w:val="22"/>
          <w:szCs w:val="22"/>
        </w:rPr>
        <w:t xml:space="preserve"> SEO supported by Search Console, paid Shopping/Search ads through Google Ads, and a </w:t>
      </w:r>
      <w:proofErr w:type="spellStart"/>
      <w:r>
        <w:rPr>
          <w:sz w:val="22"/>
          <w:szCs w:val="22"/>
        </w:rPr>
        <w:t>Shopify</w:t>
      </w:r>
      <w:proofErr w:type="spellEnd"/>
      <w:r>
        <w:rPr>
          <w:sz w:val="22"/>
          <w:szCs w:val="22"/>
        </w:rPr>
        <w:t xml:space="preserve"> storefront for transactions. The reports reviewed show:</w:t>
      </w:r>
    </w:p>
    <w:p w:rsidR="00266CD6" w:rsidRDefault="00501F42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Organic Search is the dominant acquisition channel, driving 13,224 of 22,511 new users (~59%) in the most r</w:t>
      </w:r>
      <w:r>
        <w:rPr>
          <w:sz w:val="22"/>
          <w:szCs w:val="22"/>
        </w:rPr>
        <w:t>ecent 12-month GA4 pull.</w:t>
      </w:r>
    </w:p>
    <w:p w:rsidR="00266CD6" w:rsidRDefault="00501F42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Shopify</w:t>
      </w:r>
      <w:proofErr w:type="spellEnd"/>
      <w:r>
        <w:rPr>
          <w:sz w:val="22"/>
          <w:szCs w:val="22"/>
        </w:rPr>
        <w:t xml:space="preserve"> site-wide sales reached $87,824.56 in calendar year 2022, up 33% year-over-year, on 1,351 orders (+47%).</w:t>
      </w:r>
    </w:p>
    <w:p w:rsidR="00266CD6" w:rsidRDefault="00501F42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Google Ads has historically delivered a strong 16.44× return on ad spend lifetime, driven almost entirely by Shopping </w:t>
      </w:r>
      <w:r>
        <w:rPr>
          <w:sz w:val="22"/>
          <w:szCs w:val="22"/>
        </w:rPr>
        <w:t>campaigns (19.76× ROAS) — but the account currently has no active campaigns; all 43 campaigns in the export are Paused, Removed, or Ended.</w:t>
      </w:r>
    </w:p>
    <w:p w:rsidR="00266CD6" w:rsidRDefault="00501F42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High-value branded/product keywords (e.g., "</w:t>
      </w:r>
      <w:proofErr w:type="spellStart"/>
      <w:r>
        <w:rPr>
          <w:sz w:val="22"/>
          <w:szCs w:val="22"/>
        </w:rPr>
        <w:t>mexene</w:t>
      </w:r>
      <w:proofErr w:type="spellEnd"/>
      <w:r>
        <w:rPr>
          <w:sz w:val="22"/>
          <w:szCs w:val="22"/>
        </w:rPr>
        <w:t xml:space="preserve"> chili powder," "ghost pepper") are generating strong impression vo</w:t>
      </w:r>
      <w:r>
        <w:rPr>
          <w:sz w:val="22"/>
          <w:szCs w:val="22"/>
        </w:rPr>
        <w:t>lume in Search Console, indicating SEO visibility outpacing click-through on some head terms.</w:t>
      </w:r>
    </w:p>
    <w:p w:rsidR="00266CD6" w:rsidRDefault="00501F42">
      <w:pPr>
        <w:pStyle w:val="Heading1"/>
        <w:pBdr>
          <w:bottom w:val="single" w:sz="6" w:space="4" w:color="1B2A4A"/>
        </w:pBdr>
        <w:spacing w:before="400" w:after="200"/>
      </w:pPr>
      <w:r>
        <w:rPr>
          <w:b/>
          <w:bCs/>
          <w:color w:val="1B2A4A"/>
          <w:sz w:val="30"/>
          <w:szCs w:val="30"/>
        </w:rPr>
        <w:t>3. Analytics &amp; Tracking Foundation</w:t>
      </w:r>
    </w:p>
    <w:p w:rsidR="00266CD6" w:rsidRDefault="00501F42">
      <w:pPr>
        <w:pStyle w:val="Heading2"/>
        <w:spacing w:before="300" w:after="120"/>
      </w:pPr>
      <w:r>
        <w:rPr>
          <w:b/>
          <w:bCs/>
          <w:color w:val="B03A2E"/>
          <w:sz w:val="24"/>
          <w:szCs w:val="24"/>
        </w:rPr>
        <w:t>GA4 — User Acquisition (Last 12 Months, through Feb 19)</w:t>
      </w:r>
    </w:p>
    <w:p w:rsidR="00266CD6" w:rsidRDefault="00501F42">
      <w:pPr>
        <w:spacing w:after="160"/>
      </w:pPr>
      <w:r>
        <w:rPr>
          <w:sz w:val="22"/>
          <w:szCs w:val="22"/>
        </w:rPr>
        <w:t>Property: TFD - GA4. Channel breakdown by first-user primary channel gr</w:t>
      </w:r>
      <w:r>
        <w:rPr>
          <w:sz w:val="22"/>
          <w:szCs w:val="22"/>
        </w:rPr>
        <w:t>oup:</w:t>
      </w:r>
    </w:p>
    <w:tbl>
      <w:tblPr>
        <w:tblW w:w="90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1900"/>
        <w:gridCol w:w="1700"/>
        <w:gridCol w:w="1400"/>
      </w:tblGrid>
      <w:tr w:rsidR="00266CD6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b/>
                <w:bCs/>
                <w:color w:val="FFFFFF"/>
              </w:rPr>
              <w:t>Channel</w:t>
            </w:r>
          </w:p>
        </w:tc>
        <w:tc>
          <w:tcPr>
            <w:tcW w:w="16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b/>
                <w:bCs/>
                <w:color w:val="FFFFFF"/>
              </w:rPr>
              <w:t>New Users</w:t>
            </w:r>
          </w:p>
        </w:tc>
        <w:tc>
          <w:tcPr>
            <w:tcW w:w="1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b/>
                <w:bCs/>
                <w:color w:val="FFFFFF"/>
              </w:rPr>
              <w:t>Engaged Sessions</w:t>
            </w:r>
          </w:p>
        </w:tc>
        <w:tc>
          <w:tcPr>
            <w:tcW w:w="17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b/>
                <w:bCs/>
                <w:color w:val="FFFFFF"/>
              </w:rPr>
              <w:t>Engagement Rate</w:t>
            </w:r>
          </w:p>
        </w:tc>
        <w:tc>
          <w:tcPr>
            <w:tcW w:w="14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b/>
                <w:bCs/>
                <w:color w:val="FFFFFF"/>
              </w:rPr>
              <w:t>Avg. Engagement Time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Organic Search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13,224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11,778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73.34%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49s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lastRenderedPageBreak/>
              <w:t>Direct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4,469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3,004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52.18%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33s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Paid Shopping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2,820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2,783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81.4%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57s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Paid Search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935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760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66.78%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1m 05s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Organic Shopping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657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723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81.79%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1m 25s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Organic Social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215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162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67.5%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33s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Referral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182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495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87.61%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3m 45s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Email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9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5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50%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52s</w:t>
            </w:r>
          </w:p>
        </w:tc>
      </w:tr>
    </w:tbl>
    <w:p w:rsidR="00266CD6" w:rsidRDefault="00501F42">
      <w:pPr>
        <w:spacing w:after="200"/>
      </w:pPr>
      <w:r>
        <w:rPr>
          <w:i/>
          <w:iCs/>
          <w:color w:val="666666"/>
          <w:sz w:val="19"/>
          <w:szCs w:val="19"/>
        </w:rPr>
        <w:t>Totals: 22,511 new users / 19,506 engaged sessions / 70.06% engagement rate / 225,625 total events. Notice: Referral traffic converts to engagement extremely well (87.61% engagement rate, 3m45s avg. time) on very low volume (182 users) — a strong candidate</w:t>
      </w:r>
      <w:r>
        <w:rPr>
          <w:i/>
          <w:iCs/>
          <w:color w:val="666666"/>
          <w:sz w:val="19"/>
          <w:szCs w:val="19"/>
        </w:rPr>
        <w:t xml:space="preserve"> for scaling if the referral sources can be identified and replicated.</w:t>
      </w:r>
    </w:p>
    <w:p w:rsidR="00266CD6" w:rsidRDefault="00501F42">
      <w:pPr>
        <w:pStyle w:val="Heading2"/>
        <w:spacing w:before="300" w:after="120"/>
      </w:pPr>
      <w:r>
        <w:rPr>
          <w:b/>
          <w:bCs/>
          <w:color w:val="B03A2E"/>
          <w:sz w:val="24"/>
          <w:szCs w:val="24"/>
        </w:rPr>
        <w:t>GA4 — Summary &amp; Trends (Jan 1 – Dec 31, 2023)</w:t>
      </w:r>
    </w:p>
    <w:tbl>
      <w:tblPr>
        <w:tblW w:w="90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00"/>
        <w:gridCol w:w="3400"/>
      </w:tblGrid>
      <w:tr w:rsidR="00266CD6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4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34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b/>
                <w:bCs/>
                <w:color w:val="FFFFFF"/>
              </w:rPr>
              <w:t>vs. Prior Period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Active Users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23.1K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+113.7%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New Users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23.2K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+116.4%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New User %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100%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+1.2%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% Engaged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72%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+7.9%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proofErr w:type="spellStart"/>
            <w:r>
              <w:rPr>
                <w:color w:val="000000"/>
              </w:rPr>
              <w:t>Pageviews</w:t>
            </w:r>
            <w:proofErr w:type="spellEnd"/>
            <w:r>
              <w:rPr>
                <w:color w:val="000000"/>
              </w:rPr>
              <w:t xml:space="preserve"> per User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3.6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+11.9%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Avg. Engagement Time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00:00:52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–10.0%</w:t>
            </w:r>
          </w:p>
        </w:tc>
      </w:tr>
    </w:tbl>
    <w:p w:rsidR="00266CD6" w:rsidRDefault="00501F42">
      <w:pPr>
        <w:spacing w:after="200"/>
      </w:pPr>
      <w:r>
        <w:rPr>
          <w:i/>
          <w:iCs/>
          <w:color w:val="666666"/>
          <w:sz w:val="19"/>
          <w:szCs w:val="19"/>
        </w:rPr>
        <w:t xml:space="preserve">Active users more than doubled year-over-year, but average engagement time slipped 10% — volume is growing faster than depth of engagement. </w:t>
      </w:r>
      <w:proofErr w:type="gramStart"/>
      <w:r>
        <w:rPr>
          <w:i/>
          <w:iCs/>
          <w:color w:val="666666"/>
          <w:sz w:val="19"/>
          <w:szCs w:val="19"/>
        </w:rPr>
        <w:t>Worth investigating landing page relevance or page load speed for new traffic sources.</w:t>
      </w:r>
      <w:proofErr w:type="gramEnd"/>
    </w:p>
    <w:p w:rsidR="00266CD6" w:rsidRDefault="00501F42">
      <w:pPr>
        <w:pStyle w:val="Heading1"/>
        <w:pBdr>
          <w:bottom w:val="single" w:sz="6" w:space="4" w:color="1B2A4A"/>
        </w:pBdr>
        <w:spacing w:before="400" w:after="200"/>
      </w:pPr>
      <w:r>
        <w:rPr>
          <w:b/>
          <w:bCs/>
          <w:color w:val="1B2A4A"/>
          <w:sz w:val="30"/>
          <w:szCs w:val="30"/>
        </w:rPr>
        <w:t>4. Organic Search (SEO) Perfo</w:t>
      </w:r>
      <w:r>
        <w:rPr>
          <w:b/>
          <w:bCs/>
          <w:color w:val="1B2A4A"/>
          <w:sz w:val="30"/>
          <w:szCs w:val="30"/>
        </w:rPr>
        <w:t>rmance</w:t>
      </w:r>
    </w:p>
    <w:p w:rsidR="00266CD6" w:rsidRDefault="00501F42">
      <w:pPr>
        <w:pStyle w:val="Heading2"/>
        <w:spacing w:before="300" w:after="120"/>
      </w:pPr>
      <w:r>
        <w:rPr>
          <w:b/>
          <w:bCs/>
          <w:color w:val="B03A2E"/>
          <w:sz w:val="24"/>
          <w:szCs w:val="24"/>
        </w:rPr>
        <w:t>Google Search Console (Last 12 Months)</w:t>
      </w:r>
    </w:p>
    <w:p w:rsidR="00266CD6" w:rsidRDefault="00501F42">
      <w:pPr>
        <w:spacing w:after="160"/>
      </w:pPr>
      <w:r>
        <w:rPr>
          <w:sz w:val="22"/>
          <w:szCs w:val="22"/>
        </w:rPr>
        <w:t>Top queries by clicks, https://texasfoodsdirect.com/:</w:t>
      </w:r>
    </w:p>
    <w:tbl>
      <w:tblPr>
        <w:tblW w:w="90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000"/>
        <w:gridCol w:w="2800"/>
      </w:tblGrid>
      <w:tr w:rsidR="00266CD6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b/>
                <w:bCs/>
                <w:color w:val="FFFFFF"/>
              </w:rPr>
              <w:t>Query</w:t>
            </w:r>
          </w:p>
        </w:tc>
        <w:tc>
          <w:tcPr>
            <w:tcW w:w="2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b/>
                <w:bCs/>
                <w:color w:val="FFFFFF"/>
              </w:rPr>
              <w:t>Clicks</w:t>
            </w:r>
          </w:p>
        </w:tc>
        <w:tc>
          <w:tcPr>
            <w:tcW w:w="28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b/>
                <w:bCs/>
                <w:color w:val="FFFFFF"/>
              </w:rPr>
              <w:t>Impressions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proofErr w:type="spellStart"/>
            <w:r>
              <w:rPr>
                <w:color w:val="000000"/>
              </w:rPr>
              <w:t>mexene</w:t>
            </w:r>
            <w:proofErr w:type="spellEnd"/>
            <w:r>
              <w:rPr>
                <w:color w:val="000000"/>
              </w:rPr>
              <w:t xml:space="preserve"> chili powder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812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23,508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post oak pellets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341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11,042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proofErr w:type="spellStart"/>
            <w:r>
              <w:rPr>
                <w:color w:val="000000"/>
              </w:rPr>
              <w:t>shuping</w:t>
            </w:r>
            <w:proofErr w:type="spellEnd"/>
            <w:r>
              <w:rPr>
                <w:color w:val="000000"/>
              </w:rPr>
              <w:t xml:space="preserve"> pellets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236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616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proofErr w:type="spellStart"/>
            <w:r>
              <w:rPr>
                <w:color w:val="000000"/>
              </w:rPr>
              <w:t>texas</w:t>
            </w:r>
            <w:proofErr w:type="spellEnd"/>
            <w:r>
              <w:rPr>
                <w:color w:val="000000"/>
              </w:rPr>
              <w:t xml:space="preserve"> foods direct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149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266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ghost pepper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108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26,382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proofErr w:type="spellStart"/>
            <w:r>
              <w:rPr>
                <w:color w:val="000000"/>
              </w:rPr>
              <w:t>texas</w:t>
            </w:r>
            <w:proofErr w:type="spellEnd"/>
            <w:r>
              <w:rPr>
                <w:color w:val="000000"/>
              </w:rPr>
              <w:t xml:space="preserve"> brisket rub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88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3,896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proofErr w:type="spellStart"/>
            <w:r>
              <w:rPr>
                <w:color w:val="000000"/>
              </w:rPr>
              <w:t>mexene</w:t>
            </w:r>
            <w:proofErr w:type="spellEnd"/>
            <w:r>
              <w:rPr>
                <w:color w:val="000000"/>
              </w:rPr>
              <w:t xml:space="preserve"> chili powder near me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66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2,939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proofErr w:type="spellStart"/>
            <w:r>
              <w:rPr>
                <w:color w:val="000000"/>
              </w:rPr>
              <w:t>mexene</w:t>
            </w:r>
            <w:proofErr w:type="spellEnd"/>
            <w:r>
              <w:rPr>
                <w:color w:val="000000"/>
              </w:rPr>
              <w:t xml:space="preserve"> chili powder 38 </w:t>
            </w:r>
            <w:proofErr w:type="spellStart"/>
            <w:r>
              <w:rPr>
                <w:color w:val="000000"/>
              </w:rPr>
              <w:t>oz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65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303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proofErr w:type="spellStart"/>
            <w:r>
              <w:rPr>
                <w:color w:val="000000"/>
              </w:rPr>
              <w:t>mexene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64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4,344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lastRenderedPageBreak/>
              <w:t>corn kits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62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~2,498</w:t>
            </w:r>
          </w:p>
        </w:tc>
      </w:tr>
    </w:tbl>
    <w:p w:rsidR="00266CD6" w:rsidRDefault="00501F42">
      <w:pPr>
        <w:spacing w:after="200"/>
      </w:pPr>
      <w:r>
        <w:rPr>
          <w:i/>
          <w:iCs/>
          <w:color w:val="666666"/>
          <w:sz w:val="19"/>
          <w:szCs w:val="19"/>
        </w:rPr>
        <w:t>“Ghost pepper” and “</w:t>
      </w:r>
      <w:proofErr w:type="spellStart"/>
      <w:r>
        <w:rPr>
          <w:i/>
          <w:iCs/>
          <w:color w:val="666666"/>
          <w:sz w:val="19"/>
          <w:szCs w:val="19"/>
        </w:rPr>
        <w:t>mexene</w:t>
      </w:r>
      <w:proofErr w:type="spellEnd"/>
      <w:r>
        <w:rPr>
          <w:i/>
          <w:iCs/>
          <w:color w:val="666666"/>
          <w:sz w:val="19"/>
          <w:szCs w:val="19"/>
        </w:rPr>
        <w:t xml:space="preserve"> chili powder” together account for ~50K impressions but comparatively modest clicks (108 and 812) — both are high-visibility, moderate-CTR terms and good candidates for title/meta description testing to lift click-through.</w:t>
      </w:r>
    </w:p>
    <w:p w:rsidR="00266CD6" w:rsidRDefault="00501F42">
      <w:pPr>
        <w:pStyle w:val="Heading1"/>
        <w:pBdr>
          <w:bottom w:val="single" w:sz="6" w:space="4" w:color="1B2A4A"/>
        </w:pBdr>
        <w:spacing w:before="400" w:after="200"/>
      </w:pPr>
      <w:r>
        <w:rPr>
          <w:b/>
          <w:bCs/>
          <w:color w:val="1B2A4A"/>
          <w:sz w:val="30"/>
          <w:szCs w:val="30"/>
        </w:rPr>
        <w:t>5. Pai</w:t>
      </w:r>
      <w:r>
        <w:rPr>
          <w:b/>
          <w:bCs/>
          <w:color w:val="1B2A4A"/>
          <w:sz w:val="30"/>
          <w:szCs w:val="30"/>
        </w:rPr>
        <w:t>d Media</w:t>
      </w:r>
    </w:p>
    <w:p w:rsidR="00266CD6" w:rsidRDefault="00501F42">
      <w:pPr>
        <w:pStyle w:val="Heading2"/>
        <w:spacing w:before="300" w:after="120"/>
      </w:pPr>
      <w:r>
        <w:rPr>
          <w:b/>
          <w:bCs/>
          <w:color w:val="B03A2E"/>
          <w:sz w:val="24"/>
          <w:szCs w:val="24"/>
        </w:rPr>
        <w:t>Google Ads — Campaign Perfo</w:t>
      </w:r>
      <w:r>
        <w:rPr>
          <w:b/>
          <w:bCs/>
          <w:color w:val="B03A2E"/>
          <w:sz w:val="24"/>
          <w:szCs w:val="24"/>
        </w:rPr>
        <w:t>rmance Summary (Mar 2017 – Mar 2023)</w:t>
      </w:r>
    </w:p>
    <w:p w:rsidR="00266CD6" w:rsidRDefault="00501F42">
      <w:pPr>
        <w:spacing w:after="160"/>
      </w:pPr>
      <w:proofErr w:type="gramStart"/>
      <w:r>
        <w:rPr>
          <w:sz w:val="22"/>
          <w:szCs w:val="22"/>
        </w:rPr>
        <w:t>Based on a full account export of 43 campaigns spanning nearly six years.</w:t>
      </w:r>
      <w:proofErr w:type="gramEnd"/>
      <w:r>
        <w:rPr>
          <w:sz w:val="22"/>
          <w:szCs w:val="22"/>
        </w:rPr>
        <w:t xml:space="preserve"> Lifetime account totals:</w:t>
      </w:r>
    </w:p>
    <w:tbl>
      <w:tblPr>
        <w:tblW w:w="90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000"/>
      </w:tblGrid>
      <w:tr w:rsidR="00266CD6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b/>
                <w:bCs/>
                <w:color w:val="FFFFFF"/>
              </w:rPr>
              <w:t>Value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Impressions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1,381,356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Clicks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27,548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CTR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1.99%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Total Cost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$4,425.86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Avg. CPC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$0.16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Conversions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1,649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Conversion Value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$72,761.70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Cost / Conversion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$2.68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Return on Ad Spend (Conv. Value ÷ Cost)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16.44×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Conversion Rate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5.99%</w:t>
            </w:r>
          </w:p>
        </w:tc>
      </w:tr>
    </w:tbl>
    <w:p w:rsidR="00266CD6" w:rsidRDefault="00501F42">
      <w:pPr>
        <w:spacing w:after="160"/>
      </w:pPr>
      <w:r>
        <w:rPr>
          <w:sz w:val="22"/>
          <w:szCs w:val="22"/>
        </w:rPr>
        <w:t>Performance by campaign type:</w:t>
      </w:r>
    </w:p>
    <w:tbl>
      <w:tblPr>
        <w:tblW w:w="90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2"/>
        <w:gridCol w:w="1380"/>
        <w:gridCol w:w="1601"/>
        <w:gridCol w:w="1544"/>
        <w:gridCol w:w="1040"/>
        <w:gridCol w:w="1213"/>
      </w:tblGrid>
      <w:tr w:rsidR="00266CD6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b/>
                <w:bCs/>
                <w:color w:val="FFFFFF"/>
              </w:rPr>
              <w:t>Campaign Type</w:t>
            </w:r>
          </w:p>
        </w:tc>
        <w:tc>
          <w:tcPr>
            <w:tcW w:w="16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b/>
                <w:bCs/>
                <w:color w:val="FFFFFF"/>
              </w:rPr>
              <w:t>Cost</w:t>
            </w:r>
          </w:p>
        </w:tc>
        <w:tc>
          <w:tcPr>
            <w:tcW w:w="18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b/>
                <w:bCs/>
                <w:color w:val="FFFFFF"/>
              </w:rPr>
              <w:t>Conversions</w:t>
            </w:r>
          </w:p>
        </w:tc>
        <w:tc>
          <w:tcPr>
            <w:tcW w:w="18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b/>
                <w:bCs/>
                <w:color w:val="FFFFFF"/>
              </w:rPr>
              <w:t>Conv. Value</w:t>
            </w:r>
          </w:p>
        </w:tc>
        <w:tc>
          <w:tcPr>
            <w:tcW w:w="12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b/>
                <w:bCs/>
                <w:color w:val="FFFFFF"/>
              </w:rPr>
              <w:t>ROAS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b/>
                <w:bCs/>
                <w:color w:val="FFFFFF"/>
              </w:rPr>
              <w:t>Conv. Rate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Shopping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$3,569.47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1,543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$70,537.06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19.76×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6.63%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Search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$597.51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105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$2,200.30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3.68×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4.49%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Display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$258.88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1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$24.34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0.09×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0.05%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Smart / Performance Max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$0.00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0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$0.00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—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—</w:t>
            </w:r>
          </w:p>
        </w:tc>
      </w:tr>
    </w:tbl>
    <w:p w:rsidR="00266CD6" w:rsidRDefault="00501F42">
      <w:pPr>
        <w:spacing w:after="200"/>
      </w:pPr>
      <w:r>
        <w:rPr>
          <w:i/>
          <w:iCs/>
          <w:color w:val="666666"/>
          <w:sz w:val="19"/>
          <w:szCs w:val="19"/>
        </w:rPr>
        <w:t xml:space="preserve">Shopping campaigns drove the account: 81% of total spend but 94% of conversions and 97% of conversion value, at a 19.76× return. </w:t>
      </w:r>
      <w:proofErr w:type="gramStart"/>
      <w:r>
        <w:rPr>
          <w:i/>
          <w:iCs/>
          <w:color w:val="666666"/>
          <w:sz w:val="19"/>
          <w:szCs w:val="19"/>
        </w:rPr>
        <w:t>Display spend</w:t>
      </w:r>
      <w:proofErr w:type="gramEnd"/>
      <w:r>
        <w:rPr>
          <w:i/>
          <w:iCs/>
          <w:color w:val="666666"/>
          <w:sz w:val="19"/>
          <w:szCs w:val="19"/>
        </w:rPr>
        <w:t xml:space="preserve">, by contrast, returned essentially nothing (1 conversion across 1,917 clicks and $258.88 spent). The single best </w:t>
      </w:r>
      <w:r>
        <w:rPr>
          <w:i/>
          <w:iCs/>
          <w:color w:val="666666"/>
          <w:sz w:val="19"/>
          <w:szCs w:val="19"/>
        </w:rPr>
        <w:t>campaign in the account, “</w:t>
      </w:r>
      <w:proofErr w:type="spellStart"/>
      <w:r>
        <w:rPr>
          <w:i/>
          <w:iCs/>
          <w:color w:val="666666"/>
          <w:sz w:val="19"/>
          <w:szCs w:val="19"/>
        </w:rPr>
        <w:t>Mexene</w:t>
      </w:r>
      <w:proofErr w:type="spellEnd"/>
      <w:r>
        <w:rPr>
          <w:i/>
          <w:iCs/>
          <w:color w:val="666666"/>
          <w:sz w:val="19"/>
          <w:szCs w:val="19"/>
        </w:rPr>
        <w:t xml:space="preserve"> -GS-low (high conversions),” generated 719.55 conversions and $36,511.28 in conversion value alone — about half of the account's lifetime conversion value — at a 25.98× return.</w:t>
      </w:r>
    </w:p>
    <w:p w:rsidR="00266CD6" w:rsidRDefault="00501F42">
      <w:pPr>
        <w:pStyle w:val="Heading1"/>
        <w:pBdr>
          <w:bottom w:val="single" w:sz="6" w:space="4" w:color="1B2A4A"/>
        </w:pBdr>
        <w:spacing w:before="400" w:after="200"/>
      </w:pPr>
      <w:r>
        <w:rPr>
          <w:b/>
          <w:bCs/>
          <w:color w:val="1B2A4A"/>
          <w:sz w:val="30"/>
          <w:szCs w:val="30"/>
        </w:rPr>
        <w:t>6. E-Commerce Sales Performance (</w:t>
      </w:r>
      <w:proofErr w:type="spellStart"/>
      <w:r>
        <w:rPr>
          <w:b/>
          <w:bCs/>
          <w:color w:val="1B2A4A"/>
          <w:sz w:val="30"/>
          <w:szCs w:val="30"/>
        </w:rPr>
        <w:t>Shopify</w:t>
      </w:r>
      <w:proofErr w:type="spellEnd"/>
      <w:r>
        <w:rPr>
          <w:b/>
          <w:bCs/>
          <w:color w:val="1B2A4A"/>
          <w:sz w:val="30"/>
          <w:szCs w:val="30"/>
        </w:rPr>
        <w:t>)</w:t>
      </w:r>
    </w:p>
    <w:p w:rsidR="00266CD6" w:rsidRDefault="00501F42">
      <w:pPr>
        <w:spacing w:after="160"/>
      </w:pPr>
      <w:r>
        <w:rPr>
          <w:sz w:val="22"/>
          <w:szCs w:val="22"/>
        </w:rPr>
        <w:t>Period: Jan 1 – Dec 31, 2022, compared to Jan 1 – Dec 31, 2021.</w:t>
      </w:r>
    </w:p>
    <w:tbl>
      <w:tblPr>
        <w:tblW w:w="90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200"/>
        <w:gridCol w:w="2200"/>
      </w:tblGrid>
      <w:tr w:rsidR="00266CD6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32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b/>
                <w:bCs/>
                <w:color w:val="FFFFFF"/>
              </w:rPr>
              <w:t>2022 Value</w:t>
            </w:r>
          </w:p>
        </w:tc>
        <w:tc>
          <w:tcPr>
            <w:tcW w:w="22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b/>
                <w:bCs/>
                <w:color w:val="FFFFFF"/>
              </w:rPr>
              <w:t>vs. 2021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Total Sales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$87,824.56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+33%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Online Store Sessions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33,174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+51%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lastRenderedPageBreak/>
              <w:t>Online Store Conversion Rate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3.51%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–3%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Added to Cart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3,585 sessions (10.81%)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–25%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Total Orders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1,351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+47%</w:t>
            </w:r>
          </w:p>
        </w:tc>
      </w:tr>
      <w:tr w:rsidR="00266CD6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Average Order Value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$48.74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66CD6" w:rsidRDefault="00501F42">
            <w:r>
              <w:rPr>
                <w:color w:val="000000"/>
              </w:rPr>
              <w:t>–9%</w:t>
            </w:r>
          </w:p>
        </w:tc>
      </w:tr>
    </w:tbl>
    <w:p w:rsidR="00266CD6" w:rsidRDefault="00501F42">
      <w:pPr>
        <w:spacing w:after="200"/>
      </w:pPr>
      <w:r>
        <w:rPr>
          <w:i/>
          <w:iCs/>
          <w:color w:val="666666"/>
          <w:sz w:val="19"/>
          <w:szCs w:val="19"/>
        </w:rPr>
        <w:t>Traffic (+51%) and orders (+47%) grew roughly in step, but conversion rate (–3%) and AOV (–9%) both declined — sales growth in 2022 was driven by more visitors, not by converting or spending more per visitor. Add-to-cart rate falling 25% is the clearest ea</w:t>
      </w:r>
      <w:r>
        <w:rPr>
          <w:i/>
          <w:iCs/>
          <w:color w:val="666666"/>
          <w:sz w:val="19"/>
          <w:szCs w:val="19"/>
        </w:rPr>
        <w:t>rly-funnel leak to investigate (product page merchandising, pricing/shipping transparency, or the mix of new vs. returning traffic).</w:t>
      </w:r>
    </w:p>
    <w:p w:rsidR="00266CD6" w:rsidRDefault="00501F42">
      <w:pPr>
        <w:pStyle w:val="Heading1"/>
        <w:pBdr>
          <w:bottom w:val="single" w:sz="6" w:space="4" w:color="1B2A4A"/>
        </w:pBdr>
        <w:spacing w:before="400" w:after="200"/>
      </w:pPr>
      <w:r>
        <w:rPr>
          <w:b/>
          <w:bCs/>
          <w:color w:val="1B2A4A"/>
          <w:sz w:val="30"/>
          <w:szCs w:val="30"/>
        </w:rPr>
        <w:t>7. Cross-Channel Takeaways</w:t>
      </w:r>
    </w:p>
    <w:p w:rsidR="00266CD6" w:rsidRDefault="00501F42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Organic Search is TFD's largest and most efficient acquisition channel by volume — the Search Co</w:t>
      </w:r>
      <w:r>
        <w:rPr>
          <w:sz w:val="22"/>
          <w:szCs w:val="22"/>
        </w:rPr>
        <w:t>nsole data suggests real headroom in converting high-impression terms (e.g., “ghost pepper,” “</w:t>
      </w:r>
      <w:proofErr w:type="spellStart"/>
      <w:r>
        <w:rPr>
          <w:sz w:val="22"/>
          <w:szCs w:val="22"/>
        </w:rPr>
        <w:t>mexene</w:t>
      </w:r>
      <w:proofErr w:type="spellEnd"/>
      <w:r>
        <w:rPr>
          <w:sz w:val="22"/>
          <w:szCs w:val="22"/>
        </w:rPr>
        <w:t xml:space="preserve"> chili powder”) into more clicks through improved on-page SEO and metadata.</w:t>
      </w:r>
    </w:p>
    <w:p w:rsidR="00266CD6" w:rsidRDefault="00501F42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Paid Shopping already shows the highest engagement rate of any channel (81.4%) —</w:t>
      </w:r>
      <w:r>
        <w:rPr>
          <w:sz w:val="22"/>
          <w:szCs w:val="22"/>
        </w:rPr>
        <w:t xml:space="preserve"> pairing this with a clean, always-in-stock Merchant Center feed should compound returns.</w:t>
      </w:r>
    </w:p>
    <w:p w:rsidR="00266CD6" w:rsidRDefault="00501F42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Google Ads is the clearest immediate opportunity: Shopping campaigns have a proven 19.76× lifetime ROAS, yet the account is fully dormant. Reactivating and </w:t>
      </w:r>
      <w:proofErr w:type="spellStart"/>
      <w:proofErr w:type="gramStart"/>
      <w:r>
        <w:rPr>
          <w:sz w:val="22"/>
          <w:szCs w:val="22"/>
        </w:rPr>
        <w:t>rebudgetin</w:t>
      </w:r>
      <w:r>
        <w:rPr>
          <w:sz w:val="22"/>
          <w:szCs w:val="22"/>
        </w:rPr>
        <w:t>g</w:t>
      </w:r>
      <w:proofErr w:type="spellEnd"/>
      <w:proofErr w:type="gramEnd"/>
      <w:r>
        <w:rPr>
          <w:sz w:val="22"/>
          <w:szCs w:val="22"/>
        </w:rPr>
        <w:t xml:space="preserve"> the historically strongest Shopping campaigns is likely lower-risk than launching new campaigns from scratch.</w:t>
      </w:r>
    </w:p>
    <w:p w:rsidR="00266CD6" w:rsidRDefault="00501F42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Sitewide</w:t>
      </w:r>
      <w:proofErr w:type="spellEnd"/>
      <w:r>
        <w:rPr>
          <w:sz w:val="22"/>
          <w:szCs w:val="22"/>
        </w:rPr>
        <w:t>, the funnel's soft spot is post-click: sessions and orders are growing faster than conversion rate and AOV. Cart abandonment and pricin</w:t>
      </w:r>
      <w:r>
        <w:rPr>
          <w:sz w:val="22"/>
          <w:szCs w:val="22"/>
        </w:rPr>
        <w:t>g/bundling are the next places to dig.</w:t>
      </w:r>
    </w:p>
    <w:p w:rsidR="00266CD6" w:rsidRDefault="00501F42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Tracking hygiene: confirm GA4 conversion events (purchases, add-to-cart) are properly configured, since accurate acquisition and engagement reporting depends on clean event tracking.</w:t>
      </w:r>
    </w:p>
    <w:sectPr w:rsidR="00266CD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A37100"/>
    <w:multiLevelType w:val="hybridMultilevel"/>
    <w:tmpl w:val="CBF2B46E"/>
    <w:lvl w:ilvl="0" w:tplc="6B24E5A6">
      <w:start w:val="1"/>
      <w:numFmt w:val="bullet"/>
      <w:lvlText w:val="●"/>
      <w:lvlJc w:val="left"/>
      <w:pPr>
        <w:ind w:left="720" w:hanging="360"/>
      </w:pPr>
    </w:lvl>
    <w:lvl w:ilvl="1" w:tplc="92AEA9D6">
      <w:start w:val="1"/>
      <w:numFmt w:val="bullet"/>
      <w:lvlText w:val="○"/>
      <w:lvlJc w:val="left"/>
      <w:pPr>
        <w:ind w:left="1440" w:hanging="360"/>
      </w:pPr>
    </w:lvl>
    <w:lvl w:ilvl="2" w:tplc="12A80DB0">
      <w:start w:val="1"/>
      <w:numFmt w:val="bullet"/>
      <w:lvlText w:val="■"/>
      <w:lvlJc w:val="left"/>
      <w:pPr>
        <w:ind w:left="2160" w:hanging="360"/>
      </w:pPr>
    </w:lvl>
    <w:lvl w:ilvl="3" w:tplc="8F0E9E42">
      <w:start w:val="1"/>
      <w:numFmt w:val="bullet"/>
      <w:lvlText w:val="●"/>
      <w:lvlJc w:val="left"/>
      <w:pPr>
        <w:ind w:left="2880" w:hanging="360"/>
      </w:pPr>
    </w:lvl>
    <w:lvl w:ilvl="4" w:tplc="FBA829E0">
      <w:start w:val="1"/>
      <w:numFmt w:val="bullet"/>
      <w:lvlText w:val="○"/>
      <w:lvlJc w:val="left"/>
      <w:pPr>
        <w:ind w:left="3600" w:hanging="360"/>
      </w:pPr>
    </w:lvl>
    <w:lvl w:ilvl="5" w:tplc="FB84A61C">
      <w:start w:val="1"/>
      <w:numFmt w:val="bullet"/>
      <w:lvlText w:val="■"/>
      <w:lvlJc w:val="left"/>
      <w:pPr>
        <w:ind w:left="4320" w:hanging="360"/>
      </w:pPr>
    </w:lvl>
    <w:lvl w:ilvl="6" w:tplc="15C81FB0">
      <w:start w:val="1"/>
      <w:numFmt w:val="bullet"/>
      <w:lvlText w:val="●"/>
      <w:lvlJc w:val="left"/>
      <w:pPr>
        <w:ind w:left="5040" w:hanging="360"/>
      </w:pPr>
    </w:lvl>
    <w:lvl w:ilvl="7" w:tplc="0116132C">
      <w:start w:val="1"/>
      <w:numFmt w:val="bullet"/>
      <w:lvlText w:val="●"/>
      <w:lvlJc w:val="left"/>
      <w:pPr>
        <w:ind w:left="5760" w:hanging="360"/>
      </w:pPr>
    </w:lvl>
    <w:lvl w:ilvl="8" w:tplc="EDCC3F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66CD6"/>
    <w:rsid w:val="00266CD6"/>
    <w:rsid w:val="002C0129"/>
    <w:rsid w:val="00501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996</Words>
  <Characters>5681</Characters>
  <Application>Microsoft Office Word</Application>
  <DocSecurity>0</DocSecurity>
  <Lines>47</Lines>
  <Paragraphs>13</Paragraphs>
  <ScaleCrop>false</ScaleCrop>
  <Company/>
  <LinksUpToDate>false</LinksUpToDate>
  <CharactersWithSpaces>6664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Ronan Lee</cp:lastModifiedBy>
  <cp:revision>4</cp:revision>
  <dcterms:created xsi:type="dcterms:W3CDTF">2026-07-05T19:46:00Z</dcterms:created>
  <dcterms:modified xsi:type="dcterms:W3CDTF">2026-07-05T19:50:00Z</dcterms:modified>
</cp:coreProperties>
</file>