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1770"/>
        <w:gridCol w:w="6465"/>
      </w:tblGrid>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rsidP="00F50EBB">
            <w:pPr>
              <w:widowControl w:val="0"/>
              <w:spacing w:line="240" w:lineRule="auto"/>
              <w:rPr>
                <w:b/>
              </w:rPr>
            </w:pPr>
            <w:r>
              <w:rPr>
                <w:b/>
              </w:rPr>
              <w:t>Resource Name:</w:t>
            </w:r>
            <w:r w:rsidR="00EB3D8E">
              <w:rPr>
                <w:b/>
              </w:rPr>
              <w:t xml:space="preserve"> </w:t>
            </w:r>
            <w:r w:rsidR="00F50EBB">
              <w:rPr>
                <w:b/>
              </w:rPr>
              <w:t>Greenleaf</w:t>
            </w:r>
          </w:p>
        </w:tc>
      </w:tr>
      <w:tr w:rsidR="00E627C0">
        <w:trPr>
          <w:trHeight w:val="420"/>
        </w:trPr>
        <w:tc>
          <w:tcPr>
            <w:tcW w:w="13485" w:type="dxa"/>
            <w:gridSpan w:val="4"/>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E627C0" w:rsidRDefault="00E627C0">
            <w:pPr>
              <w:widowControl w:val="0"/>
              <w:spacing w:line="240" w:lineRule="auto"/>
            </w:pPr>
          </w:p>
          <w:p w:rsidR="00ED3ED3" w:rsidRDefault="009C6116">
            <w:pPr>
              <w:widowControl w:val="0"/>
              <w:spacing w:line="240" w:lineRule="auto"/>
            </w:pPr>
            <w:r>
              <w:t>Go with vendor records – this will make matching easier. Contact vendor yearly? For new records.</w:t>
            </w:r>
          </w:p>
        </w:tc>
      </w:tr>
      <w:tr w:rsidR="00E627C0">
        <w:trPr>
          <w:trHeight w:val="420"/>
        </w:trPr>
        <w:tc>
          <w:tcPr>
            <w:tcW w:w="13485" w:type="dxa"/>
            <w:gridSpan w:val="4"/>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734E1B" w:rsidRDefault="009C6116" w:rsidP="00734E1B">
            <w:pPr>
              <w:pStyle w:val="ListParagraph"/>
              <w:widowControl w:val="0"/>
              <w:numPr>
                <w:ilvl w:val="0"/>
                <w:numId w:val="1"/>
              </w:numPr>
              <w:spacing w:line="240" w:lineRule="auto"/>
              <w:rPr>
                <w:b/>
              </w:rPr>
            </w:pPr>
            <w:r>
              <w:rPr>
                <w:b/>
              </w:rPr>
              <w:t>Prepare documentation</w:t>
            </w:r>
          </w:p>
          <w:p w:rsidR="009C6116" w:rsidRDefault="009C6116" w:rsidP="00734E1B">
            <w:pPr>
              <w:pStyle w:val="ListParagraph"/>
              <w:widowControl w:val="0"/>
              <w:numPr>
                <w:ilvl w:val="0"/>
                <w:numId w:val="1"/>
              </w:numPr>
              <w:spacing w:line="240" w:lineRule="auto"/>
              <w:rPr>
                <w:b/>
              </w:rPr>
            </w:pPr>
            <w:r>
              <w:rPr>
                <w:b/>
              </w:rPr>
              <w:t>Prepare MarcEdit task</w:t>
            </w:r>
          </w:p>
          <w:p w:rsidR="009C6116" w:rsidRPr="00734E1B" w:rsidRDefault="009C6116" w:rsidP="00734E1B">
            <w:pPr>
              <w:pStyle w:val="ListParagraph"/>
              <w:widowControl w:val="0"/>
              <w:numPr>
                <w:ilvl w:val="0"/>
                <w:numId w:val="1"/>
              </w:numPr>
              <w:spacing w:line="240" w:lineRule="auto"/>
              <w:rPr>
                <w:b/>
              </w:rPr>
            </w:pPr>
            <w:r>
              <w:rPr>
                <w:b/>
              </w:rPr>
              <w:t>Load material</w:t>
            </w:r>
            <w:bookmarkStart w:id="0" w:name="_GoBack"/>
            <w:bookmarkEnd w:id="0"/>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404AF9">
            <w:pPr>
              <w:widowControl w:val="0"/>
              <w:spacing w:line="240" w:lineRule="auto"/>
            </w:pPr>
            <w:r>
              <w:t>Growing</w:t>
            </w:r>
          </w:p>
        </w:tc>
        <w:tc>
          <w:tcPr>
            <w:tcW w:w="1770" w:type="dxa"/>
            <w:shd w:val="clear" w:color="auto" w:fill="auto"/>
            <w:tcMar>
              <w:top w:w="100" w:type="dxa"/>
              <w:left w:w="100" w:type="dxa"/>
              <w:bottom w:w="100" w:type="dxa"/>
              <w:right w:w="100" w:type="dxa"/>
            </w:tcMar>
          </w:tcPr>
          <w:p w:rsidR="00E627C0" w:rsidRDefault="00404AF9">
            <w:pPr>
              <w:widowControl w:val="0"/>
              <w:spacing w:line="240" w:lineRule="auto"/>
            </w:pPr>
            <w:r>
              <w:t>Growing</w:t>
            </w:r>
          </w:p>
        </w:tc>
        <w:tc>
          <w:tcPr>
            <w:tcW w:w="6465" w:type="dxa"/>
            <w:shd w:val="clear" w:color="auto" w:fill="auto"/>
            <w:tcMar>
              <w:top w:w="100" w:type="dxa"/>
              <w:left w:w="100" w:type="dxa"/>
              <w:bottom w:w="100" w:type="dxa"/>
              <w:right w:w="100" w:type="dxa"/>
            </w:tcMar>
          </w:tcPr>
          <w:p w:rsidR="00E627C0" w:rsidRDefault="00404AF9">
            <w:pPr>
              <w:widowControl w:val="0"/>
              <w:spacing w:line="240" w:lineRule="auto"/>
            </w:pPr>
            <w:r>
              <w:t>Metadata is available through a request to vendor contact and OCLC (different KBs)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404AF9">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404AF9">
            <w:pPr>
              <w:widowControl w:val="0"/>
              <w:spacing w:line="240" w:lineRule="auto"/>
            </w:pPr>
            <w:r>
              <w:t>One set from vendor. OCLC has a couple of sets – not quite sure which one is the one we subscribe to.</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it easy to find the MARC records?</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404AF9">
            <w:pPr>
              <w:widowControl w:val="0"/>
              <w:spacing w:line="240" w:lineRule="auto"/>
            </w:pPr>
            <w:r>
              <w:t>Maybe</w:t>
            </w:r>
          </w:p>
        </w:tc>
        <w:tc>
          <w:tcPr>
            <w:tcW w:w="6465" w:type="dxa"/>
            <w:shd w:val="clear" w:color="auto" w:fill="auto"/>
            <w:tcMar>
              <w:top w:w="100" w:type="dxa"/>
              <w:left w:w="100" w:type="dxa"/>
              <w:bottom w:w="100" w:type="dxa"/>
              <w:right w:w="100" w:type="dxa"/>
            </w:tcMar>
          </w:tcPr>
          <w:p w:rsidR="00E627C0" w:rsidRDefault="00404AF9">
            <w:pPr>
              <w:widowControl w:val="0"/>
              <w:spacing w:line="240" w:lineRule="auto"/>
            </w:pPr>
            <w:r>
              <w:t>Once you get the right contact with vendor, records come right away. OCLC – which set is the right one?</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do you acquire the set for the MARC records?</w:t>
            </w:r>
          </w:p>
        </w:tc>
        <w:tc>
          <w:tcPr>
            <w:tcW w:w="1620" w:type="dxa"/>
            <w:shd w:val="clear" w:color="auto" w:fill="auto"/>
            <w:tcMar>
              <w:top w:w="100" w:type="dxa"/>
              <w:left w:w="100" w:type="dxa"/>
              <w:bottom w:w="100" w:type="dxa"/>
              <w:right w:w="100" w:type="dxa"/>
            </w:tcMar>
          </w:tcPr>
          <w:p w:rsidR="00BF6C54" w:rsidRDefault="00404AF9" w:rsidP="00BF6C54">
            <w:pPr>
              <w:widowControl w:val="0"/>
              <w:spacing w:line="240" w:lineRule="auto"/>
            </w:pPr>
            <w:r>
              <w:t>Contact Vendor</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OCLC KB</w:t>
            </w:r>
            <w:r w:rsidR="00404AF9">
              <w:t xml:space="preserve"> &amp; confirm sets with Acqu/DRMS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the records can be located.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Make sure that we don’t already pay for the MARC records, i.e. OCLC contract services.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any supporting documentation on the MARC records?</w:t>
            </w:r>
          </w:p>
        </w:tc>
        <w:tc>
          <w:tcPr>
            <w:tcW w:w="1620" w:type="dxa"/>
            <w:shd w:val="clear" w:color="auto" w:fill="auto"/>
            <w:tcMar>
              <w:top w:w="100" w:type="dxa"/>
              <w:left w:w="100" w:type="dxa"/>
              <w:bottom w:w="100" w:type="dxa"/>
              <w:right w:w="100" w:type="dxa"/>
            </w:tcMar>
          </w:tcPr>
          <w:p w:rsidR="00E627C0" w:rsidRDefault="00404AF9">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404AF9">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or keep a copy of that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BF54CA">
            <w:pPr>
              <w:widowControl w:val="0"/>
              <w:spacing w:line="240" w:lineRule="auto"/>
            </w:pPr>
            <w:r>
              <w:t>Yes (Coral)</w:t>
            </w:r>
          </w:p>
        </w:tc>
        <w:tc>
          <w:tcPr>
            <w:tcW w:w="1770" w:type="dxa"/>
            <w:shd w:val="clear" w:color="auto" w:fill="auto"/>
            <w:tcMar>
              <w:top w:w="100" w:type="dxa"/>
              <w:left w:w="100" w:type="dxa"/>
              <w:bottom w:w="100" w:type="dxa"/>
              <w:right w:w="100" w:type="dxa"/>
            </w:tcMar>
          </w:tcPr>
          <w:p w:rsidR="00E627C0" w:rsidRDefault="00BF54CA">
            <w:pPr>
              <w:widowControl w:val="0"/>
              <w:spacing w:line="240" w:lineRule="auto"/>
            </w:pPr>
            <w:r>
              <w:t>OCLC support</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the contact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any records in Aleph that need to be considered beforehand? If yes, do you need to do any prep work to load this current set?</w:t>
            </w:r>
          </w:p>
        </w:tc>
        <w:tc>
          <w:tcPr>
            <w:tcW w:w="1620" w:type="dxa"/>
            <w:shd w:val="clear" w:color="auto" w:fill="auto"/>
            <w:tcMar>
              <w:top w:w="100" w:type="dxa"/>
              <w:left w:w="100" w:type="dxa"/>
              <w:bottom w:w="100" w:type="dxa"/>
              <w:right w:w="100" w:type="dxa"/>
            </w:tcMar>
          </w:tcPr>
          <w:p w:rsidR="00E627C0" w:rsidRDefault="00BF54CA">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F54CA">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BF54CA">
            <w:pPr>
              <w:widowControl w:val="0"/>
              <w:spacing w:line="240" w:lineRule="auto"/>
            </w:pPr>
            <w:r>
              <w:t>Currently 243 from load in Aug. 2018.</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How many records are available from the vendor and OCLC KB? </w:t>
            </w:r>
          </w:p>
        </w:tc>
        <w:tc>
          <w:tcPr>
            <w:tcW w:w="1620" w:type="dxa"/>
            <w:shd w:val="clear" w:color="auto" w:fill="auto"/>
            <w:tcMar>
              <w:top w:w="100" w:type="dxa"/>
              <w:left w:w="100" w:type="dxa"/>
              <w:bottom w:w="100" w:type="dxa"/>
              <w:right w:w="100" w:type="dxa"/>
            </w:tcMar>
          </w:tcPr>
          <w:p w:rsidR="00E627C0" w:rsidRDefault="00BF54CA">
            <w:pPr>
              <w:widowControl w:val="0"/>
              <w:spacing w:line="240" w:lineRule="auto"/>
            </w:pPr>
            <w:r>
              <w:t>811</w:t>
            </w:r>
          </w:p>
        </w:tc>
        <w:tc>
          <w:tcPr>
            <w:tcW w:w="1770" w:type="dxa"/>
            <w:shd w:val="clear" w:color="auto" w:fill="auto"/>
            <w:tcMar>
              <w:top w:w="100" w:type="dxa"/>
              <w:left w:w="100" w:type="dxa"/>
              <w:bottom w:w="100" w:type="dxa"/>
              <w:right w:w="100" w:type="dxa"/>
            </w:tcMar>
          </w:tcPr>
          <w:p w:rsidR="00E627C0" w:rsidRDefault="00BF54CA">
            <w:pPr>
              <w:widowControl w:val="0"/>
              <w:spacing w:line="240" w:lineRule="auto"/>
            </w:pPr>
            <w:r>
              <w:t>817?</w:t>
            </w:r>
          </w:p>
        </w:tc>
        <w:tc>
          <w:tcPr>
            <w:tcW w:w="6465" w:type="dxa"/>
            <w:shd w:val="clear" w:color="auto" w:fill="auto"/>
            <w:tcMar>
              <w:top w:w="100" w:type="dxa"/>
              <w:left w:w="100" w:type="dxa"/>
              <w:bottom w:w="100" w:type="dxa"/>
              <w:right w:w="100" w:type="dxa"/>
            </w:tcMar>
          </w:tcPr>
          <w:p w:rsidR="00E627C0" w:rsidRDefault="00BF54CA" w:rsidP="00BF54CA">
            <w:pPr>
              <w:widowControl w:val="0"/>
              <w:spacing w:line="240" w:lineRule="auto"/>
            </w:pPr>
            <w:r>
              <w:t>For OCLC, this hinges on if we have the right set combinations.</w:t>
            </w: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2"/>
            <w:shd w:val="clear" w:color="auto" w:fill="auto"/>
            <w:tcMar>
              <w:top w:w="100" w:type="dxa"/>
              <w:left w:w="100" w:type="dxa"/>
              <w:bottom w:w="100" w:type="dxa"/>
              <w:right w:w="100" w:type="dxa"/>
            </w:tcMar>
          </w:tcPr>
          <w:p w:rsidR="00E627C0" w:rsidRDefault="00957EBB">
            <w:pPr>
              <w:widowControl w:val="0"/>
              <w:spacing w:line="240" w:lineRule="auto"/>
            </w:pPr>
            <w:r>
              <w:t>811</w:t>
            </w:r>
          </w:p>
        </w:tc>
        <w:tc>
          <w:tcPr>
            <w:tcW w:w="6465" w:type="dxa"/>
            <w:shd w:val="clear" w:color="auto" w:fill="auto"/>
            <w:tcMar>
              <w:top w:w="100" w:type="dxa"/>
              <w:left w:w="100" w:type="dxa"/>
              <w:bottom w:w="100" w:type="dxa"/>
              <w:right w:w="100" w:type="dxa"/>
            </w:tcMar>
          </w:tcPr>
          <w:p w:rsidR="00E627C0" w:rsidRDefault="00957EBB">
            <w:pPr>
              <w:widowControl w:val="0"/>
              <w:spacing w:line="240" w:lineRule="auto"/>
            </w:pPr>
            <w:r>
              <w:t>The vendor sent us the records that we subscribe to which amounted to 811.</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957EBB">
            <w:pPr>
              <w:widowControl w:val="0"/>
              <w:spacing w:line="240" w:lineRule="auto"/>
            </w:pPr>
            <w:r>
              <w:t>UTF-8 mrc</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Utf-8 mrc</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957EBB">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Implement national and/or international metadata standards and best practices</w:t>
            </w:r>
          </w:p>
          <w:p w:rsidR="00E627C0" w:rsidRDefault="00E627C0">
            <w:pPr>
              <w:widowControl w:val="0"/>
              <w:spacing w:line="240" w:lineRule="auto"/>
            </w:pPr>
          </w:p>
          <w:p w:rsidR="00E627C0" w:rsidRDefault="0088521A">
            <w:pPr>
              <w:widowControl w:val="0"/>
              <w:spacing w:line="240" w:lineRule="auto"/>
            </w:pPr>
            <w:r>
              <w:t>Consistent use of library standards such as MARC21, RDA and/or other nationally or internationally recognized standards (CCO, Dublin Core, MODS, …)</w:t>
            </w:r>
          </w:p>
          <w:p w:rsidR="00E627C0" w:rsidRDefault="00E627C0">
            <w:pPr>
              <w:widowControl w:val="0"/>
              <w:spacing w:line="240" w:lineRule="auto"/>
            </w:pPr>
          </w:p>
          <w:p w:rsidR="00E627C0" w:rsidRDefault="0088521A">
            <w:pPr>
              <w:widowControl w:val="0"/>
              <w:spacing w:line="240" w:lineRule="auto"/>
            </w:pPr>
            <w:r>
              <w:t>Consistent use of controlled access points and authorized forms for names, subjects, or genre terms</w:t>
            </w:r>
          </w:p>
          <w:p w:rsidR="00E627C0" w:rsidRDefault="00E627C0">
            <w:pPr>
              <w:widowControl w:val="0"/>
              <w:spacing w:line="240" w:lineRule="auto"/>
            </w:pPr>
          </w:p>
          <w:p w:rsidR="00E627C0" w:rsidRDefault="0088521A">
            <w:pPr>
              <w:widowControl w:val="0"/>
              <w:spacing w:line="240" w:lineRule="auto"/>
            </w:pPr>
            <w:r>
              <w:t>Standards that promote interoperability</w:t>
            </w:r>
          </w:p>
          <w:p w:rsidR="00E627C0" w:rsidRDefault="00E627C0">
            <w:pPr>
              <w:widowControl w:val="0"/>
              <w:spacing w:line="240" w:lineRule="auto"/>
            </w:pPr>
          </w:p>
          <w:p w:rsidR="00E627C0" w:rsidRDefault="0088521A">
            <w:pPr>
              <w:widowControl w:val="0"/>
              <w:spacing w:line="240" w:lineRule="auto"/>
            </w:pPr>
            <w:r>
              <w:t>Implement provider neutral records</w:t>
            </w:r>
          </w:p>
          <w:p w:rsidR="00E627C0" w:rsidRDefault="0088521A">
            <w:pPr>
              <w:widowControl w:val="0"/>
              <w:spacing w:line="240" w:lineRule="auto"/>
            </w:pPr>
            <w:r>
              <w:lastRenderedPageBreak/>
              <w:t>OCLC or Vendor number</w:t>
            </w:r>
          </w:p>
          <w:p w:rsidR="00E627C0" w:rsidRDefault="00E627C0">
            <w:pPr>
              <w:widowControl w:val="0"/>
              <w:spacing w:line="240" w:lineRule="auto"/>
            </w:pPr>
          </w:p>
          <w:p w:rsidR="00E627C0" w:rsidRDefault="0088521A">
            <w:pPr>
              <w:widowControl w:val="0"/>
              <w:spacing w:line="240" w:lineRule="auto"/>
            </w:pPr>
            <w:r>
              <w:t>Implement at least this information:Title, Author (if applicable), Correctly coded information (fixed fields and LDR), A subject heading, Publication information</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 known and recognizable data match point?</w:t>
            </w:r>
          </w:p>
        </w:tc>
        <w:tc>
          <w:tcPr>
            <w:tcW w:w="1620" w:type="dxa"/>
            <w:shd w:val="clear" w:color="auto" w:fill="auto"/>
            <w:tcMar>
              <w:top w:w="100" w:type="dxa"/>
              <w:left w:w="100" w:type="dxa"/>
              <w:bottom w:w="100" w:type="dxa"/>
              <w:right w:w="100" w:type="dxa"/>
            </w:tcMar>
          </w:tcPr>
          <w:p w:rsidR="00E627C0" w:rsidRDefault="0095441B">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95441B">
            <w:pPr>
              <w:widowControl w:val="0"/>
              <w:spacing w:line="240" w:lineRule="auto"/>
            </w:pPr>
            <w:r>
              <w:t>Previous match point was done on vendor number. Same sampling shows these numbers haven’t changed.</w:t>
            </w:r>
            <w:r w:rsidR="0088521A">
              <w:t xml:space="preserve">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95441B">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95441B">
            <w:pPr>
              <w:widowControl w:val="0"/>
              <w:spacing w:line="240" w:lineRule="auto"/>
            </w:pPr>
            <w:r>
              <w:t>Both OCLC and vendor have new url prefixes in comparison to what was previously loaded.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1B109B">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1B109B">
            <w:pPr>
              <w:widowControl w:val="0"/>
              <w:spacing w:line="240" w:lineRule="auto"/>
            </w:pPr>
            <w:r>
              <w:t>There is at least 1 856 per record.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1B109B">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1B109B">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1B109B">
            <w:pPr>
              <w:widowControl w:val="0"/>
              <w:spacing w:line="240" w:lineRule="auto"/>
            </w:pPr>
            <w:r>
              <w:t>There is the same prefix. But it looks like not all the titles overlap. Titles in vendor that aren’t in OCLC kbs.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the urls lead to the resource? Are there incorrect urls?</w:t>
            </w:r>
          </w:p>
        </w:tc>
        <w:tc>
          <w:tcPr>
            <w:tcW w:w="1620" w:type="dxa"/>
            <w:shd w:val="clear" w:color="auto" w:fill="auto"/>
            <w:tcMar>
              <w:top w:w="100" w:type="dxa"/>
              <w:left w:w="100" w:type="dxa"/>
              <w:bottom w:w="100" w:type="dxa"/>
              <w:right w:w="100" w:type="dxa"/>
            </w:tcMar>
          </w:tcPr>
          <w:p w:rsidR="00E627C0" w:rsidRDefault="00B24E46">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B24E46">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Sample some of the urls. Do they lead to the resource? Are there any don’t work?</w:t>
            </w:r>
          </w:p>
        </w:tc>
      </w:tr>
      <w:tr w:rsidR="00B24E46" w:rsidTr="003A2F90">
        <w:tc>
          <w:tcPr>
            <w:tcW w:w="3630" w:type="dxa"/>
            <w:shd w:val="clear" w:color="auto" w:fill="auto"/>
            <w:tcMar>
              <w:top w:w="100" w:type="dxa"/>
              <w:left w:w="100" w:type="dxa"/>
              <w:bottom w:w="100" w:type="dxa"/>
              <w:right w:w="100" w:type="dxa"/>
            </w:tcMar>
          </w:tcPr>
          <w:p w:rsidR="00B24E46" w:rsidRDefault="00B24E46">
            <w:pPr>
              <w:widowControl w:val="0"/>
              <w:spacing w:line="240" w:lineRule="auto"/>
            </w:pPr>
            <w:r>
              <w:t>Are the title lists the same between the vendor and OCLC sets?</w:t>
            </w:r>
          </w:p>
        </w:tc>
        <w:tc>
          <w:tcPr>
            <w:tcW w:w="3390" w:type="dxa"/>
            <w:gridSpan w:val="2"/>
            <w:shd w:val="clear" w:color="auto" w:fill="auto"/>
            <w:tcMar>
              <w:top w:w="100" w:type="dxa"/>
              <w:left w:w="100" w:type="dxa"/>
              <w:bottom w:w="100" w:type="dxa"/>
              <w:right w:w="100" w:type="dxa"/>
            </w:tcMar>
          </w:tcPr>
          <w:p w:rsidR="00B24E46" w:rsidRDefault="00B24E46">
            <w:pPr>
              <w:widowControl w:val="0"/>
              <w:spacing w:line="240" w:lineRule="auto"/>
            </w:pPr>
            <w:r>
              <w:t>No</w:t>
            </w:r>
          </w:p>
        </w:tc>
        <w:tc>
          <w:tcPr>
            <w:tcW w:w="6465" w:type="dxa"/>
            <w:shd w:val="clear" w:color="auto" w:fill="auto"/>
            <w:tcMar>
              <w:top w:w="100" w:type="dxa"/>
              <w:left w:w="100" w:type="dxa"/>
              <w:bottom w:w="100" w:type="dxa"/>
              <w:right w:w="100" w:type="dxa"/>
            </w:tcMar>
          </w:tcPr>
          <w:p w:rsidR="00B24E46" w:rsidRDefault="00B24E46">
            <w:pPr>
              <w:widowControl w:val="0"/>
              <w:spacing w:line="240" w:lineRule="auto"/>
            </w:pPr>
            <w:r>
              <w:t>Compare the titles. Are there any discrepancies?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level of difficulty to prepare the set to be loaded into the system?</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BF6C54" w:rsidP="00B24E46">
            <w:pPr>
              <w:widowControl w:val="0"/>
              <w:spacing w:line="240" w:lineRule="auto"/>
            </w:pPr>
            <w:r>
              <w:t>L</w:t>
            </w:r>
            <w:r w:rsidR="00EE4FF7">
              <w:t>ow</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Low, Medium, High, and Very High refer to the amount of time and effort is needed to prepare the file to be batch imported.</w:t>
            </w:r>
          </w:p>
          <w:p w:rsidR="00E627C0" w:rsidRDefault="00E627C0">
            <w:pPr>
              <w:widowControl w:val="0"/>
              <w:spacing w:line="240" w:lineRule="auto"/>
            </w:pPr>
          </w:p>
          <w:p w:rsidR="00E627C0" w:rsidRDefault="0088521A">
            <w:pPr>
              <w:widowControl w:val="0"/>
              <w:spacing w:line="240" w:lineRule="auto"/>
            </w:pPr>
            <w:r>
              <w:rPr>
                <w:b/>
              </w:rPr>
              <w:t>Low</w:t>
            </w:r>
            <w:r>
              <w:t>: Requires minimal difficulty. Can use tasks already created in MarcEdit. Regular updates can be scheduled. An example is eDuke’s Latin American Studies.</w:t>
            </w:r>
          </w:p>
          <w:p w:rsidR="00E627C0" w:rsidRDefault="00E627C0">
            <w:pPr>
              <w:widowControl w:val="0"/>
              <w:spacing w:line="240" w:lineRule="auto"/>
            </w:pPr>
          </w:p>
          <w:p w:rsidR="00E627C0" w:rsidRDefault="0088521A">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E627C0" w:rsidRDefault="00E627C0">
            <w:pPr>
              <w:widowControl w:val="0"/>
              <w:spacing w:line="240" w:lineRule="auto"/>
            </w:pPr>
          </w:p>
          <w:p w:rsidR="00E627C0" w:rsidRDefault="0088521A">
            <w:pPr>
              <w:widowControl w:val="0"/>
              <w:spacing w:line="240" w:lineRule="auto"/>
            </w:pPr>
            <w:r>
              <w:rPr>
                <w:b/>
              </w:rPr>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E627C0" w:rsidRDefault="00E627C0">
            <w:pPr>
              <w:widowControl w:val="0"/>
              <w:spacing w:line="240" w:lineRule="auto"/>
            </w:pPr>
          </w:p>
          <w:p w:rsidR="00E627C0" w:rsidRDefault="0088521A">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1B109B"/>
    <w:rsid w:val="00404AF9"/>
    <w:rsid w:val="00734E1B"/>
    <w:rsid w:val="0088521A"/>
    <w:rsid w:val="0095441B"/>
    <w:rsid w:val="00957EBB"/>
    <w:rsid w:val="009C6116"/>
    <w:rsid w:val="00B24E46"/>
    <w:rsid w:val="00B913CD"/>
    <w:rsid w:val="00BF54CA"/>
    <w:rsid w:val="00BF6C54"/>
    <w:rsid w:val="00E627C0"/>
    <w:rsid w:val="00EB3D8E"/>
    <w:rsid w:val="00ED3ED3"/>
    <w:rsid w:val="00EE4FF7"/>
    <w:rsid w:val="00F5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CDA4"/>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855B1D6C.dotm</Template>
  <TotalTime>27</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7</cp:revision>
  <dcterms:created xsi:type="dcterms:W3CDTF">2019-05-29T13:18:00Z</dcterms:created>
  <dcterms:modified xsi:type="dcterms:W3CDTF">2019-05-29T13:45:00Z</dcterms:modified>
</cp:coreProperties>
</file>