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7C0" w:rsidRDefault="0088521A">
      <w:pPr>
        <w:jc w:val="center"/>
        <w:rPr>
          <w:b/>
          <w:sz w:val="36"/>
          <w:szCs w:val="36"/>
        </w:rPr>
      </w:pPr>
      <w:r>
        <w:rPr>
          <w:b/>
          <w:sz w:val="36"/>
          <w:szCs w:val="36"/>
        </w:rPr>
        <w:t>Electronic Resources Evaluation Between Vendor and OCLC KB</w:t>
      </w:r>
    </w:p>
    <w:p w:rsidR="00E627C0" w:rsidRDefault="00E627C0"/>
    <w:p w:rsidR="00E627C0" w:rsidRDefault="00E627C0"/>
    <w:tbl>
      <w:tblPr>
        <w:tblStyle w:val="a"/>
        <w:tblW w:w="1348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1620"/>
        <w:gridCol w:w="1770"/>
        <w:gridCol w:w="6465"/>
      </w:tblGrid>
      <w:tr w:rsidR="00E627C0">
        <w:trPr>
          <w:trHeight w:val="420"/>
        </w:trPr>
        <w:tc>
          <w:tcPr>
            <w:tcW w:w="13485" w:type="dxa"/>
            <w:gridSpan w:val="4"/>
            <w:shd w:val="clear" w:color="auto" w:fill="auto"/>
            <w:tcMar>
              <w:top w:w="100" w:type="dxa"/>
              <w:left w:w="100" w:type="dxa"/>
              <w:bottom w:w="100" w:type="dxa"/>
              <w:right w:w="100" w:type="dxa"/>
            </w:tcMar>
          </w:tcPr>
          <w:p w:rsidR="00E627C0" w:rsidRDefault="0088521A" w:rsidP="00D039A9">
            <w:pPr>
              <w:widowControl w:val="0"/>
              <w:spacing w:line="240" w:lineRule="auto"/>
              <w:rPr>
                <w:b/>
              </w:rPr>
            </w:pPr>
            <w:r>
              <w:rPr>
                <w:b/>
              </w:rPr>
              <w:t>Resource Name:</w:t>
            </w:r>
            <w:r w:rsidR="00EB3D8E">
              <w:rPr>
                <w:b/>
              </w:rPr>
              <w:t xml:space="preserve"> </w:t>
            </w:r>
            <w:r w:rsidR="000C0C8A">
              <w:rPr>
                <w:b/>
              </w:rPr>
              <w:t>Literature Online</w:t>
            </w:r>
          </w:p>
        </w:tc>
      </w:tr>
      <w:tr w:rsidR="00E627C0">
        <w:trPr>
          <w:trHeight w:val="420"/>
        </w:trPr>
        <w:tc>
          <w:tcPr>
            <w:tcW w:w="13485" w:type="dxa"/>
            <w:gridSpan w:val="4"/>
            <w:vMerge w:val="restart"/>
            <w:shd w:val="clear" w:color="auto" w:fill="auto"/>
            <w:tcMar>
              <w:top w:w="100" w:type="dxa"/>
              <w:left w:w="100" w:type="dxa"/>
              <w:bottom w:w="100" w:type="dxa"/>
              <w:right w:w="100" w:type="dxa"/>
            </w:tcMar>
          </w:tcPr>
          <w:p w:rsidR="00E627C0" w:rsidRDefault="0088521A">
            <w:pPr>
              <w:widowControl w:val="0"/>
              <w:spacing w:line="240" w:lineRule="auto"/>
              <w:rPr>
                <w:b/>
              </w:rPr>
            </w:pPr>
            <w:r>
              <w:rPr>
                <w:b/>
              </w:rPr>
              <w:t>Final Evaluation:</w:t>
            </w:r>
          </w:p>
          <w:p w:rsidR="004419C7" w:rsidRDefault="00AB73E9">
            <w:pPr>
              <w:widowControl w:val="0"/>
              <w:spacing w:line="240" w:lineRule="auto"/>
            </w:pPr>
            <w:r>
              <w:t>It is</w:t>
            </w:r>
            <w:r w:rsidR="004419C7">
              <w:t xml:space="preserve"> not possible to determine without a significant amount of time which and if there is an appropriate collection in OCLC Knowledge Bases. The vendor currently is unable to provide a marc file for the titles that we subscribe and have access to. An enhancement request is und</w:t>
            </w:r>
            <w:r>
              <w:t>erway but has not had much tra</w:t>
            </w:r>
            <w:r w:rsidR="004419C7">
              <w:t>ction.</w:t>
            </w:r>
            <w:r w:rsidR="00FF3C3C">
              <w:t xml:space="preserve"> This means that getting records going forward might prove equally challenging.</w:t>
            </w:r>
            <w:bookmarkStart w:id="0" w:name="_GoBack"/>
            <w:bookmarkEnd w:id="0"/>
          </w:p>
          <w:p w:rsidR="004419C7" w:rsidRDefault="004419C7">
            <w:pPr>
              <w:widowControl w:val="0"/>
              <w:spacing w:line="240" w:lineRule="auto"/>
            </w:pPr>
          </w:p>
          <w:p w:rsidR="004419C7" w:rsidRDefault="004419C7">
            <w:pPr>
              <w:widowControl w:val="0"/>
              <w:spacing w:line="240" w:lineRule="auto"/>
            </w:pPr>
            <w:r>
              <w:t xml:space="preserve">The issue: There are titles in Aleph with bad links because this title is no longer part of the LION Complete set to which we subscribe. The url’s are no different for these titles that no longer work from the other urls in other records. </w:t>
            </w:r>
          </w:p>
          <w:p w:rsidR="00A83BCE" w:rsidRDefault="00A83BCE">
            <w:pPr>
              <w:widowControl w:val="0"/>
              <w:spacing w:line="240" w:lineRule="auto"/>
            </w:pPr>
          </w:p>
          <w:p w:rsidR="00A83BCE" w:rsidRDefault="00A83BCE">
            <w:pPr>
              <w:widowControl w:val="0"/>
              <w:spacing w:line="240" w:lineRule="auto"/>
            </w:pPr>
            <w:r>
              <w:t xml:space="preserve">Possible solutions: </w:t>
            </w:r>
          </w:p>
          <w:p w:rsidR="00A83BCE" w:rsidRDefault="00A83BCE" w:rsidP="00A83BCE">
            <w:pPr>
              <w:pStyle w:val="ListParagraph"/>
              <w:widowControl w:val="0"/>
              <w:numPr>
                <w:ilvl w:val="0"/>
                <w:numId w:val="3"/>
              </w:numPr>
              <w:spacing w:line="240" w:lineRule="auto"/>
            </w:pPr>
            <w:r>
              <w:t>Continue to advocate for an enhanced set of marc records</w:t>
            </w:r>
          </w:p>
          <w:p w:rsidR="00A83BCE" w:rsidRDefault="00A83BCE" w:rsidP="00A83BCE">
            <w:pPr>
              <w:pStyle w:val="ListParagraph"/>
              <w:widowControl w:val="0"/>
              <w:numPr>
                <w:ilvl w:val="0"/>
                <w:numId w:val="3"/>
              </w:numPr>
              <w:spacing w:line="240" w:lineRule="auto"/>
            </w:pPr>
            <w:r>
              <w:t>Check urls individually (there are 18042 records in Aleph)</w:t>
            </w:r>
          </w:p>
          <w:p w:rsidR="00AB73E9" w:rsidRDefault="00AB73E9" w:rsidP="00A83BCE">
            <w:pPr>
              <w:pStyle w:val="ListParagraph"/>
              <w:widowControl w:val="0"/>
              <w:numPr>
                <w:ilvl w:val="0"/>
                <w:numId w:val="3"/>
              </w:numPr>
              <w:spacing w:line="240" w:lineRule="auto"/>
            </w:pPr>
            <w:r>
              <w:t>Compare titles in Aleph to the titles provided by the Vendor in the spreadsheet and remove those not in the spreadsheet that are in Aleph</w:t>
            </w:r>
          </w:p>
          <w:p w:rsidR="00A83BCE" w:rsidRDefault="00A83BCE" w:rsidP="00A83BCE">
            <w:pPr>
              <w:pStyle w:val="ListParagraph"/>
              <w:widowControl w:val="0"/>
              <w:numPr>
                <w:ilvl w:val="0"/>
                <w:numId w:val="3"/>
              </w:numPr>
              <w:spacing w:line="240" w:lineRule="auto"/>
            </w:pPr>
            <w:r>
              <w:t>Remove records when users report an issue with that title</w:t>
            </w:r>
          </w:p>
          <w:p w:rsidR="00A83BCE" w:rsidRPr="004419C7" w:rsidRDefault="00A83BCE" w:rsidP="00A83BCE">
            <w:pPr>
              <w:pStyle w:val="ListParagraph"/>
              <w:widowControl w:val="0"/>
              <w:numPr>
                <w:ilvl w:val="0"/>
                <w:numId w:val="3"/>
              </w:numPr>
              <w:spacing w:line="240" w:lineRule="auto"/>
            </w:pPr>
            <w:r>
              <w:t xml:space="preserve">Remove all records </w:t>
            </w:r>
            <w:r w:rsidR="00AB73E9">
              <w:t>while continuing to</w:t>
            </w:r>
            <w:r>
              <w:t xml:space="preserve"> provide access to the database</w:t>
            </w:r>
            <w:r w:rsidR="00AB73E9">
              <w:t xml:space="preserve"> (MH, SM, UM are all on same OCLC record)</w:t>
            </w:r>
          </w:p>
          <w:p w:rsidR="00E627C0" w:rsidRDefault="00E627C0">
            <w:pPr>
              <w:widowControl w:val="0"/>
              <w:spacing w:line="240" w:lineRule="auto"/>
            </w:pPr>
          </w:p>
          <w:p w:rsidR="00ED3ED3" w:rsidRDefault="00ED3ED3">
            <w:pPr>
              <w:widowControl w:val="0"/>
              <w:spacing w:line="240" w:lineRule="auto"/>
            </w:pPr>
          </w:p>
        </w:tc>
      </w:tr>
      <w:tr w:rsidR="00E627C0">
        <w:trPr>
          <w:trHeight w:val="420"/>
        </w:trPr>
        <w:tc>
          <w:tcPr>
            <w:tcW w:w="13485" w:type="dxa"/>
            <w:gridSpan w:val="4"/>
            <w:vMerge/>
            <w:shd w:val="clear" w:color="auto" w:fill="auto"/>
            <w:tcMar>
              <w:top w:w="100" w:type="dxa"/>
              <w:left w:w="100" w:type="dxa"/>
              <w:bottom w:w="100" w:type="dxa"/>
              <w:right w:w="100" w:type="dxa"/>
            </w:tcMar>
          </w:tcPr>
          <w:p w:rsidR="00E627C0" w:rsidRDefault="00E627C0">
            <w:pPr>
              <w:widowControl w:val="0"/>
              <w:spacing w:line="240" w:lineRule="auto"/>
            </w:pPr>
          </w:p>
        </w:tc>
      </w:tr>
      <w:tr w:rsidR="00E627C0">
        <w:trPr>
          <w:trHeight w:val="420"/>
        </w:trPr>
        <w:tc>
          <w:tcPr>
            <w:tcW w:w="13485" w:type="dxa"/>
            <w:gridSpan w:val="4"/>
            <w:shd w:val="clear" w:color="auto" w:fill="auto"/>
            <w:tcMar>
              <w:top w:w="100" w:type="dxa"/>
              <w:left w:w="100" w:type="dxa"/>
              <w:bottom w:w="100" w:type="dxa"/>
              <w:right w:w="100" w:type="dxa"/>
            </w:tcMar>
          </w:tcPr>
          <w:p w:rsidR="00E627C0" w:rsidRDefault="0088521A">
            <w:pPr>
              <w:widowControl w:val="0"/>
              <w:spacing w:line="240" w:lineRule="auto"/>
              <w:rPr>
                <w:b/>
              </w:rPr>
            </w:pPr>
            <w:r>
              <w:rPr>
                <w:b/>
              </w:rPr>
              <w:t>Next Steps:</w:t>
            </w:r>
            <w:r w:rsidR="00734E1B">
              <w:rPr>
                <w:b/>
              </w:rPr>
              <w:t xml:space="preserve"> </w:t>
            </w:r>
          </w:p>
          <w:p w:rsidR="00734E1B" w:rsidRPr="002E431A" w:rsidRDefault="00734E1B" w:rsidP="002E431A">
            <w:pPr>
              <w:widowControl w:val="0"/>
              <w:spacing w:line="240" w:lineRule="auto"/>
              <w:rPr>
                <w:b/>
              </w:rPr>
            </w:pPr>
          </w:p>
        </w:tc>
      </w:tr>
      <w:tr w:rsidR="00E627C0">
        <w:tc>
          <w:tcPr>
            <w:tcW w:w="3630" w:type="dxa"/>
            <w:shd w:val="clear" w:color="auto" w:fill="CCCCCC"/>
            <w:tcMar>
              <w:top w:w="100" w:type="dxa"/>
              <w:left w:w="100" w:type="dxa"/>
              <w:bottom w:w="100" w:type="dxa"/>
              <w:right w:w="100" w:type="dxa"/>
            </w:tcMar>
          </w:tcPr>
          <w:p w:rsidR="00E627C0" w:rsidRDefault="00E627C0">
            <w:pPr>
              <w:widowControl w:val="0"/>
              <w:spacing w:line="240" w:lineRule="auto"/>
              <w:rPr>
                <w:b/>
                <w:u w:val="single"/>
              </w:rPr>
            </w:pPr>
          </w:p>
        </w:tc>
        <w:tc>
          <w:tcPr>
            <w:tcW w:w="1620" w:type="dxa"/>
            <w:shd w:val="clear" w:color="auto" w:fill="CCCCCC"/>
            <w:tcMar>
              <w:top w:w="100" w:type="dxa"/>
              <w:left w:w="100" w:type="dxa"/>
              <w:bottom w:w="100" w:type="dxa"/>
              <w:right w:w="100" w:type="dxa"/>
            </w:tcMar>
          </w:tcPr>
          <w:p w:rsidR="00E627C0" w:rsidRDefault="0088521A">
            <w:pPr>
              <w:widowControl w:val="0"/>
              <w:spacing w:line="240" w:lineRule="auto"/>
              <w:rPr>
                <w:b/>
                <w:u w:val="single"/>
              </w:rPr>
            </w:pPr>
            <w:r>
              <w:rPr>
                <w:b/>
                <w:u w:val="single"/>
              </w:rPr>
              <w:t>Vendor</w:t>
            </w:r>
          </w:p>
        </w:tc>
        <w:tc>
          <w:tcPr>
            <w:tcW w:w="1770" w:type="dxa"/>
            <w:shd w:val="clear" w:color="auto" w:fill="CCCCCC"/>
            <w:tcMar>
              <w:top w:w="100" w:type="dxa"/>
              <w:left w:w="100" w:type="dxa"/>
              <w:bottom w:w="100" w:type="dxa"/>
              <w:right w:w="100" w:type="dxa"/>
            </w:tcMar>
          </w:tcPr>
          <w:p w:rsidR="00E627C0" w:rsidRDefault="0088521A">
            <w:pPr>
              <w:widowControl w:val="0"/>
              <w:spacing w:line="240" w:lineRule="auto"/>
              <w:rPr>
                <w:b/>
                <w:u w:val="single"/>
              </w:rPr>
            </w:pPr>
            <w:r>
              <w:rPr>
                <w:b/>
                <w:u w:val="single"/>
              </w:rPr>
              <w:t>OCLC KB</w:t>
            </w:r>
          </w:p>
        </w:tc>
        <w:tc>
          <w:tcPr>
            <w:tcW w:w="6465" w:type="dxa"/>
            <w:shd w:val="clear" w:color="auto" w:fill="CCCCCC"/>
            <w:tcMar>
              <w:top w:w="100" w:type="dxa"/>
              <w:left w:w="100" w:type="dxa"/>
              <w:bottom w:w="100" w:type="dxa"/>
              <w:right w:w="100" w:type="dxa"/>
            </w:tcMar>
          </w:tcPr>
          <w:p w:rsidR="00E627C0" w:rsidRDefault="0088521A">
            <w:pPr>
              <w:widowControl w:val="0"/>
              <w:spacing w:line="240" w:lineRule="auto"/>
              <w:rPr>
                <w:b/>
                <w:u w:val="single"/>
              </w:rPr>
            </w:pPr>
            <w:r>
              <w:rPr>
                <w:b/>
                <w:u w:val="single"/>
              </w:rPr>
              <w:t>Comments</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Is this a static or growing collection (i.e. will there only be updates or will new titles be added)?</w:t>
            </w:r>
          </w:p>
        </w:tc>
        <w:tc>
          <w:tcPr>
            <w:tcW w:w="1620" w:type="dxa"/>
            <w:shd w:val="clear" w:color="auto" w:fill="auto"/>
            <w:tcMar>
              <w:top w:w="100" w:type="dxa"/>
              <w:left w:w="100" w:type="dxa"/>
              <w:bottom w:w="100" w:type="dxa"/>
              <w:right w:w="100" w:type="dxa"/>
            </w:tcMar>
          </w:tcPr>
          <w:p w:rsidR="00E627C0" w:rsidRDefault="000C0C8A">
            <w:pPr>
              <w:widowControl w:val="0"/>
              <w:spacing w:line="240" w:lineRule="auto"/>
            </w:pPr>
            <w:r>
              <w:t>Growing</w:t>
            </w:r>
          </w:p>
        </w:tc>
        <w:tc>
          <w:tcPr>
            <w:tcW w:w="1770" w:type="dxa"/>
            <w:shd w:val="clear" w:color="auto" w:fill="auto"/>
            <w:tcMar>
              <w:top w:w="100" w:type="dxa"/>
              <w:left w:w="100" w:type="dxa"/>
              <w:bottom w:w="100" w:type="dxa"/>
              <w:right w:w="100" w:type="dxa"/>
            </w:tcMar>
          </w:tcPr>
          <w:p w:rsidR="00E627C0" w:rsidRDefault="00A47EBC">
            <w:pPr>
              <w:widowControl w:val="0"/>
              <w:spacing w:line="240" w:lineRule="auto"/>
            </w:pPr>
            <w:r>
              <w:t>Unknown</w:t>
            </w:r>
          </w:p>
        </w:tc>
        <w:tc>
          <w:tcPr>
            <w:tcW w:w="6465" w:type="dxa"/>
            <w:shd w:val="clear" w:color="auto" w:fill="auto"/>
            <w:tcMar>
              <w:top w:w="100" w:type="dxa"/>
              <w:left w:w="100" w:type="dxa"/>
              <w:bottom w:w="100" w:type="dxa"/>
              <w:right w:w="100" w:type="dxa"/>
            </w:tcMar>
          </w:tcPr>
          <w:p w:rsidR="00E627C0" w:rsidRDefault="000C0C8A">
            <w:pPr>
              <w:widowControl w:val="0"/>
              <w:spacing w:line="240" w:lineRule="auto"/>
            </w:pPr>
            <w:r>
              <w:t>The vendor explained that there are only very few changes that occur in a year.</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Are there MARC records available?</w:t>
            </w:r>
          </w:p>
        </w:tc>
        <w:tc>
          <w:tcPr>
            <w:tcW w:w="1620" w:type="dxa"/>
            <w:shd w:val="clear" w:color="auto" w:fill="auto"/>
            <w:tcMar>
              <w:top w:w="100" w:type="dxa"/>
              <w:left w:w="100" w:type="dxa"/>
              <w:bottom w:w="100" w:type="dxa"/>
              <w:right w:w="100" w:type="dxa"/>
            </w:tcMar>
          </w:tcPr>
          <w:p w:rsidR="00E627C0" w:rsidRDefault="000C0C8A">
            <w:pPr>
              <w:widowControl w:val="0"/>
              <w:spacing w:line="240" w:lineRule="auto"/>
            </w:pPr>
            <w:r>
              <w:t>Yes &amp; No</w:t>
            </w:r>
          </w:p>
        </w:tc>
        <w:tc>
          <w:tcPr>
            <w:tcW w:w="1770" w:type="dxa"/>
            <w:shd w:val="clear" w:color="auto" w:fill="auto"/>
            <w:tcMar>
              <w:top w:w="100" w:type="dxa"/>
              <w:left w:w="100" w:type="dxa"/>
              <w:bottom w:w="100" w:type="dxa"/>
              <w:right w:w="100" w:type="dxa"/>
            </w:tcMar>
          </w:tcPr>
          <w:p w:rsidR="00E627C0" w:rsidRDefault="000C0C8A">
            <w:pPr>
              <w:widowControl w:val="0"/>
              <w:spacing w:line="240" w:lineRule="auto"/>
            </w:pPr>
            <w:r>
              <w:t>Unknown</w:t>
            </w:r>
          </w:p>
        </w:tc>
        <w:tc>
          <w:tcPr>
            <w:tcW w:w="6465" w:type="dxa"/>
            <w:shd w:val="clear" w:color="auto" w:fill="auto"/>
            <w:tcMar>
              <w:top w:w="100" w:type="dxa"/>
              <w:left w:w="100" w:type="dxa"/>
              <w:bottom w:w="100" w:type="dxa"/>
              <w:right w:w="100" w:type="dxa"/>
            </w:tcMar>
          </w:tcPr>
          <w:p w:rsidR="00B434CE" w:rsidRDefault="00B434CE" w:rsidP="00B434CE">
            <w:pPr>
              <w:widowControl w:val="0"/>
              <w:spacing w:line="240" w:lineRule="auto"/>
            </w:pPr>
            <w:r>
              <w:t xml:space="preserve">Vendor: </w:t>
            </w:r>
            <w:r w:rsidR="000C0C8A">
              <w:t xml:space="preserve">The vendor can supply us with a MARC file. This file </w:t>
            </w:r>
            <w:r>
              <w:t xml:space="preserve">contains all poetry, prose and drama irrespective of collection. </w:t>
            </w:r>
            <w:r>
              <w:lastRenderedPageBreak/>
              <w:t>This means that as we get the complete, there are titles in the set that we don’t have access to.</w:t>
            </w:r>
          </w:p>
          <w:p w:rsidR="00B434CE" w:rsidRDefault="00B434CE" w:rsidP="00B434CE">
            <w:pPr>
              <w:widowControl w:val="0"/>
              <w:spacing w:line="240" w:lineRule="auto"/>
            </w:pPr>
          </w:p>
          <w:p w:rsidR="00E627C0" w:rsidRDefault="00B434CE" w:rsidP="00B434CE">
            <w:pPr>
              <w:widowControl w:val="0"/>
              <w:spacing w:line="240" w:lineRule="auto"/>
            </w:pPr>
            <w:r>
              <w:t xml:space="preserve">OCLC:  There are the JISC Proquest Literature Online, Literature Online UK and Literature Online US and Literature Online Reference (UK and US). There are no collections called complete. Again, there is the problem of titles that we don’t subscribe to in the set. </w:t>
            </w:r>
            <w:r w:rsidR="004419C7">
              <w:t xml:space="preserve">The JISC sets are the only ones associated with Proquest. </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lastRenderedPageBreak/>
              <w:t>Is it easy to find the MARC records?</w:t>
            </w:r>
          </w:p>
        </w:tc>
        <w:tc>
          <w:tcPr>
            <w:tcW w:w="1620" w:type="dxa"/>
            <w:shd w:val="clear" w:color="auto" w:fill="auto"/>
            <w:tcMar>
              <w:top w:w="100" w:type="dxa"/>
              <w:left w:w="100" w:type="dxa"/>
              <w:bottom w:w="100" w:type="dxa"/>
              <w:right w:w="100" w:type="dxa"/>
            </w:tcMar>
          </w:tcPr>
          <w:p w:rsidR="00E627C0" w:rsidRDefault="00B434CE">
            <w:pPr>
              <w:widowControl w:val="0"/>
              <w:spacing w:line="240" w:lineRule="auto"/>
            </w:pPr>
            <w:r>
              <w:t>No</w:t>
            </w:r>
          </w:p>
        </w:tc>
        <w:tc>
          <w:tcPr>
            <w:tcW w:w="1770" w:type="dxa"/>
            <w:shd w:val="clear" w:color="auto" w:fill="auto"/>
            <w:tcMar>
              <w:top w:w="100" w:type="dxa"/>
              <w:left w:w="100" w:type="dxa"/>
              <w:bottom w:w="100" w:type="dxa"/>
              <w:right w:w="100" w:type="dxa"/>
            </w:tcMar>
          </w:tcPr>
          <w:p w:rsidR="00E627C0" w:rsidRDefault="00B434CE">
            <w:pPr>
              <w:widowControl w:val="0"/>
              <w:spacing w:line="240" w:lineRule="auto"/>
            </w:pPr>
            <w:r>
              <w:t>No</w:t>
            </w:r>
          </w:p>
        </w:tc>
        <w:tc>
          <w:tcPr>
            <w:tcW w:w="6465" w:type="dxa"/>
            <w:shd w:val="clear" w:color="auto" w:fill="auto"/>
            <w:tcMar>
              <w:top w:w="100" w:type="dxa"/>
              <w:left w:w="100" w:type="dxa"/>
              <w:bottom w:w="100" w:type="dxa"/>
              <w:right w:w="100" w:type="dxa"/>
            </w:tcMar>
          </w:tcPr>
          <w:p w:rsidR="00E627C0" w:rsidRDefault="00B434CE">
            <w:pPr>
              <w:widowControl w:val="0"/>
              <w:spacing w:line="240" w:lineRule="auto"/>
            </w:pPr>
            <w:r>
              <w:t>OCLC: There is no LION Complete collection. It would be necessary to checked all the collections against the title spreadsheet to figure out which titles to select.</w:t>
            </w:r>
          </w:p>
          <w:p w:rsidR="00B434CE" w:rsidRDefault="00B434CE">
            <w:pPr>
              <w:widowControl w:val="0"/>
              <w:spacing w:line="240" w:lineRule="auto"/>
            </w:pPr>
          </w:p>
          <w:p w:rsidR="00B434CE" w:rsidRDefault="00B434CE">
            <w:pPr>
              <w:widowControl w:val="0"/>
              <w:spacing w:line="240" w:lineRule="auto"/>
            </w:pPr>
            <w:r>
              <w:t>Vendor: You have to request the title set. If you want a set for only the titles we subscribe to then you have to request an enhancement. I have requested an enhancement but after 2 months there has been no movement.</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How do you acquire the set for the MARC records?</w:t>
            </w:r>
          </w:p>
        </w:tc>
        <w:tc>
          <w:tcPr>
            <w:tcW w:w="1620" w:type="dxa"/>
            <w:shd w:val="clear" w:color="auto" w:fill="auto"/>
            <w:tcMar>
              <w:top w:w="100" w:type="dxa"/>
              <w:left w:w="100" w:type="dxa"/>
              <w:bottom w:w="100" w:type="dxa"/>
              <w:right w:w="100" w:type="dxa"/>
            </w:tcMar>
          </w:tcPr>
          <w:p w:rsidR="00BF6C54" w:rsidRDefault="004419C7" w:rsidP="00BF6C54">
            <w:pPr>
              <w:widowControl w:val="0"/>
              <w:spacing w:line="240" w:lineRule="auto"/>
            </w:pPr>
            <w:r>
              <w:t>FTP</w:t>
            </w:r>
          </w:p>
        </w:tc>
        <w:tc>
          <w:tcPr>
            <w:tcW w:w="1770" w:type="dxa"/>
            <w:shd w:val="clear" w:color="auto" w:fill="auto"/>
            <w:tcMar>
              <w:top w:w="100" w:type="dxa"/>
              <w:left w:w="100" w:type="dxa"/>
              <w:bottom w:w="100" w:type="dxa"/>
              <w:right w:w="100" w:type="dxa"/>
            </w:tcMar>
          </w:tcPr>
          <w:p w:rsidR="00E627C0" w:rsidRDefault="00E627C0">
            <w:pPr>
              <w:widowControl w:val="0"/>
              <w:spacing w:line="240" w:lineRule="auto"/>
            </w:pPr>
          </w:p>
        </w:tc>
        <w:tc>
          <w:tcPr>
            <w:tcW w:w="6465" w:type="dxa"/>
            <w:shd w:val="clear" w:color="auto" w:fill="auto"/>
            <w:tcMar>
              <w:top w:w="100" w:type="dxa"/>
              <w:left w:w="100" w:type="dxa"/>
              <w:bottom w:w="100" w:type="dxa"/>
              <w:right w:w="100" w:type="dxa"/>
            </w:tcMar>
          </w:tcPr>
          <w:p w:rsidR="00E627C0" w:rsidRDefault="00E627C0">
            <w:pPr>
              <w:widowControl w:val="0"/>
              <w:spacing w:line="240" w:lineRule="auto"/>
            </w:pP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Are the MARC records free?</w:t>
            </w:r>
          </w:p>
        </w:tc>
        <w:tc>
          <w:tcPr>
            <w:tcW w:w="1620" w:type="dxa"/>
            <w:shd w:val="clear" w:color="auto" w:fill="auto"/>
            <w:tcMar>
              <w:top w:w="100" w:type="dxa"/>
              <w:left w:w="100" w:type="dxa"/>
              <w:bottom w:w="100" w:type="dxa"/>
              <w:right w:w="100" w:type="dxa"/>
            </w:tcMar>
          </w:tcPr>
          <w:p w:rsidR="00E627C0" w:rsidRDefault="004419C7">
            <w:pPr>
              <w:widowControl w:val="0"/>
              <w:spacing w:line="240" w:lineRule="auto"/>
            </w:pPr>
            <w:r>
              <w:t>Yes</w:t>
            </w:r>
          </w:p>
        </w:tc>
        <w:tc>
          <w:tcPr>
            <w:tcW w:w="1770" w:type="dxa"/>
            <w:shd w:val="clear" w:color="auto" w:fill="auto"/>
            <w:tcMar>
              <w:top w:w="100" w:type="dxa"/>
              <w:left w:w="100" w:type="dxa"/>
              <w:bottom w:w="100" w:type="dxa"/>
              <w:right w:w="100" w:type="dxa"/>
            </w:tcMar>
          </w:tcPr>
          <w:p w:rsidR="00E627C0" w:rsidRDefault="004419C7">
            <w:pPr>
              <w:widowControl w:val="0"/>
              <w:spacing w:line="240" w:lineRule="auto"/>
            </w:pPr>
            <w:r>
              <w:t>Yes</w:t>
            </w:r>
          </w:p>
        </w:tc>
        <w:tc>
          <w:tcPr>
            <w:tcW w:w="6465" w:type="dxa"/>
            <w:shd w:val="clear" w:color="auto" w:fill="auto"/>
            <w:tcMar>
              <w:top w:w="100" w:type="dxa"/>
              <w:left w:w="100" w:type="dxa"/>
              <w:bottom w:w="100" w:type="dxa"/>
              <w:right w:w="100" w:type="dxa"/>
            </w:tcMar>
          </w:tcPr>
          <w:p w:rsidR="00E627C0" w:rsidRDefault="00E627C0">
            <w:pPr>
              <w:widowControl w:val="0"/>
              <w:spacing w:line="240" w:lineRule="auto"/>
            </w:pP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Is there any supporting documentation on the MARC records?</w:t>
            </w:r>
          </w:p>
        </w:tc>
        <w:tc>
          <w:tcPr>
            <w:tcW w:w="1620" w:type="dxa"/>
            <w:shd w:val="clear" w:color="auto" w:fill="auto"/>
            <w:tcMar>
              <w:top w:w="100" w:type="dxa"/>
              <w:left w:w="100" w:type="dxa"/>
              <w:bottom w:w="100" w:type="dxa"/>
              <w:right w:w="100" w:type="dxa"/>
            </w:tcMar>
          </w:tcPr>
          <w:p w:rsidR="00E627C0" w:rsidRDefault="004419C7">
            <w:pPr>
              <w:widowControl w:val="0"/>
              <w:spacing w:line="240" w:lineRule="auto"/>
            </w:pPr>
            <w:r>
              <w:t>No</w:t>
            </w:r>
          </w:p>
        </w:tc>
        <w:tc>
          <w:tcPr>
            <w:tcW w:w="1770" w:type="dxa"/>
            <w:shd w:val="clear" w:color="auto" w:fill="auto"/>
            <w:tcMar>
              <w:top w:w="100" w:type="dxa"/>
              <w:left w:w="100" w:type="dxa"/>
              <w:bottom w:w="100" w:type="dxa"/>
              <w:right w:w="100" w:type="dxa"/>
            </w:tcMar>
          </w:tcPr>
          <w:p w:rsidR="00E627C0" w:rsidRDefault="004419C7">
            <w:pPr>
              <w:widowControl w:val="0"/>
              <w:spacing w:line="240" w:lineRule="auto"/>
            </w:pPr>
            <w:r>
              <w:t>No</w:t>
            </w:r>
          </w:p>
        </w:tc>
        <w:tc>
          <w:tcPr>
            <w:tcW w:w="6465" w:type="dxa"/>
            <w:shd w:val="clear" w:color="auto" w:fill="auto"/>
            <w:tcMar>
              <w:top w:w="100" w:type="dxa"/>
              <w:left w:w="100" w:type="dxa"/>
              <w:bottom w:w="100" w:type="dxa"/>
              <w:right w:w="100" w:type="dxa"/>
            </w:tcMar>
          </w:tcPr>
          <w:p w:rsidR="00E627C0" w:rsidRDefault="00E627C0">
            <w:pPr>
              <w:widowControl w:val="0"/>
              <w:spacing w:line="240" w:lineRule="auto"/>
            </w:pP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Is there an easily identifiable contact information for inquiries about the MARC records?</w:t>
            </w:r>
          </w:p>
        </w:tc>
        <w:tc>
          <w:tcPr>
            <w:tcW w:w="1620" w:type="dxa"/>
            <w:shd w:val="clear" w:color="auto" w:fill="auto"/>
            <w:tcMar>
              <w:top w:w="100" w:type="dxa"/>
              <w:left w:w="100" w:type="dxa"/>
              <w:bottom w:w="100" w:type="dxa"/>
              <w:right w:w="100" w:type="dxa"/>
            </w:tcMar>
          </w:tcPr>
          <w:p w:rsidR="00E627C0" w:rsidRDefault="004419C7" w:rsidP="002E431A">
            <w:pPr>
              <w:widowControl w:val="0"/>
              <w:spacing w:line="240" w:lineRule="auto"/>
            </w:pPr>
            <w:r>
              <w:t>CORAL</w:t>
            </w:r>
          </w:p>
        </w:tc>
        <w:tc>
          <w:tcPr>
            <w:tcW w:w="1770" w:type="dxa"/>
            <w:shd w:val="clear" w:color="auto" w:fill="auto"/>
            <w:tcMar>
              <w:top w:w="100" w:type="dxa"/>
              <w:left w:w="100" w:type="dxa"/>
              <w:bottom w:w="100" w:type="dxa"/>
              <w:right w:w="100" w:type="dxa"/>
            </w:tcMar>
          </w:tcPr>
          <w:p w:rsidR="00E627C0" w:rsidRDefault="004419C7">
            <w:pPr>
              <w:widowControl w:val="0"/>
              <w:spacing w:line="240" w:lineRule="auto"/>
            </w:pPr>
            <w:r>
              <w:t>No</w:t>
            </w:r>
          </w:p>
        </w:tc>
        <w:tc>
          <w:tcPr>
            <w:tcW w:w="6465" w:type="dxa"/>
            <w:shd w:val="clear" w:color="auto" w:fill="auto"/>
            <w:tcMar>
              <w:top w:w="100" w:type="dxa"/>
              <w:left w:w="100" w:type="dxa"/>
              <w:bottom w:w="100" w:type="dxa"/>
              <w:right w:w="100" w:type="dxa"/>
            </w:tcMar>
          </w:tcPr>
          <w:p w:rsidR="00E627C0" w:rsidRDefault="00E627C0">
            <w:pPr>
              <w:widowControl w:val="0"/>
              <w:spacing w:line="240" w:lineRule="auto"/>
            </w:pP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 xml:space="preserve">Are there any records in Aleph that need to be considered beforehand? If yes, do you need to do any prep work to load this </w:t>
            </w:r>
            <w:r>
              <w:lastRenderedPageBreak/>
              <w:t>current set?</w:t>
            </w:r>
          </w:p>
        </w:tc>
        <w:tc>
          <w:tcPr>
            <w:tcW w:w="1620" w:type="dxa"/>
            <w:shd w:val="clear" w:color="auto" w:fill="auto"/>
            <w:tcMar>
              <w:top w:w="100" w:type="dxa"/>
              <w:left w:w="100" w:type="dxa"/>
              <w:bottom w:w="100" w:type="dxa"/>
              <w:right w:w="100" w:type="dxa"/>
            </w:tcMar>
          </w:tcPr>
          <w:p w:rsidR="00E627C0" w:rsidRDefault="004419C7">
            <w:pPr>
              <w:widowControl w:val="0"/>
              <w:spacing w:line="240" w:lineRule="auto"/>
            </w:pPr>
            <w:r>
              <w:lastRenderedPageBreak/>
              <w:t>Yes</w:t>
            </w:r>
          </w:p>
        </w:tc>
        <w:tc>
          <w:tcPr>
            <w:tcW w:w="1770" w:type="dxa"/>
            <w:shd w:val="clear" w:color="auto" w:fill="auto"/>
            <w:tcMar>
              <w:top w:w="100" w:type="dxa"/>
              <w:left w:w="100" w:type="dxa"/>
              <w:bottom w:w="100" w:type="dxa"/>
              <w:right w:w="100" w:type="dxa"/>
            </w:tcMar>
          </w:tcPr>
          <w:p w:rsidR="00E627C0" w:rsidRDefault="00E627C0">
            <w:pPr>
              <w:widowControl w:val="0"/>
              <w:spacing w:line="240" w:lineRule="auto"/>
            </w:pPr>
          </w:p>
        </w:tc>
        <w:tc>
          <w:tcPr>
            <w:tcW w:w="6465" w:type="dxa"/>
            <w:shd w:val="clear" w:color="auto" w:fill="auto"/>
            <w:tcMar>
              <w:top w:w="100" w:type="dxa"/>
              <w:left w:w="100" w:type="dxa"/>
              <w:bottom w:w="100" w:type="dxa"/>
              <w:right w:w="100" w:type="dxa"/>
            </w:tcMar>
          </w:tcPr>
          <w:p w:rsidR="00E627C0" w:rsidRDefault="004419C7">
            <w:pPr>
              <w:widowControl w:val="0"/>
              <w:spacing w:line="240" w:lineRule="auto"/>
            </w:pPr>
            <w:r>
              <w:t>Some of the titles no longer work which is because there have been changes to the set we subscribe to. The records are minimal.</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 xml:space="preserve">How many records are available from the vendor and OCLC KB? </w:t>
            </w:r>
          </w:p>
        </w:tc>
        <w:tc>
          <w:tcPr>
            <w:tcW w:w="1620" w:type="dxa"/>
            <w:shd w:val="clear" w:color="auto" w:fill="auto"/>
            <w:tcMar>
              <w:top w:w="100" w:type="dxa"/>
              <w:left w:w="100" w:type="dxa"/>
              <w:bottom w:w="100" w:type="dxa"/>
              <w:right w:w="100" w:type="dxa"/>
            </w:tcMar>
          </w:tcPr>
          <w:p w:rsidR="00E627C0" w:rsidRDefault="004419C7" w:rsidP="002E431A">
            <w:pPr>
              <w:widowControl w:val="0"/>
              <w:spacing w:line="240" w:lineRule="auto"/>
            </w:pPr>
            <w:r>
              <w:t>All titles</w:t>
            </w:r>
          </w:p>
        </w:tc>
        <w:tc>
          <w:tcPr>
            <w:tcW w:w="1770" w:type="dxa"/>
            <w:shd w:val="clear" w:color="auto" w:fill="auto"/>
            <w:tcMar>
              <w:top w:w="100" w:type="dxa"/>
              <w:left w:w="100" w:type="dxa"/>
              <w:bottom w:w="100" w:type="dxa"/>
              <w:right w:w="100" w:type="dxa"/>
            </w:tcMar>
          </w:tcPr>
          <w:p w:rsidR="00E627C0" w:rsidRDefault="004419C7">
            <w:pPr>
              <w:widowControl w:val="0"/>
              <w:spacing w:line="240" w:lineRule="auto"/>
            </w:pPr>
            <w:r>
              <w:t>?</w:t>
            </w:r>
          </w:p>
        </w:tc>
        <w:tc>
          <w:tcPr>
            <w:tcW w:w="6465" w:type="dxa"/>
            <w:shd w:val="clear" w:color="auto" w:fill="auto"/>
            <w:tcMar>
              <w:top w:w="100" w:type="dxa"/>
              <w:left w:w="100" w:type="dxa"/>
              <w:bottom w:w="100" w:type="dxa"/>
              <w:right w:w="100" w:type="dxa"/>
            </w:tcMar>
          </w:tcPr>
          <w:p w:rsidR="00E627C0" w:rsidRDefault="004419C7">
            <w:pPr>
              <w:widowControl w:val="0"/>
              <w:spacing w:line="240" w:lineRule="auto"/>
            </w:pPr>
            <w:r>
              <w:t xml:space="preserve">The only way to see what we subscribe to is a spreadsheet of titles. </w:t>
            </w:r>
          </w:p>
          <w:p w:rsidR="004419C7" w:rsidRDefault="004419C7">
            <w:pPr>
              <w:widowControl w:val="0"/>
              <w:spacing w:line="240" w:lineRule="auto"/>
            </w:pPr>
          </w:p>
          <w:p w:rsidR="004419C7" w:rsidRDefault="004419C7">
            <w:pPr>
              <w:widowControl w:val="0"/>
              <w:spacing w:line="240" w:lineRule="auto"/>
            </w:pPr>
            <w:r>
              <w:t>For OCLC, it would be necessary to check all collections and check off only those titles we subscribe to</w:t>
            </w:r>
            <w:r w:rsidR="00A47EBC">
              <w:t xml:space="preserve"> once you found the appropriate collection</w:t>
            </w:r>
            <w:r>
              <w:t xml:space="preserve">. </w:t>
            </w:r>
          </w:p>
        </w:tc>
      </w:tr>
      <w:tr w:rsidR="00E627C0">
        <w:trPr>
          <w:trHeight w:val="420"/>
        </w:trPr>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How many records should we have access to according to the vendor?</w:t>
            </w:r>
          </w:p>
        </w:tc>
        <w:tc>
          <w:tcPr>
            <w:tcW w:w="3390" w:type="dxa"/>
            <w:gridSpan w:val="2"/>
            <w:shd w:val="clear" w:color="auto" w:fill="auto"/>
            <w:tcMar>
              <w:top w:w="100" w:type="dxa"/>
              <w:left w:w="100" w:type="dxa"/>
              <w:bottom w:w="100" w:type="dxa"/>
              <w:right w:w="100" w:type="dxa"/>
            </w:tcMar>
          </w:tcPr>
          <w:p w:rsidR="00E627C0" w:rsidRDefault="00E627C0">
            <w:pPr>
              <w:widowControl w:val="0"/>
              <w:spacing w:line="240" w:lineRule="auto"/>
            </w:pPr>
          </w:p>
        </w:tc>
        <w:tc>
          <w:tcPr>
            <w:tcW w:w="6465" w:type="dxa"/>
            <w:shd w:val="clear" w:color="auto" w:fill="auto"/>
            <w:tcMar>
              <w:top w:w="100" w:type="dxa"/>
              <w:left w:w="100" w:type="dxa"/>
              <w:bottom w:w="100" w:type="dxa"/>
              <w:right w:w="100" w:type="dxa"/>
            </w:tcMar>
          </w:tcPr>
          <w:p w:rsidR="00E627C0" w:rsidRDefault="00A47EBC">
            <w:pPr>
              <w:widowControl w:val="0"/>
              <w:spacing w:line="240" w:lineRule="auto"/>
            </w:pPr>
            <w:r>
              <w:t>This is only</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What is the file format of the file for the set of records (xml, mrc, xsls)?</w:t>
            </w:r>
          </w:p>
        </w:tc>
        <w:tc>
          <w:tcPr>
            <w:tcW w:w="1620" w:type="dxa"/>
            <w:shd w:val="clear" w:color="auto" w:fill="auto"/>
            <w:tcMar>
              <w:top w:w="100" w:type="dxa"/>
              <w:left w:w="100" w:type="dxa"/>
              <w:bottom w:w="100" w:type="dxa"/>
              <w:right w:w="100" w:type="dxa"/>
            </w:tcMar>
          </w:tcPr>
          <w:p w:rsidR="00E627C0" w:rsidRDefault="004419C7">
            <w:pPr>
              <w:widowControl w:val="0"/>
              <w:spacing w:line="240" w:lineRule="auto"/>
            </w:pPr>
            <w:r>
              <w:t>Mrc</w:t>
            </w:r>
          </w:p>
        </w:tc>
        <w:tc>
          <w:tcPr>
            <w:tcW w:w="1770" w:type="dxa"/>
            <w:shd w:val="clear" w:color="auto" w:fill="auto"/>
            <w:tcMar>
              <w:top w:w="100" w:type="dxa"/>
              <w:left w:w="100" w:type="dxa"/>
              <w:bottom w:w="100" w:type="dxa"/>
              <w:right w:w="100" w:type="dxa"/>
            </w:tcMar>
          </w:tcPr>
          <w:p w:rsidR="00E627C0" w:rsidRDefault="004419C7">
            <w:pPr>
              <w:widowControl w:val="0"/>
              <w:spacing w:line="240" w:lineRule="auto"/>
            </w:pPr>
            <w:r>
              <w:t>mrc</w:t>
            </w:r>
          </w:p>
        </w:tc>
        <w:tc>
          <w:tcPr>
            <w:tcW w:w="6465" w:type="dxa"/>
            <w:shd w:val="clear" w:color="auto" w:fill="auto"/>
            <w:tcMar>
              <w:top w:w="100" w:type="dxa"/>
              <w:left w:w="100" w:type="dxa"/>
              <w:bottom w:w="100" w:type="dxa"/>
              <w:right w:w="100" w:type="dxa"/>
            </w:tcMar>
          </w:tcPr>
          <w:p w:rsidR="00E627C0" w:rsidRDefault="00E627C0">
            <w:pPr>
              <w:widowControl w:val="0"/>
              <w:spacing w:line="240" w:lineRule="auto"/>
            </w:pP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Do records meet minimal MARC quality?</w:t>
            </w:r>
          </w:p>
        </w:tc>
        <w:tc>
          <w:tcPr>
            <w:tcW w:w="1620" w:type="dxa"/>
            <w:shd w:val="clear" w:color="auto" w:fill="auto"/>
            <w:tcMar>
              <w:top w:w="100" w:type="dxa"/>
              <w:left w:w="100" w:type="dxa"/>
              <w:bottom w:w="100" w:type="dxa"/>
              <w:right w:w="100" w:type="dxa"/>
            </w:tcMar>
          </w:tcPr>
          <w:p w:rsidR="00E627C0" w:rsidRDefault="00E627C0">
            <w:pPr>
              <w:widowControl w:val="0"/>
              <w:spacing w:line="240" w:lineRule="auto"/>
            </w:pPr>
          </w:p>
        </w:tc>
        <w:tc>
          <w:tcPr>
            <w:tcW w:w="1770" w:type="dxa"/>
            <w:shd w:val="clear" w:color="auto" w:fill="auto"/>
            <w:tcMar>
              <w:top w:w="100" w:type="dxa"/>
              <w:left w:w="100" w:type="dxa"/>
              <w:bottom w:w="100" w:type="dxa"/>
              <w:right w:w="100" w:type="dxa"/>
            </w:tcMar>
          </w:tcPr>
          <w:p w:rsidR="00E627C0" w:rsidRDefault="00E627C0">
            <w:pPr>
              <w:widowControl w:val="0"/>
              <w:spacing w:line="240" w:lineRule="auto"/>
            </w:pPr>
          </w:p>
        </w:tc>
        <w:tc>
          <w:tcPr>
            <w:tcW w:w="6465" w:type="dxa"/>
            <w:shd w:val="clear" w:color="auto" w:fill="auto"/>
            <w:tcMar>
              <w:top w:w="100" w:type="dxa"/>
              <w:left w:w="100" w:type="dxa"/>
              <w:bottom w:w="100" w:type="dxa"/>
              <w:right w:w="100" w:type="dxa"/>
            </w:tcMar>
          </w:tcPr>
          <w:p w:rsidR="00E627C0" w:rsidRDefault="00A47EBC">
            <w:pPr>
              <w:widowControl w:val="0"/>
              <w:spacing w:line="240" w:lineRule="auto"/>
            </w:pPr>
            <w:r>
              <w:t>Vendor: There’s no standard numbers. Publisher information is often missing. Sometimes volume 1 is there but not volume 2. Records have at least a title and a link. I would say that these records are more on the fence of meeting minimal quality.</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Is there a known and recognizable data match point?</w:t>
            </w:r>
          </w:p>
        </w:tc>
        <w:tc>
          <w:tcPr>
            <w:tcW w:w="1620" w:type="dxa"/>
            <w:shd w:val="clear" w:color="auto" w:fill="auto"/>
            <w:tcMar>
              <w:top w:w="100" w:type="dxa"/>
              <w:left w:w="100" w:type="dxa"/>
              <w:bottom w:w="100" w:type="dxa"/>
              <w:right w:w="100" w:type="dxa"/>
            </w:tcMar>
          </w:tcPr>
          <w:p w:rsidR="00E627C0" w:rsidRDefault="004419C7">
            <w:pPr>
              <w:widowControl w:val="0"/>
              <w:spacing w:line="240" w:lineRule="auto"/>
            </w:pPr>
            <w:r>
              <w:t>Vendor number</w:t>
            </w:r>
          </w:p>
        </w:tc>
        <w:tc>
          <w:tcPr>
            <w:tcW w:w="1770" w:type="dxa"/>
            <w:shd w:val="clear" w:color="auto" w:fill="auto"/>
            <w:tcMar>
              <w:top w:w="100" w:type="dxa"/>
              <w:left w:w="100" w:type="dxa"/>
              <w:bottom w:w="100" w:type="dxa"/>
              <w:right w:w="100" w:type="dxa"/>
            </w:tcMar>
          </w:tcPr>
          <w:p w:rsidR="00E627C0" w:rsidRDefault="004419C7">
            <w:pPr>
              <w:widowControl w:val="0"/>
              <w:spacing w:line="240" w:lineRule="auto"/>
            </w:pPr>
            <w:r>
              <w:t>OCLC number</w:t>
            </w: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 xml:space="preserve">Is there an OCLC number or vendor number in the 001 and/or 035? </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Are there urls?</w:t>
            </w:r>
          </w:p>
        </w:tc>
        <w:tc>
          <w:tcPr>
            <w:tcW w:w="1620" w:type="dxa"/>
            <w:shd w:val="clear" w:color="auto" w:fill="auto"/>
            <w:tcMar>
              <w:top w:w="100" w:type="dxa"/>
              <w:left w:w="100" w:type="dxa"/>
              <w:bottom w:w="100" w:type="dxa"/>
              <w:right w:w="100" w:type="dxa"/>
            </w:tcMar>
          </w:tcPr>
          <w:p w:rsidR="00E627C0" w:rsidRDefault="004419C7">
            <w:pPr>
              <w:widowControl w:val="0"/>
              <w:spacing w:line="240" w:lineRule="auto"/>
            </w:pPr>
            <w:r>
              <w:t>Yes</w:t>
            </w:r>
          </w:p>
        </w:tc>
        <w:tc>
          <w:tcPr>
            <w:tcW w:w="1770" w:type="dxa"/>
            <w:shd w:val="clear" w:color="auto" w:fill="auto"/>
            <w:tcMar>
              <w:top w:w="100" w:type="dxa"/>
              <w:left w:w="100" w:type="dxa"/>
              <w:bottom w:w="100" w:type="dxa"/>
              <w:right w:w="100" w:type="dxa"/>
            </w:tcMar>
          </w:tcPr>
          <w:p w:rsidR="00E627C0" w:rsidRDefault="004419C7">
            <w:pPr>
              <w:widowControl w:val="0"/>
              <w:spacing w:line="240" w:lineRule="auto"/>
            </w:pPr>
            <w:r>
              <w:t xml:space="preserve">Yes </w:t>
            </w:r>
          </w:p>
        </w:tc>
        <w:tc>
          <w:tcPr>
            <w:tcW w:w="6465" w:type="dxa"/>
            <w:shd w:val="clear" w:color="auto" w:fill="auto"/>
            <w:tcMar>
              <w:top w:w="100" w:type="dxa"/>
              <w:left w:w="100" w:type="dxa"/>
              <w:bottom w:w="100" w:type="dxa"/>
              <w:right w:w="100" w:type="dxa"/>
            </w:tcMar>
          </w:tcPr>
          <w:p w:rsidR="00E627C0" w:rsidRDefault="00E627C0">
            <w:pPr>
              <w:widowControl w:val="0"/>
              <w:spacing w:line="240" w:lineRule="auto"/>
            </w:pP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Do records have 1 url to the resource or several?</w:t>
            </w:r>
          </w:p>
        </w:tc>
        <w:tc>
          <w:tcPr>
            <w:tcW w:w="1620" w:type="dxa"/>
            <w:shd w:val="clear" w:color="auto" w:fill="auto"/>
            <w:tcMar>
              <w:top w:w="100" w:type="dxa"/>
              <w:left w:w="100" w:type="dxa"/>
              <w:bottom w:w="100" w:type="dxa"/>
              <w:right w:w="100" w:type="dxa"/>
            </w:tcMar>
          </w:tcPr>
          <w:p w:rsidR="00E627C0" w:rsidRDefault="004419C7">
            <w:pPr>
              <w:widowControl w:val="0"/>
              <w:spacing w:line="240" w:lineRule="auto"/>
            </w:pPr>
            <w:r>
              <w:t>Yes</w:t>
            </w:r>
          </w:p>
        </w:tc>
        <w:tc>
          <w:tcPr>
            <w:tcW w:w="1770" w:type="dxa"/>
            <w:shd w:val="clear" w:color="auto" w:fill="auto"/>
            <w:tcMar>
              <w:top w:w="100" w:type="dxa"/>
              <w:left w:w="100" w:type="dxa"/>
              <w:bottom w:w="100" w:type="dxa"/>
              <w:right w:w="100" w:type="dxa"/>
            </w:tcMar>
          </w:tcPr>
          <w:p w:rsidR="00E627C0" w:rsidRDefault="004419C7">
            <w:pPr>
              <w:widowControl w:val="0"/>
              <w:spacing w:line="240" w:lineRule="auto"/>
            </w:pPr>
            <w:r>
              <w:t>Yes</w:t>
            </w:r>
          </w:p>
        </w:tc>
        <w:tc>
          <w:tcPr>
            <w:tcW w:w="6465" w:type="dxa"/>
            <w:shd w:val="clear" w:color="auto" w:fill="auto"/>
            <w:tcMar>
              <w:top w:w="100" w:type="dxa"/>
              <w:left w:w="100" w:type="dxa"/>
              <w:bottom w:w="100" w:type="dxa"/>
              <w:right w:w="100" w:type="dxa"/>
            </w:tcMar>
          </w:tcPr>
          <w:p w:rsidR="00E627C0" w:rsidRDefault="00E627C0">
            <w:pPr>
              <w:widowControl w:val="0"/>
              <w:spacing w:line="240" w:lineRule="auto"/>
            </w:pP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Are the urls to the resource the same between the vendor and OCLC?</w:t>
            </w:r>
          </w:p>
        </w:tc>
        <w:tc>
          <w:tcPr>
            <w:tcW w:w="1620" w:type="dxa"/>
            <w:shd w:val="clear" w:color="auto" w:fill="auto"/>
            <w:tcMar>
              <w:top w:w="100" w:type="dxa"/>
              <w:left w:w="100" w:type="dxa"/>
              <w:bottom w:w="100" w:type="dxa"/>
              <w:right w:w="100" w:type="dxa"/>
            </w:tcMar>
          </w:tcPr>
          <w:p w:rsidR="00E627C0" w:rsidRDefault="00E627C0">
            <w:pPr>
              <w:widowControl w:val="0"/>
              <w:spacing w:line="240" w:lineRule="auto"/>
            </w:pPr>
          </w:p>
        </w:tc>
        <w:tc>
          <w:tcPr>
            <w:tcW w:w="1770" w:type="dxa"/>
            <w:shd w:val="clear" w:color="auto" w:fill="auto"/>
            <w:tcMar>
              <w:top w:w="100" w:type="dxa"/>
              <w:left w:w="100" w:type="dxa"/>
              <w:bottom w:w="100" w:type="dxa"/>
              <w:right w:w="100" w:type="dxa"/>
            </w:tcMar>
          </w:tcPr>
          <w:p w:rsidR="00E627C0" w:rsidRDefault="00E627C0">
            <w:pPr>
              <w:widowControl w:val="0"/>
              <w:spacing w:line="240" w:lineRule="auto"/>
            </w:pPr>
          </w:p>
        </w:tc>
        <w:tc>
          <w:tcPr>
            <w:tcW w:w="6465" w:type="dxa"/>
            <w:shd w:val="clear" w:color="auto" w:fill="auto"/>
            <w:tcMar>
              <w:top w:w="100" w:type="dxa"/>
              <w:left w:w="100" w:type="dxa"/>
              <w:bottom w:w="100" w:type="dxa"/>
              <w:right w:w="100" w:type="dxa"/>
            </w:tcMar>
          </w:tcPr>
          <w:p w:rsidR="00E627C0" w:rsidRDefault="004419C7">
            <w:pPr>
              <w:widowControl w:val="0"/>
              <w:spacing w:line="240" w:lineRule="auto"/>
            </w:pPr>
            <w:r>
              <w:t>I’m not sure which OCLC collection is the correct one and I suspect that there isn’t one. Hence, it is impossible to tell.</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Do the urls lead to the resource? Are there incorrect urls?</w:t>
            </w:r>
          </w:p>
        </w:tc>
        <w:tc>
          <w:tcPr>
            <w:tcW w:w="1620" w:type="dxa"/>
            <w:shd w:val="clear" w:color="auto" w:fill="auto"/>
            <w:tcMar>
              <w:top w:w="100" w:type="dxa"/>
              <w:left w:w="100" w:type="dxa"/>
              <w:bottom w:w="100" w:type="dxa"/>
              <w:right w:w="100" w:type="dxa"/>
            </w:tcMar>
          </w:tcPr>
          <w:p w:rsidR="00E627C0" w:rsidRDefault="00E627C0">
            <w:pPr>
              <w:widowControl w:val="0"/>
              <w:spacing w:line="240" w:lineRule="auto"/>
            </w:pPr>
          </w:p>
        </w:tc>
        <w:tc>
          <w:tcPr>
            <w:tcW w:w="1770" w:type="dxa"/>
            <w:shd w:val="clear" w:color="auto" w:fill="auto"/>
            <w:tcMar>
              <w:top w:w="100" w:type="dxa"/>
              <w:left w:w="100" w:type="dxa"/>
              <w:bottom w:w="100" w:type="dxa"/>
              <w:right w:w="100" w:type="dxa"/>
            </w:tcMar>
          </w:tcPr>
          <w:p w:rsidR="00E627C0" w:rsidRDefault="00E627C0">
            <w:pPr>
              <w:widowControl w:val="0"/>
              <w:spacing w:line="240" w:lineRule="auto"/>
            </w:pPr>
          </w:p>
        </w:tc>
        <w:tc>
          <w:tcPr>
            <w:tcW w:w="6465" w:type="dxa"/>
            <w:shd w:val="clear" w:color="auto" w:fill="auto"/>
            <w:tcMar>
              <w:top w:w="100" w:type="dxa"/>
              <w:left w:w="100" w:type="dxa"/>
              <w:bottom w:w="100" w:type="dxa"/>
              <w:right w:w="100" w:type="dxa"/>
            </w:tcMar>
          </w:tcPr>
          <w:p w:rsidR="00E627C0" w:rsidRDefault="00A47EBC">
            <w:pPr>
              <w:widowControl w:val="0"/>
              <w:spacing w:line="240" w:lineRule="auto"/>
            </w:pPr>
            <w:r>
              <w:t>The problem is that the sets include titles for which we don’t have access.</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Are the title lists the same between the vendor and OCLC sets?</w:t>
            </w:r>
          </w:p>
        </w:tc>
        <w:tc>
          <w:tcPr>
            <w:tcW w:w="1620" w:type="dxa"/>
            <w:shd w:val="clear" w:color="auto" w:fill="auto"/>
            <w:tcMar>
              <w:top w:w="100" w:type="dxa"/>
              <w:left w:w="100" w:type="dxa"/>
              <w:bottom w:w="100" w:type="dxa"/>
              <w:right w:w="100" w:type="dxa"/>
            </w:tcMar>
          </w:tcPr>
          <w:p w:rsidR="00E627C0" w:rsidRDefault="00E627C0">
            <w:pPr>
              <w:widowControl w:val="0"/>
              <w:spacing w:line="240" w:lineRule="auto"/>
            </w:pPr>
          </w:p>
        </w:tc>
        <w:tc>
          <w:tcPr>
            <w:tcW w:w="1770" w:type="dxa"/>
            <w:shd w:val="clear" w:color="auto" w:fill="auto"/>
            <w:tcMar>
              <w:top w:w="100" w:type="dxa"/>
              <w:left w:w="100" w:type="dxa"/>
              <w:bottom w:w="100" w:type="dxa"/>
              <w:right w:w="100" w:type="dxa"/>
            </w:tcMar>
          </w:tcPr>
          <w:p w:rsidR="00E627C0" w:rsidRDefault="00E627C0">
            <w:pPr>
              <w:widowControl w:val="0"/>
              <w:spacing w:line="240" w:lineRule="auto"/>
            </w:pPr>
          </w:p>
        </w:tc>
        <w:tc>
          <w:tcPr>
            <w:tcW w:w="6465" w:type="dxa"/>
            <w:shd w:val="clear" w:color="auto" w:fill="auto"/>
            <w:tcMar>
              <w:top w:w="100" w:type="dxa"/>
              <w:left w:w="100" w:type="dxa"/>
              <w:bottom w:w="100" w:type="dxa"/>
              <w:right w:w="100" w:type="dxa"/>
            </w:tcMar>
          </w:tcPr>
          <w:p w:rsidR="00E627C0" w:rsidRDefault="00E627C0">
            <w:pPr>
              <w:widowControl w:val="0"/>
              <w:spacing w:line="240" w:lineRule="auto"/>
            </w:pPr>
          </w:p>
        </w:tc>
      </w:tr>
      <w:tr w:rsidR="004419C7" w:rsidTr="004419C7">
        <w:tc>
          <w:tcPr>
            <w:tcW w:w="3630" w:type="dxa"/>
            <w:shd w:val="clear" w:color="auto" w:fill="auto"/>
            <w:tcMar>
              <w:top w:w="100" w:type="dxa"/>
              <w:left w:w="100" w:type="dxa"/>
              <w:bottom w:w="100" w:type="dxa"/>
              <w:right w:w="100" w:type="dxa"/>
            </w:tcMar>
          </w:tcPr>
          <w:p w:rsidR="004419C7" w:rsidRDefault="004419C7">
            <w:pPr>
              <w:widowControl w:val="0"/>
              <w:spacing w:line="240" w:lineRule="auto"/>
            </w:pPr>
            <w:r>
              <w:lastRenderedPageBreak/>
              <w:t xml:space="preserve">What is the level of difficulty to prepare the set to be loaded into the system? </w:t>
            </w:r>
          </w:p>
        </w:tc>
        <w:tc>
          <w:tcPr>
            <w:tcW w:w="3390" w:type="dxa"/>
            <w:gridSpan w:val="2"/>
            <w:shd w:val="clear" w:color="auto" w:fill="auto"/>
            <w:tcMar>
              <w:top w:w="100" w:type="dxa"/>
              <w:left w:w="100" w:type="dxa"/>
              <w:bottom w:w="100" w:type="dxa"/>
              <w:right w:w="100" w:type="dxa"/>
            </w:tcMar>
          </w:tcPr>
          <w:p w:rsidR="004419C7" w:rsidRDefault="004419C7">
            <w:pPr>
              <w:widowControl w:val="0"/>
              <w:spacing w:line="240" w:lineRule="auto"/>
            </w:pPr>
            <w:r>
              <w:t>Very high</w:t>
            </w:r>
          </w:p>
        </w:tc>
        <w:tc>
          <w:tcPr>
            <w:tcW w:w="6465" w:type="dxa"/>
            <w:shd w:val="clear" w:color="auto" w:fill="auto"/>
            <w:tcMar>
              <w:top w:w="100" w:type="dxa"/>
              <w:left w:w="100" w:type="dxa"/>
              <w:bottom w:w="100" w:type="dxa"/>
              <w:right w:w="100" w:type="dxa"/>
            </w:tcMar>
          </w:tcPr>
          <w:p w:rsidR="004419C7" w:rsidRDefault="004419C7">
            <w:pPr>
              <w:widowControl w:val="0"/>
              <w:spacing w:line="240" w:lineRule="auto"/>
            </w:pPr>
            <w:r>
              <w:t>Low, Medium, High, and Very High refer to the amount of time and effort is needed to prepare the file to be batch imported.</w:t>
            </w:r>
          </w:p>
          <w:p w:rsidR="004419C7" w:rsidRDefault="004419C7">
            <w:pPr>
              <w:widowControl w:val="0"/>
              <w:spacing w:line="240" w:lineRule="auto"/>
            </w:pPr>
          </w:p>
          <w:p w:rsidR="004419C7" w:rsidRDefault="004419C7">
            <w:pPr>
              <w:widowControl w:val="0"/>
              <w:spacing w:line="240" w:lineRule="auto"/>
            </w:pPr>
            <w:r>
              <w:rPr>
                <w:b/>
              </w:rPr>
              <w:t>Low</w:t>
            </w:r>
            <w:r>
              <w:t>: Requires minimal difficulty. Can use tasks already created in MarcEdit. Regular updates can be scheduled. An example is eDuke’s Latin American Studies.</w:t>
            </w:r>
          </w:p>
          <w:p w:rsidR="004419C7" w:rsidRDefault="004419C7">
            <w:pPr>
              <w:widowControl w:val="0"/>
              <w:spacing w:line="240" w:lineRule="auto"/>
            </w:pPr>
          </w:p>
          <w:p w:rsidR="004419C7" w:rsidRDefault="004419C7">
            <w:pPr>
              <w:widowControl w:val="0"/>
              <w:spacing w:line="240" w:lineRule="auto"/>
            </w:pPr>
            <w:r>
              <w:rPr>
                <w:b/>
              </w:rPr>
              <w:t>Medium</w:t>
            </w:r>
            <w:r>
              <w:t>: The set requires some cleanup and manipulation. An existing task in MarcEdit can be applied with a couple of added touch ups to the set. Regular updates can be scheduled. An example is Film Platform.</w:t>
            </w:r>
          </w:p>
          <w:p w:rsidR="004419C7" w:rsidRDefault="004419C7">
            <w:pPr>
              <w:widowControl w:val="0"/>
              <w:spacing w:line="240" w:lineRule="auto"/>
            </w:pPr>
          </w:p>
          <w:p w:rsidR="004419C7" w:rsidRDefault="004419C7">
            <w:pPr>
              <w:widowControl w:val="0"/>
              <w:spacing w:line="240" w:lineRule="auto"/>
            </w:pPr>
            <w:r>
              <w:rPr>
                <w:b/>
              </w:rPr>
              <w:t>High</w:t>
            </w:r>
            <w:r>
              <w:t>: The set requires significant cleanup and prep. New tasks need to be created in MarcEdit to deal with the discrepancies. A script might have to be written to test urls. Regular updates can be scheduled and a clear procedure can be created. An example is O’Reilly Safari.</w:t>
            </w:r>
          </w:p>
          <w:p w:rsidR="004419C7" w:rsidRDefault="004419C7">
            <w:pPr>
              <w:widowControl w:val="0"/>
              <w:spacing w:line="240" w:lineRule="auto"/>
            </w:pPr>
          </w:p>
          <w:p w:rsidR="004419C7" w:rsidRDefault="004419C7">
            <w:pPr>
              <w:widowControl w:val="0"/>
              <w:spacing w:line="240" w:lineRule="auto"/>
            </w:pPr>
            <w:r>
              <w:rPr>
                <w:b/>
              </w:rPr>
              <w:t>Very High</w:t>
            </w:r>
            <w:r>
              <w:t>: The set requires significant cleanup and manipulation. New tasks need to be created in MarcEdit. Scripts might have to be written to test the urls. The set also needs more manual intervention because of the high level of inconsistency and accuracy. The sets are irregular. An example is TRAIL.</w:t>
            </w:r>
          </w:p>
        </w:tc>
      </w:tr>
    </w:tbl>
    <w:p w:rsidR="00E627C0" w:rsidRDefault="00E627C0"/>
    <w:p w:rsidR="00E627C0" w:rsidRDefault="00E627C0"/>
    <w:sectPr w:rsidR="00E627C0">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D07E3"/>
    <w:multiLevelType w:val="hybridMultilevel"/>
    <w:tmpl w:val="C2D8496C"/>
    <w:lvl w:ilvl="0" w:tplc="F712092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864FF"/>
    <w:multiLevelType w:val="hybridMultilevel"/>
    <w:tmpl w:val="35B24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DA1E76"/>
    <w:multiLevelType w:val="hybridMultilevel"/>
    <w:tmpl w:val="78F23D76"/>
    <w:lvl w:ilvl="0" w:tplc="6C3A5B7E">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7C0"/>
    <w:rsid w:val="000C0C8A"/>
    <w:rsid w:val="001373DA"/>
    <w:rsid w:val="002E431A"/>
    <w:rsid w:val="0035304F"/>
    <w:rsid w:val="004419C7"/>
    <w:rsid w:val="00734E1B"/>
    <w:rsid w:val="0088521A"/>
    <w:rsid w:val="00A47EBC"/>
    <w:rsid w:val="00A83BCE"/>
    <w:rsid w:val="00AB73E9"/>
    <w:rsid w:val="00B434CE"/>
    <w:rsid w:val="00B913CD"/>
    <w:rsid w:val="00BF6C54"/>
    <w:rsid w:val="00D039A9"/>
    <w:rsid w:val="00D80892"/>
    <w:rsid w:val="00E627C0"/>
    <w:rsid w:val="00EB3D8E"/>
    <w:rsid w:val="00ED3ED3"/>
    <w:rsid w:val="00EE4FF7"/>
    <w:rsid w:val="00FF3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3183D"/>
  <w15:docId w15:val="{76127855-E382-4DEF-BBA5-689751B5A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34E1B"/>
    <w:pPr>
      <w:ind w:left="720"/>
      <w:contextualSpacing/>
    </w:pPr>
  </w:style>
  <w:style w:type="character" w:styleId="Hyperlink">
    <w:name w:val="Hyperlink"/>
    <w:basedOn w:val="DefaultParagraphFont"/>
    <w:uiPriority w:val="99"/>
    <w:unhideWhenUsed/>
    <w:rsid w:val="00BF6C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13097F3C.dotm</Template>
  <TotalTime>82</TotalTime>
  <Pages>4</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Eustis</dc:creator>
  <cp:lastModifiedBy>Jennifer Eustis</cp:lastModifiedBy>
  <cp:revision>7</cp:revision>
  <dcterms:created xsi:type="dcterms:W3CDTF">2019-06-10T11:49:00Z</dcterms:created>
  <dcterms:modified xsi:type="dcterms:W3CDTF">2019-06-10T13:10:00Z</dcterms:modified>
</cp:coreProperties>
</file>