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Cardiopulmonary and Hematology Case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September 1,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Apply cardiovascular, respiratory, blood, and lymphatic terminology to a patient case.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Case Scenario</w:t>
      </w:r>
    </w:p>
    <w:p>
      <w:pPr>
        <w:spacing w:after="120" w:line="264" w:lineRule="auto"/>
      </w:pPr>
      <w:r>
        <w:rPr>
          <w:rFonts w:ascii="Calibri" w:hAnsi="Calibri"/>
          <w:b w:val="0"/>
          <w:i/>
          <w:color w:val="333333"/>
          <w:sz w:val="20"/>
        </w:rPr>
        <w:t>A patient presents with dyspnea, tachycardia, fatigue, and pallor. The provider orders a CBC and discusses possible anemia and cardiopulmonary follow-up.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Decode Case Terms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Break down each term and explain its clinical meaning.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00"/>
        <w:gridCol w:w="2500"/>
        <w:gridCol w:w="27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Word-Part Breakdown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dyspnea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tachycardia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fatigue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pallor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CBC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anemia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cardiopulmonary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System Connections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Explain how each body system may relate to the case.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Relevant Terms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Connection to Patient Symptoms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Cardiovascular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Respiratory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Blood / hematology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Lymphatic / immune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Patient-Friendly Explanation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Write a brief explanation of why the provider may order blood testing for fatigue, pallor, and shortness of breath.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 decoding: 7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System connections: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Patient explanation: 3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Cardiopulmonary and Hematology 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