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i w:val="0"/>
          <w:color w:val="173F52"/>
          <w:sz w:val="36"/>
        </w:rPr>
        <w:t>PN101 Medical Terminology</w:t>
      </w:r>
    </w:p>
    <w:p>
      <w:pPr>
        <w:spacing w:after="160"/>
        <w:jc w:val="center"/>
      </w:pPr>
      <w:r>
        <w:rPr>
          <w:rFonts w:ascii="Calibri" w:hAnsi="Calibri"/>
          <w:b/>
          <w:i w:val="0"/>
          <w:color w:val="173F52"/>
          <w:sz w:val="30"/>
        </w:rPr>
        <w:t>Digestive Terminology Case Study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188"/>
        <w:gridCol w:w="3100"/>
        <w:gridCol w:w="1188"/>
        <w:gridCol w:w="3884"/>
      </w:tblGrid>
      <w:tr>
        <w:tc>
          <w:tcPr>
            <w:tcW w:type="dxa" w:w="11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EAF2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Student Name: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____________________________</w:t>
            </w:r>
          </w:p>
        </w:tc>
        <w:tc>
          <w:tcPr>
            <w:tcW w:type="dxa" w:w="11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EAF2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Date:</w:t>
            </w:r>
          </w:p>
        </w:tc>
        <w:tc>
          <w:tcPr>
            <w:tcW w:type="dxa" w:w="38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____________________________</w:t>
            </w:r>
          </w:p>
        </w:tc>
      </w:tr>
      <w:tr>
        <w:tc>
          <w:tcPr>
            <w:tcW w:type="dxa" w:w="11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EAF2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Due Date: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August 4, 2026</w:t>
            </w:r>
          </w:p>
        </w:tc>
        <w:tc>
          <w:tcPr>
            <w:tcW w:type="dxa" w:w="11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EAF2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Points:</w:t>
            </w:r>
          </w:p>
        </w:tc>
        <w:tc>
          <w:tcPr>
            <w:tcW w:type="dxa" w:w="38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15</w:t>
            </w:r>
          </w:p>
        </w:tc>
      </w:tr>
    </w:tbl>
    <w:p>
      <w:pPr>
        <w:spacing w:before="240" w:after="80"/>
      </w:pPr>
      <w:r>
        <w:rPr>
          <w:rFonts w:ascii="Calibri" w:hAnsi="Calibri"/>
          <w:b/>
          <w:i w:val="0"/>
          <w:color w:val="173F52"/>
          <w:sz w:val="28"/>
        </w:rPr>
        <w:t>Purpose and Directions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  <w:color w:val="000000"/>
          <w:sz w:val="22"/>
        </w:rPr>
        <w:t>Decode digestive-system terminology, abbreviations, diagnostic procedures, and treatments in a patient case.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  <w:color w:val="000000"/>
          <w:sz w:val="22"/>
        </w:rPr>
        <w:t>Complete all sections. Submit the completed worksheet in Canvas as an uploaded file or type your answers directly into the Canvas text box.</w:t>
      </w:r>
    </w:p>
    <w:p>
      <w:pPr>
        <w:spacing w:before="240" w:after="80"/>
      </w:pPr>
      <w:r>
        <w:rPr>
          <w:rFonts w:ascii="Calibri" w:hAnsi="Calibri"/>
          <w:b/>
          <w:i w:val="0"/>
          <w:color w:val="173F52"/>
          <w:sz w:val="28"/>
        </w:rPr>
        <w:t>Case Scenario</w:t>
      </w:r>
    </w:p>
    <w:p>
      <w:pPr>
        <w:spacing w:after="120" w:line="264" w:lineRule="auto"/>
      </w:pPr>
      <w:r>
        <w:rPr>
          <w:rFonts w:ascii="Calibri" w:hAnsi="Calibri"/>
          <w:b w:val="0"/>
          <w:i/>
          <w:color w:val="333333"/>
          <w:sz w:val="20"/>
        </w:rPr>
        <w:t>A patient reports epigastric pain, nausea, and dysphagia. The provider documents possible gastritis and orders an abdominal ultrasound and endoscopy referral.</w:t>
      </w:r>
    </w:p>
    <w:p>
      <w:pPr>
        <w:spacing w:before="240" w:after="80"/>
      </w:pPr>
      <w:r>
        <w:rPr>
          <w:rFonts w:ascii="Calibri" w:hAnsi="Calibri"/>
          <w:b/>
          <w:i w:val="0"/>
          <w:color w:val="173F52"/>
          <w:sz w:val="28"/>
        </w:rPr>
        <w:t>Section A: Decode Digestive Terms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  <w:color w:val="000000"/>
          <w:sz w:val="22"/>
        </w:rPr>
        <w:t>Break down each term and explain its meaning.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900"/>
        <w:gridCol w:w="3400"/>
        <w:gridCol w:w="4060"/>
      </w:tblGrid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EAF2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Term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EAF2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Word-Part Breakdown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EAF2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Meaning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epigastric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br/>
              <w:br/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br/>
              <w:br/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dysphagia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br/>
              <w:br/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br/>
              <w:br/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gastritis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br/>
              <w:br/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br/>
              <w:br/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endoscopy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br/>
              <w:br/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br/>
              <w:br/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ultrasound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br/>
              <w:br/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br/>
              <w:br/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nausea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br/>
              <w:br/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br/>
              <w:br/>
            </w:r>
          </w:p>
        </w:tc>
      </w:tr>
    </w:tbl>
    <w:p>
      <w:pPr>
        <w:spacing w:before="240" w:after="80"/>
      </w:pPr>
      <w:r>
        <w:rPr>
          <w:rFonts w:ascii="Calibri" w:hAnsi="Calibri"/>
          <w:b/>
          <w:i w:val="0"/>
          <w:color w:val="173F52"/>
          <w:sz w:val="28"/>
        </w:rPr>
        <w:t>Section B: Clinical Documentation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  <w:color w:val="000000"/>
          <w:sz w:val="22"/>
        </w:rPr>
        <w:t>Identify three symptoms, two diagnostic procedures, and one possible condition from the case.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900"/>
        <w:gridCol w:w="3400"/>
        <w:gridCol w:w="4060"/>
      </w:tblGrid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EAF2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Category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EAF2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Term / Finding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EAF2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Plain-Language Meaning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Symptom 1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br/>
              <w:br/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br/>
              <w:br/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Symptom 2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br/>
              <w:br/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br/>
              <w:br/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Symptom 3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br/>
              <w:br/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br/>
              <w:br/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Diagnostic procedure 1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br/>
              <w:br/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br/>
              <w:br/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Diagnostic procedure 2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br/>
              <w:br/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br/>
              <w:br/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Possible condition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br/>
              <w:br/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br/>
              <w:br/>
            </w:r>
          </w:p>
        </w:tc>
      </w:tr>
    </w:tbl>
    <w:p>
      <w:pPr>
        <w:spacing w:before="240" w:after="80"/>
      </w:pPr>
      <w:r>
        <w:rPr>
          <w:rFonts w:ascii="Calibri" w:hAnsi="Calibri"/>
          <w:b/>
          <w:i w:val="0"/>
          <w:color w:val="173F52"/>
          <w:sz w:val="28"/>
        </w:rPr>
        <w:t>Section C: Patient Education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  <w:color w:val="000000"/>
          <w:sz w:val="22"/>
        </w:rPr>
        <w:t>Write a short patient-friendly explanation of what gastritis means and why testing may be ordered.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br/>
              <w:br/>
              <w:br/>
              <w:br/>
              <w:br/>
            </w:r>
          </w:p>
        </w:tc>
      </w:tr>
    </w:tbl>
    <w:p>
      <w:pPr>
        <w:spacing w:before="240" w:after="80"/>
      </w:pPr>
      <w:r>
        <w:rPr>
          <w:rFonts w:ascii="Calibri" w:hAnsi="Calibri"/>
          <w:b/>
          <w:i w:val="0"/>
          <w:color w:val="173F52"/>
          <w:sz w:val="28"/>
        </w:rPr>
        <w:t>Grading Checklist</w:t>
      </w:r>
    </w:p>
    <w:p>
      <w:pPr>
        <w:spacing w:after="40"/>
        <w:ind w:left="360" w:hanging="216"/>
      </w:pPr>
      <w:r>
        <w:rPr>
          <w:rFonts w:ascii="Calibri" w:hAnsi="Calibri"/>
          <w:b w:val="0"/>
          <w:i w:val="0"/>
          <w:color w:val="000000"/>
          <w:sz w:val="20"/>
        </w:rPr>
        <w:t xml:space="preserve">[ ] </w:t>
      </w:r>
      <w:r>
        <w:rPr>
          <w:rFonts w:ascii="Calibri" w:hAnsi="Calibri"/>
          <w:b w:val="0"/>
          <w:i w:val="0"/>
          <w:color w:val="000000"/>
          <w:sz w:val="20"/>
        </w:rPr>
        <w:t>Term decoding: 6 points</w:t>
      </w:r>
    </w:p>
    <w:p>
      <w:pPr>
        <w:spacing w:after="40"/>
        <w:ind w:left="360" w:hanging="216"/>
      </w:pPr>
      <w:r>
        <w:rPr>
          <w:rFonts w:ascii="Calibri" w:hAnsi="Calibri"/>
          <w:b w:val="0"/>
          <w:i w:val="0"/>
          <w:color w:val="000000"/>
          <w:sz w:val="20"/>
        </w:rPr>
        <w:t xml:space="preserve">[ ] </w:t>
      </w:r>
      <w:r>
        <w:rPr>
          <w:rFonts w:ascii="Calibri" w:hAnsi="Calibri"/>
          <w:b w:val="0"/>
          <w:i w:val="0"/>
          <w:color w:val="000000"/>
          <w:sz w:val="20"/>
        </w:rPr>
        <w:t>Case categorization: 5 points</w:t>
      </w:r>
    </w:p>
    <w:p>
      <w:pPr>
        <w:spacing w:after="40"/>
        <w:ind w:left="360" w:hanging="216"/>
      </w:pPr>
      <w:r>
        <w:rPr>
          <w:rFonts w:ascii="Calibri" w:hAnsi="Calibri"/>
          <w:b w:val="0"/>
          <w:i w:val="0"/>
          <w:color w:val="000000"/>
          <w:sz w:val="20"/>
        </w:rPr>
        <w:t xml:space="preserve">[ ] </w:t>
      </w:r>
      <w:r>
        <w:rPr>
          <w:rFonts w:ascii="Calibri" w:hAnsi="Calibri"/>
          <w:b w:val="0"/>
          <w:i w:val="0"/>
          <w:color w:val="000000"/>
          <w:sz w:val="20"/>
        </w:rPr>
        <w:t>Patient education response: 4 points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666666"/>
        <w:sz w:val="18"/>
      </w:rPr>
      <w:t>PN101 Medical Terminology | Digestive Terminology Case Study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