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Introduction to Nursing for Practical Nursing Students</w:t>
      </w:r>
    </w:p>
    <w:p>
      <w:pPr>
        <w:spacing w:after="240"/>
      </w:pPr>
      <w:r>
        <w:rPr>
          <w:color w:val="526571"/>
          <w:sz w:val="24"/>
        </w:rPr>
        <w:t>12-week practical nursing course syllabus and instructor buildout</w:t>
      </w:r>
    </w:p>
    <w:p>
      <w:pPr>
        <w:pStyle w:val="Heading1"/>
      </w:pPr>
      <w:r>
        <w:t>Course Description</w:t>
      </w:r>
    </w:p>
    <w:p>
      <w:r>
        <w:t>A 12-week introduction to nursing course for practical nursing students that explores the history and purpose of nursing, influential nursing leaders, the practical nurse role today, ethical and legal responsibilities, professional identity, and the impact students can make in patient care and the community.</w:t>
      </w:r>
    </w:p>
    <w:p>
      <w:pPr>
        <w:pStyle w:val="Heading1"/>
      </w:pPr>
      <w:r>
        <w:t>Course at a Glance</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CellMar>
          <w:top w:w="80" w:type="dxa"/>
          <w:start w:w="120" w:type="dxa"/>
          <w:bottom w:w="80" w:type="dxa"/>
          <w:end w:w="120" w:type="dxa"/>
        </w:tblCellMar>
      </w:tblPr>
      <w:tblGrid>
        <w:gridCol w:w="4680"/>
        <w:gridCol w:w="4680"/>
      </w:tblGrid>
      <w:tr>
        <w:tc>
          <w:tcPr>
            <w:tcW w:type="dxa" w:w="2100"/>
            <w:vAlign w:val="center"/>
            <w:shd w:fill="F2F4F7"/>
          </w:tcPr>
          <w:p>
            <w:pPr>
              <w:spacing w:after="0"/>
            </w:pPr>
            <w:r>
              <w:rPr>
                <w:b/>
                <w:color w:val="173F52"/>
              </w:rPr>
              <w:t>Item</w:t>
            </w:r>
          </w:p>
        </w:tc>
        <w:tc>
          <w:tcPr>
            <w:tcW w:type="dxa" w:w="7260"/>
            <w:vAlign w:val="center"/>
            <w:shd w:fill="F2F4F7"/>
          </w:tcPr>
          <w:p>
            <w:pPr>
              <w:spacing w:after="0"/>
            </w:pPr>
            <w:r>
              <w:rPr>
                <w:b/>
                <w:color w:val="173F52"/>
              </w:rPr>
              <w:t>Details</w:t>
            </w:r>
          </w:p>
        </w:tc>
      </w:tr>
      <w:tr>
        <w:tc>
          <w:tcPr>
            <w:tcW w:type="dxa" w:w="2100"/>
            <w:vAlign w:val="center"/>
          </w:tcPr>
          <w:p>
            <w:pPr>
              <w:spacing w:after="0"/>
            </w:pPr>
            <w:r>
              <w:t>Course Number</w:t>
            </w:r>
          </w:p>
        </w:tc>
        <w:tc>
          <w:tcPr>
            <w:tcW w:type="dxa" w:w="7260"/>
            <w:vAlign w:val="center"/>
          </w:tcPr>
          <w:p>
            <w:pPr>
              <w:spacing w:after="0"/>
            </w:pPr>
            <w:r>
              <w:t>PN-INTRO</w:t>
            </w:r>
          </w:p>
        </w:tc>
      </w:tr>
      <w:tr>
        <w:tc>
          <w:tcPr>
            <w:tcW w:type="dxa" w:w="2100"/>
            <w:vAlign w:val="center"/>
          </w:tcPr>
          <w:p>
            <w:pPr>
              <w:spacing w:after="0"/>
            </w:pPr>
            <w:r>
              <w:t>Program</w:t>
            </w:r>
          </w:p>
        </w:tc>
        <w:tc>
          <w:tcPr>
            <w:tcW w:type="dxa" w:w="7260"/>
            <w:vAlign w:val="center"/>
          </w:tcPr>
          <w:p>
            <w:pPr>
              <w:spacing w:after="0"/>
            </w:pPr>
            <w:r>
              <w:t>Practical Nursing</w:t>
            </w:r>
          </w:p>
        </w:tc>
      </w:tr>
      <w:tr>
        <w:tc>
          <w:tcPr>
            <w:tcW w:type="dxa" w:w="2100"/>
            <w:vAlign w:val="center"/>
          </w:tcPr>
          <w:p>
            <w:pPr>
              <w:spacing w:after="0"/>
            </w:pPr>
            <w:r>
              <w:t>Length</w:t>
            </w:r>
          </w:p>
        </w:tc>
        <w:tc>
          <w:tcPr>
            <w:tcW w:type="dxa" w:w="7260"/>
            <w:vAlign w:val="center"/>
          </w:tcPr>
          <w:p>
            <w:pPr>
              <w:spacing w:after="0"/>
            </w:pPr>
            <w:r>
              <w:t>12 weeks</w:t>
            </w:r>
          </w:p>
        </w:tc>
      </w:tr>
      <w:tr>
        <w:tc>
          <w:tcPr>
            <w:tcW w:type="dxa" w:w="2100"/>
            <w:vAlign w:val="center"/>
          </w:tcPr>
          <w:p>
            <w:pPr>
              <w:spacing w:after="0"/>
            </w:pPr>
            <w:r>
              <w:t>Contact Hours</w:t>
            </w:r>
          </w:p>
        </w:tc>
        <w:tc>
          <w:tcPr>
            <w:tcW w:type="dxa" w:w="7260"/>
            <w:vAlign w:val="center"/>
          </w:tcPr>
          <w:p>
            <w:pPr>
              <w:spacing w:after="0"/>
            </w:pPr>
            <w:r>
              <w:t>48 hours</w:t>
            </w:r>
          </w:p>
        </w:tc>
      </w:tr>
      <w:tr>
        <w:tc>
          <w:tcPr>
            <w:tcW w:type="dxa" w:w="2100"/>
            <w:vAlign w:val="center"/>
          </w:tcPr>
          <w:p>
            <w:pPr>
              <w:spacing w:after="0"/>
            </w:pPr>
            <w:r>
              <w:t>Credits</w:t>
            </w:r>
          </w:p>
        </w:tc>
        <w:tc>
          <w:tcPr>
            <w:tcW w:type="dxa" w:w="7260"/>
            <w:vAlign w:val="center"/>
          </w:tcPr>
          <w:p>
            <w:pPr>
              <w:spacing w:after="0"/>
            </w:pPr>
            <w:r>
              <w:t>3 credits</w:t>
            </w:r>
          </w:p>
        </w:tc>
      </w:tr>
      <w:tr>
        <w:tc>
          <w:tcPr>
            <w:tcW w:type="dxa" w:w="2100"/>
            <w:vAlign w:val="center"/>
          </w:tcPr>
          <w:p>
            <w:pPr>
              <w:spacing w:after="0"/>
            </w:pPr>
            <w:r>
              <w:t>Assessments</w:t>
            </w:r>
          </w:p>
        </w:tc>
        <w:tc>
          <w:tcPr>
            <w:tcW w:type="dxa" w:w="7260"/>
            <w:vAlign w:val="center"/>
          </w:tcPr>
          <w:p>
            <w:pPr>
              <w:spacing w:after="0"/>
            </w:pPr>
            <w:r>
              <w:t>Biweekly quizzes in Weeks 2, 4, 8, and 10; midterm in Week 6; cumulative final in Week 12</w:t>
            </w:r>
          </w:p>
        </w:tc>
      </w:tr>
    </w:tbl>
    <w:p>
      <w:pPr>
        <w:pStyle w:val="Heading1"/>
      </w:pPr>
      <w:r>
        <w:t>Purpose of Nursing</w:t>
      </w:r>
    </w:p>
    <w:p>
      <w:r>
        <w:t>Nursing exists to protect and promote health, prevent illness, relieve suffering, support healing, teach patients and families, advocate for safe care, and preserve human dignity. Earlier nursing was often informal, religious, military, or domestic caregiving. Today, nursing is a licensed, educated, accountable health profession that uses evidence, teamwork, technology, ethics, and clinical judgment.</w:t>
      </w:r>
    </w:p>
    <w:p>
      <w:r>
        <w:t>Practical nursing students make an impact by learning safe habits early: observing carefully, reporting changes promptly, communicating respectfully, protecting privacy, preventing infection, helping patients with basic needs, and treating every person as worthy of dignity.</w:t>
      </w:r>
    </w:p>
    <w:p>
      <w:pPr>
        <w:pStyle w:val="Heading1"/>
      </w:pPr>
      <w:r>
        <w:t>Course Objectives</w:t>
      </w:r>
    </w:p>
    <w:p>
      <w:pPr>
        <w:pStyle w:val="ListBullet"/>
        <w:spacing w:after="80"/>
      </w:pPr>
      <w:r>
        <w:t>Explain how nursing developed from early caregiving and hospital reform into today's evidence-informed, patient-centered profession.</w:t>
      </w:r>
    </w:p>
    <w:p>
      <w:pPr>
        <w:pStyle w:val="ListBullet"/>
        <w:spacing w:after="80"/>
      </w:pPr>
      <w:r>
        <w:t>Describe the contributions of selected nursing leaders and connect their work to modern practical nursing practice.</w:t>
      </w:r>
    </w:p>
    <w:p>
      <w:pPr>
        <w:pStyle w:val="ListBullet"/>
        <w:spacing w:after="80"/>
      </w:pPr>
      <w:r>
        <w:t>Identify the purpose of nursing, including health promotion, illness prevention, comfort, advocacy, safety, teaching, and support across the lifespan.</w:t>
      </w:r>
    </w:p>
    <w:p>
      <w:pPr>
        <w:pStyle w:val="ListBullet"/>
        <w:spacing w:after="80"/>
      </w:pPr>
      <w:r>
        <w:t>Compare nursing practice in earlier eras with nursing today, including changes in education, technology, infection control, documentation, patient rights, teamwork, and cultural expectations.</w:t>
      </w:r>
    </w:p>
    <w:p>
      <w:pPr>
        <w:pStyle w:val="ListBullet"/>
        <w:spacing w:after="80"/>
      </w:pPr>
      <w:r>
        <w:t>Apply beginning ethical principles, including autonomy, beneficence, nonmaleficence, justice, fidelity, veracity, confidentiality, professional boundaries, and respect for human dignity.</w:t>
      </w:r>
    </w:p>
    <w:p>
      <w:pPr>
        <w:pStyle w:val="ListBullet"/>
        <w:spacing w:after="80"/>
      </w:pPr>
      <w:r>
        <w:t>Describe legal responsibilities of the practical nurse, including scope of practice, delegation, documentation, privacy, informed consent, negligence, malpractice, incident reporting, and mandatory reporting.</w:t>
      </w:r>
    </w:p>
    <w:p>
      <w:pPr>
        <w:pStyle w:val="ListBullet"/>
        <w:spacing w:after="80"/>
      </w:pPr>
      <w:r>
        <w:t>Demonstrate beginning professional behaviors through communication, accountability, teamwork, self-reflection, and readiness to learn.</w:t>
      </w:r>
    </w:p>
    <w:p>
      <w:pPr>
        <w:pStyle w:val="ListBullet"/>
        <w:spacing w:after="80"/>
      </w:pPr>
      <w:r>
        <w:t>Explain how practical nursing students can make a positive impact through safe care, compassion, advocacy, health teaching, cultural humility, and community service.</w:t>
      </w:r>
    </w:p>
    <w:p>
      <w:pPr>
        <w:pStyle w:val="Heading1"/>
      </w:pPr>
      <w:r>
        <w:t>Required and Assigned Resources</w:t>
      </w:r>
    </w:p>
    <w:p>
      <w:pPr>
        <w:pStyle w:val="ListBullet"/>
        <w:spacing w:after="80"/>
      </w:pPr>
      <w:r>
        <w:t>Adopted practical nursing fundamentals textbook or instructor-provided readings</w:t>
      </w:r>
    </w:p>
    <w:p>
      <w:pPr>
        <w:pStyle w:val="ListBullet"/>
        <w:spacing w:after="80"/>
      </w:pPr>
      <w:r>
        <w:t>Current student handbook and program policies</w:t>
      </w:r>
    </w:p>
    <w:p>
      <w:pPr>
        <w:pStyle w:val="ListBullet"/>
        <w:spacing w:after="80"/>
      </w:pPr>
      <w:r>
        <w:t>Current state nurse practice act and board of nursing guidance as assigned by instructor</w:t>
      </w:r>
    </w:p>
    <w:p>
      <w:pPr>
        <w:pStyle w:val="ListBullet"/>
        <w:spacing w:after="80"/>
      </w:pPr>
      <w:r>
        <w:t>Clinical site policies as assigned by instructor</w:t>
      </w:r>
    </w:p>
    <w:p>
      <w:pPr>
        <w:pStyle w:val="Heading1"/>
      </w:pPr>
      <w:r>
        <w:t>Major Ethical and Legal Topics</w:t>
      </w:r>
    </w:p>
    <w:p>
      <w:pPr>
        <w:pStyle w:val="ListBullet"/>
        <w:spacing w:after="80"/>
      </w:pPr>
      <w:r>
        <w:t>Ethical principles: autonomy, beneficence, nonmaleficence, justice, fidelity, veracity, accountability, confidentiality, and respect for dignity.</w:t>
      </w:r>
    </w:p>
    <w:p>
      <w:pPr>
        <w:pStyle w:val="ListBullet"/>
        <w:spacing w:after="80"/>
      </w:pPr>
      <w:r>
        <w:t>Professional boundaries, social media caution, privacy, patient rights, informed consent, refusal of care, and culturally respectful care.</w:t>
      </w:r>
    </w:p>
    <w:p>
      <w:pPr>
        <w:pStyle w:val="ListBullet"/>
        <w:spacing w:after="80"/>
      </w:pPr>
      <w:r>
        <w:t>Legal foundations: scope of practice, student nurse limitations, delegation, supervision, negligence, malpractice, abandonment, incident reporting, mandatory reporting, and accurate documentation.</w:t>
      </w:r>
    </w:p>
    <w:p>
      <w:pPr>
        <w:pStyle w:val="ListBullet"/>
        <w:spacing w:after="80"/>
      </w:pPr>
      <w:r>
        <w:t>Ethical and legal instruction is introductory and must be reinforced by the current student handbook, clinical site policy, state nurse practice act, board of nursing rules, and instructor guidance.</w:t>
      </w:r>
    </w:p>
    <w:p>
      <w:pPr>
        <w:pStyle w:val="Heading1"/>
      </w:pPr>
      <w:r>
        <w:t>Grading and Assessment</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CellMar>
          <w:top w:w="80" w:type="dxa"/>
          <w:start w:w="120" w:type="dxa"/>
          <w:bottom w:w="80" w:type="dxa"/>
          <w:end w:w="120" w:type="dxa"/>
        </w:tblCellMar>
      </w:tblPr>
      <w:tblGrid>
        <w:gridCol w:w="4680"/>
        <w:gridCol w:w="4680"/>
      </w:tblGrid>
      <w:tr>
        <w:tc>
          <w:tcPr>
            <w:tcW w:type="dxa" w:w="7400"/>
            <w:vAlign w:val="center"/>
            <w:shd w:fill="F2F4F7"/>
          </w:tcPr>
          <w:p>
            <w:pPr>
              <w:spacing w:after="0"/>
            </w:pPr>
            <w:r>
              <w:rPr>
                <w:b/>
                <w:color w:val="173F52"/>
              </w:rPr>
              <w:t>Grade Item</w:t>
            </w:r>
          </w:p>
        </w:tc>
        <w:tc>
          <w:tcPr>
            <w:tcW w:type="dxa" w:w="1960"/>
            <w:vAlign w:val="center"/>
            <w:shd w:fill="F2F4F7"/>
          </w:tcPr>
          <w:p>
            <w:pPr>
              <w:spacing w:after="0"/>
            </w:pPr>
            <w:r>
              <w:rPr>
                <w:b/>
                <w:color w:val="173F52"/>
              </w:rPr>
              <w:t>Points</w:t>
            </w:r>
          </w:p>
        </w:tc>
      </w:tr>
      <w:tr>
        <w:tc>
          <w:tcPr>
            <w:tcW w:type="dxa" w:w="7400"/>
            <w:vAlign w:val="center"/>
          </w:tcPr>
          <w:p>
            <w:pPr>
              <w:spacing w:after="0"/>
            </w:pPr>
            <w:r>
              <w:t>Class Participation and Professionalism</w:t>
            </w:r>
          </w:p>
        </w:tc>
        <w:tc>
          <w:tcPr>
            <w:tcW w:type="dxa" w:w="1960"/>
            <w:vAlign w:val="center"/>
          </w:tcPr>
          <w:p>
            <w:pPr>
              <w:spacing w:after="0"/>
            </w:pPr>
            <w:r>
              <w:t>100</w:t>
            </w:r>
          </w:p>
        </w:tc>
      </w:tr>
      <w:tr>
        <w:tc>
          <w:tcPr>
            <w:tcW w:type="dxa" w:w="7400"/>
            <w:vAlign w:val="center"/>
          </w:tcPr>
          <w:p>
            <w:pPr>
              <w:spacing w:after="0"/>
            </w:pPr>
            <w:r>
              <w:t>Professional Beginning Reflection</w:t>
            </w:r>
          </w:p>
        </w:tc>
        <w:tc>
          <w:tcPr>
            <w:tcW w:type="dxa" w:w="1960"/>
            <w:vAlign w:val="center"/>
          </w:tcPr>
          <w:p>
            <w:pPr>
              <w:spacing w:after="0"/>
            </w:pPr>
            <w:r>
              <w:t>50</w:t>
            </w:r>
          </w:p>
        </w:tc>
      </w:tr>
      <w:tr>
        <w:tc>
          <w:tcPr>
            <w:tcW w:type="dxa" w:w="7400"/>
            <w:vAlign w:val="center"/>
          </w:tcPr>
          <w:p>
            <w:pPr>
              <w:spacing w:after="0"/>
            </w:pPr>
            <w:r>
              <w:t>Quiz 1: Weeks 1-2</w:t>
            </w:r>
          </w:p>
        </w:tc>
        <w:tc>
          <w:tcPr>
            <w:tcW w:type="dxa" w:w="1960"/>
            <w:vAlign w:val="center"/>
          </w:tcPr>
          <w:p>
            <w:pPr>
              <w:spacing w:after="0"/>
            </w:pPr>
            <w:r>
              <w:t>50</w:t>
            </w:r>
          </w:p>
        </w:tc>
      </w:tr>
      <w:tr>
        <w:tc>
          <w:tcPr>
            <w:tcW w:type="dxa" w:w="7400"/>
            <w:vAlign w:val="center"/>
          </w:tcPr>
          <w:p>
            <w:pPr>
              <w:spacing w:after="0"/>
            </w:pPr>
            <w:r>
              <w:t>Therapeutic Communication Practice</w:t>
            </w:r>
          </w:p>
        </w:tc>
        <w:tc>
          <w:tcPr>
            <w:tcW w:type="dxa" w:w="1960"/>
            <w:vAlign w:val="center"/>
          </w:tcPr>
          <w:p>
            <w:pPr>
              <w:spacing w:after="0"/>
            </w:pPr>
            <w:r>
              <w:t>50</w:t>
            </w:r>
          </w:p>
        </w:tc>
      </w:tr>
      <w:tr>
        <w:tc>
          <w:tcPr>
            <w:tcW w:type="dxa" w:w="7400"/>
            <w:vAlign w:val="center"/>
          </w:tcPr>
          <w:p>
            <w:pPr>
              <w:spacing w:after="0"/>
            </w:pPr>
            <w:r>
              <w:t>Quiz 2: Weeks 3-4</w:t>
            </w:r>
          </w:p>
        </w:tc>
        <w:tc>
          <w:tcPr>
            <w:tcW w:type="dxa" w:w="1960"/>
            <w:vAlign w:val="center"/>
          </w:tcPr>
          <w:p>
            <w:pPr>
              <w:spacing w:after="0"/>
            </w:pPr>
            <w:r>
              <w:t>50</w:t>
            </w:r>
          </w:p>
        </w:tc>
      </w:tr>
      <w:tr>
        <w:tc>
          <w:tcPr>
            <w:tcW w:type="dxa" w:w="7400"/>
            <w:vAlign w:val="center"/>
          </w:tcPr>
          <w:p>
            <w:pPr>
              <w:spacing w:after="0"/>
            </w:pPr>
            <w:r>
              <w:t>Ethics Case Response</w:t>
            </w:r>
          </w:p>
        </w:tc>
        <w:tc>
          <w:tcPr>
            <w:tcW w:type="dxa" w:w="1960"/>
            <w:vAlign w:val="center"/>
          </w:tcPr>
          <w:p>
            <w:pPr>
              <w:spacing w:after="0"/>
            </w:pPr>
            <w:r>
              <w:t>75</w:t>
            </w:r>
          </w:p>
        </w:tc>
      </w:tr>
      <w:tr>
        <w:tc>
          <w:tcPr>
            <w:tcW w:type="dxa" w:w="7400"/>
            <w:vAlign w:val="center"/>
          </w:tcPr>
          <w:p>
            <w:pPr>
              <w:spacing w:after="0"/>
            </w:pPr>
            <w:r>
              <w:t>Midterm Exam: Weeks 1-6</w:t>
            </w:r>
          </w:p>
        </w:tc>
        <w:tc>
          <w:tcPr>
            <w:tcW w:type="dxa" w:w="1960"/>
            <w:vAlign w:val="center"/>
          </w:tcPr>
          <w:p>
            <w:pPr>
              <w:spacing w:after="0"/>
            </w:pPr>
            <w:r>
              <w:t>150</w:t>
            </w:r>
          </w:p>
        </w:tc>
      </w:tr>
      <w:tr>
        <w:tc>
          <w:tcPr>
            <w:tcW w:type="dxa" w:w="7400"/>
            <w:vAlign w:val="center"/>
          </w:tcPr>
          <w:p>
            <w:pPr>
              <w:spacing w:after="0"/>
            </w:pPr>
            <w:r>
              <w:t>Health Equity Reflection</w:t>
            </w:r>
          </w:p>
        </w:tc>
        <w:tc>
          <w:tcPr>
            <w:tcW w:type="dxa" w:w="1960"/>
            <w:vAlign w:val="center"/>
          </w:tcPr>
          <w:p>
            <w:pPr>
              <w:spacing w:after="0"/>
            </w:pPr>
            <w:r>
              <w:t>50</w:t>
            </w:r>
          </w:p>
        </w:tc>
      </w:tr>
      <w:tr>
        <w:tc>
          <w:tcPr>
            <w:tcW w:type="dxa" w:w="7400"/>
            <w:vAlign w:val="center"/>
          </w:tcPr>
          <w:p>
            <w:pPr>
              <w:spacing w:after="0"/>
            </w:pPr>
            <w:r>
              <w:t>Quiz 3: Weeks 7-8</w:t>
            </w:r>
          </w:p>
        </w:tc>
        <w:tc>
          <w:tcPr>
            <w:tcW w:type="dxa" w:w="1960"/>
            <w:vAlign w:val="center"/>
          </w:tcPr>
          <w:p>
            <w:pPr>
              <w:spacing w:after="0"/>
            </w:pPr>
            <w:r>
              <w:t>50</w:t>
            </w:r>
          </w:p>
        </w:tc>
      </w:tr>
      <w:tr>
        <w:tc>
          <w:tcPr>
            <w:tcW w:type="dxa" w:w="7400"/>
            <w:vAlign w:val="center"/>
          </w:tcPr>
          <w:p>
            <w:pPr>
              <w:spacing w:after="0"/>
            </w:pPr>
            <w:r>
              <w:t>Clinical Judgment Worksheet</w:t>
            </w:r>
          </w:p>
        </w:tc>
        <w:tc>
          <w:tcPr>
            <w:tcW w:type="dxa" w:w="1960"/>
            <w:vAlign w:val="center"/>
          </w:tcPr>
          <w:p>
            <w:pPr>
              <w:spacing w:after="0"/>
            </w:pPr>
            <w:r>
              <w:t>75</w:t>
            </w:r>
          </w:p>
        </w:tc>
      </w:tr>
      <w:tr>
        <w:tc>
          <w:tcPr>
            <w:tcW w:type="dxa" w:w="7400"/>
            <w:vAlign w:val="center"/>
          </w:tcPr>
          <w:p>
            <w:pPr>
              <w:spacing w:after="0"/>
            </w:pPr>
            <w:r>
              <w:t>Quiz 4: Weeks 9-10</w:t>
            </w:r>
          </w:p>
        </w:tc>
        <w:tc>
          <w:tcPr>
            <w:tcW w:type="dxa" w:w="1960"/>
            <w:vAlign w:val="center"/>
          </w:tcPr>
          <w:p>
            <w:pPr>
              <w:spacing w:after="0"/>
            </w:pPr>
            <w:r>
              <w:t>50</w:t>
            </w:r>
          </w:p>
        </w:tc>
      </w:tr>
      <w:tr>
        <w:tc>
          <w:tcPr>
            <w:tcW w:type="dxa" w:w="7400"/>
            <w:vAlign w:val="center"/>
          </w:tcPr>
          <w:p>
            <w:pPr>
              <w:spacing w:after="0"/>
            </w:pPr>
            <w:r>
              <w:t>Professional Development Plan</w:t>
            </w:r>
          </w:p>
        </w:tc>
        <w:tc>
          <w:tcPr>
            <w:tcW w:type="dxa" w:w="1960"/>
            <w:vAlign w:val="center"/>
          </w:tcPr>
          <w:p>
            <w:pPr>
              <w:spacing w:after="0"/>
            </w:pPr>
            <w:r>
              <w:t>50</w:t>
            </w:r>
          </w:p>
        </w:tc>
      </w:tr>
      <w:tr>
        <w:tc>
          <w:tcPr>
            <w:tcW w:type="dxa" w:w="7400"/>
            <w:vAlign w:val="center"/>
          </w:tcPr>
          <w:p>
            <w:pPr>
              <w:spacing w:after="0"/>
            </w:pPr>
            <w:r>
              <w:t>Final Impact Presentation</w:t>
            </w:r>
          </w:p>
        </w:tc>
        <w:tc>
          <w:tcPr>
            <w:tcW w:type="dxa" w:w="1960"/>
            <w:vAlign w:val="center"/>
          </w:tcPr>
          <w:p>
            <w:pPr>
              <w:spacing w:after="0"/>
            </w:pPr>
            <w:r>
              <w:t>50</w:t>
            </w:r>
          </w:p>
        </w:tc>
      </w:tr>
      <w:tr>
        <w:tc>
          <w:tcPr>
            <w:tcW w:type="dxa" w:w="7400"/>
            <w:vAlign w:val="center"/>
          </w:tcPr>
          <w:p>
            <w:pPr>
              <w:spacing w:after="0"/>
            </w:pPr>
            <w:r>
              <w:t>Cumulative Final Exam</w:t>
            </w:r>
          </w:p>
        </w:tc>
        <w:tc>
          <w:tcPr>
            <w:tcW w:type="dxa" w:w="1960"/>
            <w:vAlign w:val="center"/>
          </w:tcPr>
          <w:p>
            <w:pPr>
              <w:spacing w:after="0"/>
            </w:pPr>
            <w:r>
              <w:t>200</w:t>
            </w:r>
          </w:p>
        </w:tc>
      </w:tr>
    </w:tbl>
    <w:p>
      <w:pPr>
        <w:spacing w:before="80"/>
      </w:pPr>
      <w:r>
        <w:rPr>
          <w:b/>
        </w:rPr>
        <w:t>Total possible points: 1050</w:t>
      </w:r>
    </w:p>
    <w:p>
      <w:pPr>
        <w:pStyle w:val="Heading1"/>
      </w:pPr>
      <w:r>
        <w:t>Quiz, Midterm, and Final Schedule</w:t>
      </w:r>
    </w:p>
    <w:tbl>
      <w:tblPr>
        <w:tblW w:type="dxa" w:w="9360"/>
        <w:jc w:val="left"/>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CellMar>
          <w:top w:w="80" w:type="dxa"/>
          <w:start w:w="120" w:type="dxa"/>
          <w:bottom w:w="80" w:type="dxa"/>
          <w:end w:w="120" w:type="dxa"/>
        </w:tblCellMar>
      </w:tblPr>
      <w:tblGrid>
        <w:gridCol w:w="3120"/>
        <w:gridCol w:w="3120"/>
        <w:gridCol w:w="3120"/>
      </w:tblGrid>
      <w:tr>
        <w:tc>
          <w:tcPr>
            <w:tcW w:type="dxa" w:w="1400"/>
            <w:vAlign w:val="center"/>
            <w:shd w:fill="F2F4F7"/>
          </w:tcPr>
          <w:p>
            <w:pPr>
              <w:spacing w:after="0"/>
            </w:pPr>
            <w:r>
              <w:rPr>
                <w:b/>
                <w:color w:val="173F52"/>
              </w:rPr>
              <w:t>Week</w:t>
            </w:r>
          </w:p>
        </w:tc>
        <w:tc>
          <w:tcPr>
            <w:tcW w:type="dxa" w:w="2400"/>
            <w:vAlign w:val="center"/>
            <w:shd w:fill="F2F4F7"/>
          </w:tcPr>
          <w:p>
            <w:pPr>
              <w:spacing w:after="0"/>
            </w:pPr>
            <w:r>
              <w:rPr>
                <w:b/>
                <w:color w:val="173F52"/>
              </w:rPr>
              <w:t>Assessment</w:t>
            </w:r>
          </w:p>
        </w:tc>
        <w:tc>
          <w:tcPr>
            <w:tcW w:type="dxa" w:w="5560"/>
            <w:vAlign w:val="center"/>
            <w:shd w:fill="F2F4F7"/>
          </w:tcPr>
          <w:p>
            <w:pPr>
              <w:spacing w:after="0"/>
            </w:pPr>
            <w:r>
              <w:rPr>
                <w:b/>
                <w:color w:val="173F52"/>
              </w:rPr>
              <w:t>Coverage</w:t>
            </w:r>
          </w:p>
        </w:tc>
      </w:tr>
      <w:tr>
        <w:tc>
          <w:tcPr>
            <w:tcW w:type="dxa" w:w="1400"/>
            <w:vAlign w:val="center"/>
          </w:tcPr>
          <w:p>
            <w:pPr>
              <w:spacing w:after="0"/>
            </w:pPr>
            <w:r>
              <w:t>Week 2</w:t>
            </w:r>
          </w:p>
        </w:tc>
        <w:tc>
          <w:tcPr>
            <w:tcW w:type="dxa" w:w="2400"/>
            <w:vAlign w:val="center"/>
          </w:tcPr>
          <w:p>
            <w:pPr>
              <w:spacing w:after="0"/>
            </w:pPr>
            <w:r>
              <w:t>Quiz 1</w:t>
            </w:r>
          </w:p>
        </w:tc>
        <w:tc>
          <w:tcPr>
            <w:tcW w:type="dxa" w:w="5560"/>
            <w:vAlign w:val="center"/>
          </w:tcPr>
          <w:p>
            <w:pPr>
              <w:spacing w:after="0"/>
            </w:pPr>
            <w:r>
              <w:t>Weeks 1-2: nursing identity, purpose, history, and leaders</w:t>
            </w:r>
          </w:p>
        </w:tc>
      </w:tr>
      <w:tr>
        <w:tc>
          <w:tcPr>
            <w:tcW w:type="dxa" w:w="1400"/>
            <w:vAlign w:val="center"/>
          </w:tcPr>
          <w:p>
            <w:pPr>
              <w:spacing w:after="0"/>
            </w:pPr>
            <w:r>
              <w:t>Week 4</w:t>
            </w:r>
          </w:p>
        </w:tc>
        <w:tc>
          <w:tcPr>
            <w:tcW w:type="dxa" w:w="2400"/>
            <w:vAlign w:val="center"/>
          </w:tcPr>
          <w:p>
            <w:pPr>
              <w:spacing w:after="0"/>
            </w:pPr>
            <w:r>
              <w:t>Quiz 2</w:t>
            </w:r>
          </w:p>
        </w:tc>
        <w:tc>
          <w:tcPr>
            <w:tcW w:type="dxa" w:w="5560"/>
            <w:vAlign w:val="center"/>
          </w:tcPr>
          <w:p>
            <w:pPr>
              <w:spacing w:after="0"/>
            </w:pPr>
            <w:r>
              <w:t>Weeks 3-4: caring, communication, team roles, scope, and delegation</w:t>
            </w:r>
          </w:p>
        </w:tc>
      </w:tr>
      <w:tr>
        <w:tc>
          <w:tcPr>
            <w:tcW w:type="dxa" w:w="1400"/>
            <w:vAlign w:val="center"/>
          </w:tcPr>
          <w:p>
            <w:pPr>
              <w:spacing w:after="0"/>
            </w:pPr>
            <w:r>
              <w:t>Week 6</w:t>
            </w:r>
          </w:p>
        </w:tc>
        <w:tc>
          <w:tcPr>
            <w:tcW w:type="dxa" w:w="2400"/>
            <w:vAlign w:val="center"/>
          </w:tcPr>
          <w:p>
            <w:pPr>
              <w:spacing w:after="0"/>
            </w:pPr>
            <w:r>
              <w:t>Midterm Exam</w:t>
            </w:r>
          </w:p>
        </w:tc>
        <w:tc>
          <w:tcPr>
            <w:tcW w:type="dxa" w:w="5560"/>
            <w:vAlign w:val="center"/>
          </w:tcPr>
          <w:p>
            <w:pPr>
              <w:spacing w:after="0"/>
            </w:pPr>
            <w:r>
              <w:t>Weeks 1-6: nursing history, leaders, ethics, legal foundations, professionalism</w:t>
            </w:r>
          </w:p>
        </w:tc>
      </w:tr>
      <w:tr>
        <w:tc>
          <w:tcPr>
            <w:tcW w:type="dxa" w:w="1400"/>
            <w:vAlign w:val="center"/>
          </w:tcPr>
          <w:p>
            <w:pPr>
              <w:spacing w:after="0"/>
            </w:pPr>
            <w:r>
              <w:t>Week 8</w:t>
            </w:r>
          </w:p>
        </w:tc>
        <w:tc>
          <w:tcPr>
            <w:tcW w:type="dxa" w:w="2400"/>
            <w:vAlign w:val="center"/>
          </w:tcPr>
          <w:p>
            <w:pPr>
              <w:spacing w:after="0"/>
            </w:pPr>
            <w:r>
              <w:t>Quiz 3</w:t>
            </w:r>
          </w:p>
        </w:tc>
        <w:tc>
          <w:tcPr>
            <w:tcW w:type="dxa" w:w="5560"/>
            <w:vAlign w:val="center"/>
          </w:tcPr>
          <w:p>
            <w:pPr>
              <w:spacing w:after="0"/>
            </w:pPr>
            <w:r>
              <w:t>Weeks 7-8: culture, health equity, safety, quality, and infection prevention</w:t>
            </w:r>
          </w:p>
        </w:tc>
      </w:tr>
      <w:tr>
        <w:tc>
          <w:tcPr>
            <w:tcW w:type="dxa" w:w="1400"/>
            <w:vAlign w:val="center"/>
          </w:tcPr>
          <w:p>
            <w:pPr>
              <w:spacing w:after="0"/>
            </w:pPr>
            <w:r>
              <w:t>Week 10</w:t>
            </w:r>
          </w:p>
        </w:tc>
        <w:tc>
          <w:tcPr>
            <w:tcW w:type="dxa" w:w="2400"/>
            <w:vAlign w:val="center"/>
          </w:tcPr>
          <w:p>
            <w:pPr>
              <w:spacing w:after="0"/>
            </w:pPr>
            <w:r>
              <w:t>Quiz 4</w:t>
            </w:r>
          </w:p>
        </w:tc>
        <w:tc>
          <w:tcPr>
            <w:tcW w:type="dxa" w:w="5560"/>
            <w:vAlign w:val="center"/>
          </w:tcPr>
          <w:p>
            <w:pPr>
              <w:spacing w:after="0"/>
            </w:pPr>
            <w:r>
              <w:t>Weeks 9-10: nursing process, clinical judgment, teaching, and community impact</w:t>
            </w:r>
          </w:p>
        </w:tc>
      </w:tr>
      <w:tr>
        <w:tc>
          <w:tcPr>
            <w:tcW w:type="dxa" w:w="1400"/>
            <w:vAlign w:val="center"/>
          </w:tcPr>
          <w:p>
            <w:pPr>
              <w:spacing w:after="0"/>
            </w:pPr>
            <w:r>
              <w:t>Week 12</w:t>
            </w:r>
          </w:p>
        </w:tc>
        <w:tc>
          <w:tcPr>
            <w:tcW w:type="dxa" w:w="2400"/>
            <w:vAlign w:val="center"/>
          </w:tcPr>
          <w:p>
            <w:pPr>
              <w:spacing w:after="0"/>
            </w:pPr>
            <w:r>
              <w:t>Cumulative Final Exam</w:t>
            </w:r>
          </w:p>
        </w:tc>
        <w:tc>
          <w:tcPr>
            <w:tcW w:type="dxa" w:w="5560"/>
            <w:vAlign w:val="center"/>
          </w:tcPr>
          <w:p>
            <w:pPr>
              <w:spacing w:after="0"/>
            </w:pPr>
            <w:r>
              <w:t>Full course review and application</w:t>
            </w:r>
          </w:p>
        </w:tc>
      </w:tr>
    </w:tbl>
    <w:p>
      <w:pPr>
        <w:pStyle w:val="Heading1"/>
      </w:pPr>
      <w:r>
        <w:t>Weekly Course Plan</w:t>
      </w:r>
    </w:p>
    <w:p>
      <w:pPr>
        <w:pStyle w:val="Heading2"/>
      </w:pPr>
      <w:r>
        <w:t>Week 1: Welcome to Nursing: Identity, Purpose, and the Practical Nurse Role</w:t>
      </w:r>
    </w:p>
    <w:p>
      <w:r>
        <w:rPr>
          <w:b/>
        </w:rPr>
        <w:t xml:space="preserve">Nursing leaders: </w:t>
      </w:r>
      <w:r>
        <w:t>Florence Nightingale and Clara Barton</w:t>
      </w:r>
    </w:p>
    <w:p>
      <w:r>
        <w:rPr>
          <w:b/>
        </w:rPr>
        <w:t xml:space="preserve">Focus: </w:t>
      </w:r>
      <w:r>
        <w:t>Students begin forming a professional nursing identity by examining what nursing is, why it matters, and how practical nurses contribute to safe, compassionate care.</w:t>
      </w:r>
    </w:p>
    <w:p>
      <w:r>
        <w:rPr>
          <w:b/>
        </w:rPr>
        <w:t>Learning objectives:</w:t>
      </w:r>
    </w:p>
    <w:p>
      <w:pPr>
        <w:pStyle w:val="ListBullet"/>
        <w:spacing w:after="80"/>
      </w:pPr>
      <w:r>
        <w:t>Define nursing in student-friendly language and compare it with common public assumptions.</w:t>
      </w:r>
    </w:p>
    <w:p>
      <w:pPr>
        <w:pStyle w:val="ListBullet"/>
        <w:spacing w:after="80"/>
      </w:pPr>
      <w:r>
        <w:t>Describe the purpose of nursing in hospitals, long-term care, home care, clinics, and community settings.</w:t>
      </w:r>
    </w:p>
    <w:p>
      <w:pPr>
        <w:pStyle w:val="ListBullet"/>
        <w:spacing w:after="80"/>
      </w:pPr>
      <w:r>
        <w:t>Identify basic expectations of a practical nursing student, including attendance, preparation, conduct, and accountability.</w:t>
      </w:r>
    </w:p>
    <w:p>
      <w:r>
        <w:rPr>
          <w:b/>
        </w:rPr>
        <w:t>Key topics:</w:t>
      </w:r>
    </w:p>
    <w:p>
      <w:pPr>
        <w:pStyle w:val="ListBullet"/>
        <w:spacing w:after="80"/>
      </w:pPr>
      <w:r>
        <w:t>Course orientation and expectations</w:t>
      </w:r>
    </w:p>
    <w:p>
      <w:pPr>
        <w:pStyle w:val="ListBullet"/>
        <w:spacing w:after="80"/>
      </w:pPr>
      <w:r>
        <w:t>What nursing meant historically and what nursing means today</w:t>
      </w:r>
    </w:p>
    <w:p>
      <w:pPr>
        <w:pStyle w:val="ListBullet"/>
        <w:spacing w:after="80"/>
      </w:pPr>
      <w:r>
        <w:t>The practical nurse as caregiver, communicator, advocate, team member, and lifelong learner</w:t>
      </w:r>
    </w:p>
    <w:p>
      <w:pPr>
        <w:pStyle w:val="ListBullet"/>
        <w:spacing w:after="80"/>
      </w:pPr>
      <w:r>
        <w:t>Florence Nightingale's work in sanitation, observation, data, and reform</w:t>
      </w:r>
    </w:p>
    <w:p>
      <w:pPr>
        <w:pStyle w:val="ListBullet"/>
        <w:spacing w:after="80"/>
      </w:pPr>
      <w:r>
        <w:t>Clara Barton's service, disaster response, and humanitarian leadership</w:t>
      </w:r>
    </w:p>
    <w:p>
      <w:r>
        <w:rPr>
          <w:b/>
        </w:rPr>
        <w:t xml:space="preserve">Learning activity: </w:t>
      </w:r>
      <w:r>
        <w:t>Class discussion: 'Why nursing?' Students write a one-page professional beginning reflection on the kind of nurse they hope to become.</w:t>
      </w:r>
    </w:p>
    <w:p>
      <w:r>
        <w:rPr>
          <w:b/>
        </w:rPr>
        <w:t xml:space="preserve">Assessment: </w:t>
      </w:r>
      <w:r>
        <w:t>Professional Beginning Reflection</w:t>
      </w:r>
    </w:p>
    <w:p>
      <w:pPr>
        <w:pStyle w:val="Heading2"/>
      </w:pPr>
      <w:r>
        <w:t>Week 2: Nursing Then and Now: Caregiving, Reform, Education, and Public Trust</w:t>
      </w:r>
    </w:p>
    <w:p>
      <w:r>
        <w:rPr>
          <w:b/>
        </w:rPr>
        <w:t xml:space="preserve">Nursing leaders: </w:t>
      </w:r>
      <w:r>
        <w:t>Mary Seacole, Mary Eliza Mahoney, and Lillian Wald</w:t>
      </w:r>
    </w:p>
    <w:p>
      <w:r>
        <w:rPr>
          <w:b/>
        </w:rPr>
        <w:t xml:space="preserve">Focus: </w:t>
      </w:r>
      <w:r>
        <w:t>Students compare nursing in earlier eras with today's profession and discuss how access, race, gender, public health, and education shaped the field.</w:t>
      </w:r>
    </w:p>
    <w:p>
      <w:r>
        <w:rPr>
          <w:b/>
        </w:rPr>
        <w:t>Learning objectives:</w:t>
      </w:r>
    </w:p>
    <w:p>
      <w:pPr>
        <w:pStyle w:val="ListBullet"/>
        <w:spacing w:after="80"/>
      </w:pPr>
      <w:r>
        <w:t>Summarize major changes in nursing education, infection control, technology, documentation, and patient rights.</w:t>
      </w:r>
    </w:p>
    <w:p>
      <w:pPr>
        <w:pStyle w:val="ListBullet"/>
        <w:spacing w:after="80"/>
      </w:pPr>
      <w:r>
        <w:t>Explain why diversity and public health leadership matter in nursing history.</w:t>
      </w:r>
    </w:p>
    <w:p>
      <w:pPr>
        <w:pStyle w:val="ListBullet"/>
        <w:spacing w:after="80"/>
      </w:pPr>
      <w:r>
        <w:t>Connect historic nursing barriers to current expectations for equity and respect.</w:t>
      </w:r>
    </w:p>
    <w:p>
      <w:r>
        <w:rPr>
          <w:b/>
        </w:rPr>
        <w:t>Key topics:</w:t>
      </w:r>
    </w:p>
    <w:p>
      <w:pPr>
        <w:pStyle w:val="ListBullet"/>
        <w:spacing w:after="80"/>
      </w:pPr>
      <w:r>
        <w:t>Nursing before formal schools and licensing</w:t>
      </w:r>
    </w:p>
    <w:p>
      <w:pPr>
        <w:pStyle w:val="ListBullet"/>
        <w:spacing w:after="80"/>
      </w:pPr>
      <w:r>
        <w:t>Hospital training schools, community health, and the growth of professional standards</w:t>
      </w:r>
    </w:p>
    <w:p>
      <w:pPr>
        <w:pStyle w:val="ListBullet"/>
        <w:spacing w:after="80"/>
      </w:pPr>
      <w:r>
        <w:t>Mary Seacole's battlefield care and resilience</w:t>
      </w:r>
    </w:p>
    <w:p>
      <w:pPr>
        <w:pStyle w:val="ListBullet"/>
        <w:spacing w:after="80"/>
      </w:pPr>
      <w:r>
        <w:t>Mary Eliza Mahoney as the first professionally trained Black nurse in the United States</w:t>
      </w:r>
    </w:p>
    <w:p>
      <w:pPr>
        <w:pStyle w:val="ListBullet"/>
        <w:spacing w:after="80"/>
      </w:pPr>
      <w:r>
        <w:t>Lillian Wald, public health nursing, settlement work, and care for vulnerable communities</w:t>
      </w:r>
    </w:p>
    <w:p>
      <w:r>
        <w:rPr>
          <w:b/>
        </w:rPr>
        <w:t xml:space="preserve">Learning activity: </w:t>
      </w:r>
      <w:r>
        <w:t>Small-group timeline activity comparing 'nursing back then' with 'nursing today' across education, safety, documentation, and patient voice.</w:t>
      </w:r>
    </w:p>
    <w:p>
      <w:r>
        <w:rPr>
          <w:b/>
        </w:rPr>
        <w:t xml:space="preserve">Assessment: </w:t>
      </w:r>
      <w:r>
        <w:t>Quiz 1: Weeks 1-2</w:t>
      </w:r>
    </w:p>
    <w:p>
      <w:pPr>
        <w:pStyle w:val="Heading2"/>
      </w:pPr>
      <w:r>
        <w:t>Week 3: The Purpose of Nursing: Caring, Comfort, Safety, Advocacy, and Healing</w:t>
      </w:r>
    </w:p>
    <w:p>
      <w:r>
        <w:rPr>
          <w:b/>
        </w:rPr>
        <w:t xml:space="preserve">Nursing leaders: </w:t>
      </w:r>
      <w:r>
        <w:t>Virginia Henderson and Jean Watson</w:t>
      </w:r>
    </w:p>
    <w:p>
      <w:r>
        <w:rPr>
          <w:b/>
        </w:rPr>
        <w:t xml:space="preserve">Focus: </w:t>
      </w:r>
      <w:r>
        <w:t>Students examine nursing as both skilled work and human service, with attention to caring, basic needs, comfort, dignity, safety, and advocacy.</w:t>
      </w:r>
    </w:p>
    <w:p>
      <w:r>
        <w:rPr>
          <w:b/>
        </w:rPr>
        <w:t>Learning objectives:</w:t>
      </w:r>
    </w:p>
    <w:p>
      <w:pPr>
        <w:pStyle w:val="ListBullet"/>
        <w:spacing w:after="80"/>
      </w:pPr>
      <w:r>
        <w:t>Describe the nurse's role in helping patients meet basic human needs.</w:t>
      </w:r>
    </w:p>
    <w:p>
      <w:pPr>
        <w:pStyle w:val="ListBullet"/>
        <w:spacing w:after="80"/>
      </w:pPr>
      <w:r>
        <w:t>Explain how caring behaviors support trust and patient cooperation.</w:t>
      </w:r>
    </w:p>
    <w:p>
      <w:pPr>
        <w:pStyle w:val="ListBullet"/>
        <w:spacing w:after="80"/>
      </w:pPr>
      <w:r>
        <w:t>Identify simple advocacy actions practical nursing students can practice during clinical learning.</w:t>
      </w:r>
    </w:p>
    <w:p>
      <w:r>
        <w:rPr>
          <w:b/>
        </w:rPr>
        <w:t>Key topics:</w:t>
      </w:r>
    </w:p>
    <w:p>
      <w:pPr>
        <w:pStyle w:val="ListBullet"/>
        <w:spacing w:after="80"/>
      </w:pPr>
      <w:r>
        <w:t>Nursing as care of the whole person</w:t>
      </w:r>
    </w:p>
    <w:p>
      <w:pPr>
        <w:pStyle w:val="ListBullet"/>
        <w:spacing w:after="80"/>
      </w:pPr>
      <w:r>
        <w:t>Basic needs, independence, comfort, and dignity</w:t>
      </w:r>
    </w:p>
    <w:p>
      <w:pPr>
        <w:pStyle w:val="ListBullet"/>
        <w:spacing w:after="80"/>
      </w:pPr>
      <w:r>
        <w:t>Therapeutic presence, active listening, and respectful communication</w:t>
      </w:r>
    </w:p>
    <w:p>
      <w:pPr>
        <w:pStyle w:val="ListBullet"/>
        <w:spacing w:after="80"/>
      </w:pPr>
      <w:r>
        <w:t>Virginia Henderson's definition of nursing and patient independence</w:t>
      </w:r>
    </w:p>
    <w:p>
      <w:pPr>
        <w:pStyle w:val="ListBullet"/>
        <w:spacing w:after="80"/>
      </w:pPr>
      <w:r>
        <w:t>Jean Watson's caring theory and the human side of care</w:t>
      </w:r>
    </w:p>
    <w:p>
      <w:r>
        <w:rPr>
          <w:b/>
        </w:rPr>
        <w:t xml:space="preserve">Learning activity: </w:t>
      </w:r>
      <w:r>
        <w:t>Role-play therapeutic responses to anxious, embarrassed, angry, and grieving patients. Students identify responses that protect dignity.</w:t>
      </w:r>
    </w:p>
    <w:p>
      <w:r>
        <w:rPr>
          <w:b/>
        </w:rPr>
        <w:t xml:space="preserve">Assessment: </w:t>
      </w:r>
      <w:r>
        <w:t>Therapeutic Communication Practice</w:t>
      </w:r>
    </w:p>
    <w:p>
      <w:pPr>
        <w:pStyle w:val="Heading2"/>
      </w:pPr>
      <w:r>
        <w:t>Week 4: The Health Care Team: Scope, Collaboration, Delegation, and Communication</w:t>
      </w:r>
    </w:p>
    <w:p>
      <w:r>
        <w:rPr>
          <w:b/>
        </w:rPr>
        <w:t xml:space="preserve">Nursing leaders: </w:t>
      </w:r>
      <w:r>
        <w:t>Isabel Hampton Robb and Mildred Montag</w:t>
      </w:r>
    </w:p>
    <w:p>
      <w:r>
        <w:rPr>
          <w:b/>
        </w:rPr>
        <w:t xml:space="preserve">Focus: </w:t>
      </w:r>
      <w:r>
        <w:t>Students learn how practical nurses fit within the health care team, including collaboration with RNs, providers, nursing assistants, and other disciplines.</w:t>
      </w:r>
    </w:p>
    <w:p>
      <w:r>
        <w:rPr>
          <w:b/>
        </w:rPr>
        <w:t>Learning objectives:</w:t>
      </w:r>
    </w:p>
    <w:p>
      <w:pPr>
        <w:pStyle w:val="ListBullet"/>
        <w:spacing w:after="80"/>
      </w:pPr>
      <w:r>
        <w:t>Differentiate beginning practical nurse responsibilities from RN, provider, and assistive personnel roles.</w:t>
      </w:r>
    </w:p>
    <w:p>
      <w:pPr>
        <w:pStyle w:val="ListBullet"/>
        <w:spacing w:after="80"/>
      </w:pPr>
      <w:r>
        <w:t>Describe why scope of practice and supervision protect patients and nurses.</w:t>
      </w:r>
    </w:p>
    <w:p>
      <w:pPr>
        <w:pStyle w:val="ListBullet"/>
        <w:spacing w:after="80"/>
      </w:pPr>
      <w:r>
        <w:t>Use SBAR-style communication for a basic patient-care concern.</w:t>
      </w:r>
    </w:p>
    <w:p>
      <w:r>
        <w:rPr>
          <w:b/>
        </w:rPr>
        <w:t>Key topics:</w:t>
      </w:r>
    </w:p>
    <w:p>
      <w:pPr>
        <w:pStyle w:val="ListBullet"/>
        <w:spacing w:after="80"/>
      </w:pPr>
      <w:r>
        <w:t>Practical nurse role and limits of student practice</w:t>
      </w:r>
    </w:p>
    <w:p>
      <w:pPr>
        <w:pStyle w:val="ListBullet"/>
        <w:spacing w:after="80"/>
      </w:pPr>
      <w:r>
        <w:t>Teamwork, delegation, assignment, and supervision</w:t>
      </w:r>
    </w:p>
    <w:p>
      <w:pPr>
        <w:pStyle w:val="ListBullet"/>
        <w:spacing w:after="80"/>
      </w:pPr>
      <w:r>
        <w:t>SBAR communication and closed-loop communication</w:t>
      </w:r>
    </w:p>
    <w:p>
      <w:pPr>
        <w:pStyle w:val="ListBullet"/>
        <w:spacing w:after="80"/>
      </w:pPr>
      <w:r>
        <w:t>Isabel Hampton Robb and nursing education standards</w:t>
      </w:r>
    </w:p>
    <w:p>
      <w:pPr>
        <w:pStyle w:val="ListBullet"/>
        <w:spacing w:after="80"/>
      </w:pPr>
      <w:r>
        <w:t>Mildred Montag and the development of associate degree nursing education</w:t>
      </w:r>
    </w:p>
    <w:p>
      <w:r>
        <w:rPr>
          <w:b/>
        </w:rPr>
        <w:t xml:space="preserve">Learning activity: </w:t>
      </w:r>
      <w:r>
        <w:t>SBAR practice lab using short patient scenarios. Students identify what to report, who to report to, and what information must be documented.</w:t>
      </w:r>
    </w:p>
    <w:p>
      <w:r>
        <w:rPr>
          <w:b/>
        </w:rPr>
        <w:t xml:space="preserve">Assessment: </w:t>
      </w:r>
      <w:r>
        <w:t>Quiz 2: Weeks 3-4</w:t>
      </w:r>
    </w:p>
    <w:p>
      <w:pPr>
        <w:pStyle w:val="Heading2"/>
      </w:pPr>
      <w:r>
        <w:t>Week 5: Ethics in Nursing: Values, Boundaries, Confidentiality, and Patient Rights</w:t>
      </w:r>
    </w:p>
    <w:p>
      <w:r>
        <w:rPr>
          <w:b/>
        </w:rPr>
        <w:t xml:space="preserve">Nursing leaders: </w:t>
      </w:r>
      <w:r>
        <w:t>Lavinia Dock and Mabel Keaton Staupers</w:t>
      </w:r>
    </w:p>
    <w:p>
      <w:r>
        <w:rPr>
          <w:b/>
        </w:rPr>
        <w:t xml:space="preserve">Focus: </w:t>
      </w:r>
      <w:r>
        <w:t>Students apply beginning ethical principles to everyday nursing situations involving dignity, truthfulness, privacy, fairness, and professional boundaries.</w:t>
      </w:r>
    </w:p>
    <w:p>
      <w:r>
        <w:rPr>
          <w:b/>
        </w:rPr>
        <w:t>Learning objectives:</w:t>
      </w:r>
    </w:p>
    <w:p>
      <w:pPr>
        <w:pStyle w:val="ListBullet"/>
        <w:spacing w:after="80"/>
      </w:pPr>
      <w:r>
        <w:t>Define common ethical principles used in nursing decisions.</w:t>
      </w:r>
    </w:p>
    <w:p>
      <w:pPr>
        <w:pStyle w:val="ListBullet"/>
        <w:spacing w:after="80"/>
      </w:pPr>
      <w:r>
        <w:t>Recognize ethical issues related to privacy, social media, honesty, bias, and boundary crossings.</w:t>
      </w:r>
    </w:p>
    <w:p>
      <w:pPr>
        <w:pStyle w:val="ListBullet"/>
        <w:spacing w:after="80"/>
      </w:pPr>
      <w:r>
        <w:t>Use a simple ethical decision-making process for an introductory case.</w:t>
      </w:r>
    </w:p>
    <w:p>
      <w:r>
        <w:rPr>
          <w:b/>
        </w:rPr>
        <w:t>Key topics:</w:t>
      </w:r>
    </w:p>
    <w:p>
      <w:pPr>
        <w:pStyle w:val="ListBullet"/>
        <w:spacing w:after="80"/>
      </w:pPr>
      <w:r>
        <w:t>Autonomy, beneficence, nonmaleficence, justice, fidelity, veracity, and accountability</w:t>
      </w:r>
    </w:p>
    <w:p>
      <w:pPr>
        <w:pStyle w:val="ListBullet"/>
        <w:spacing w:after="80"/>
      </w:pPr>
      <w:r>
        <w:t>Confidentiality and privacy as ethical duties</w:t>
      </w:r>
    </w:p>
    <w:p>
      <w:pPr>
        <w:pStyle w:val="ListBullet"/>
        <w:spacing w:after="80"/>
      </w:pPr>
      <w:r>
        <w:t>Professional boundaries and social media caution</w:t>
      </w:r>
    </w:p>
    <w:p>
      <w:pPr>
        <w:pStyle w:val="ListBullet"/>
        <w:spacing w:after="80"/>
      </w:pPr>
      <w:r>
        <w:t>Patient rights, dignity, and respect for cultural/religious values</w:t>
      </w:r>
    </w:p>
    <w:p>
      <w:pPr>
        <w:pStyle w:val="ListBullet"/>
        <w:spacing w:after="80"/>
      </w:pPr>
      <w:r>
        <w:t>Lavinia Dock's advocacy and Mabel Keaton Staupers' civil rights leadership in nursing</w:t>
      </w:r>
    </w:p>
    <w:p>
      <w:r>
        <w:rPr>
          <w:b/>
        </w:rPr>
        <w:t xml:space="preserve">Learning activity: </w:t>
      </w:r>
      <w:r>
        <w:t>Ethics case discussion: A student sees a classmate post about a patient on social media. Students identify the ethical issues and appropriate actions.</w:t>
      </w:r>
    </w:p>
    <w:p>
      <w:r>
        <w:rPr>
          <w:b/>
        </w:rPr>
        <w:t xml:space="preserve">Assessment: </w:t>
      </w:r>
      <w:r>
        <w:t>Ethics Case Response</w:t>
      </w:r>
    </w:p>
    <w:p>
      <w:pPr>
        <w:pStyle w:val="Heading2"/>
      </w:pPr>
      <w:r>
        <w:t>Week 6: Legal Foundations: Scope of Practice, Documentation, Privacy, and Accountability</w:t>
      </w:r>
    </w:p>
    <w:p>
      <w:r>
        <w:rPr>
          <w:b/>
        </w:rPr>
        <w:t xml:space="preserve">Nursing leaders: </w:t>
      </w:r>
      <w:r>
        <w:t>Dorothea Dix and Susie Walking Bear Yellowtail</w:t>
      </w:r>
    </w:p>
    <w:p>
      <w:r>
        <w:rPr>
          <w:b/>
        </w:rPr>
        <w:t xml:space="preserve">Focus: </w:t>
      </w:r>
      <w:r>
        <w:t>Students learn the legal foundations that guide safe beginning practice and prepare for the midterm exam.</w:t>
      </w:r>
    </w:p>
    <w:p>
      <w:r>
        <w:rPr>
          <w:b/>
        </w:rPr>
        <w:t>Learning objectives:</w:t>
      </w:r>
    </w:p>
    <w:p>
      <w:pPr>
        <w:pStyle w:val="ListBullet"/>
        <w:spacing w:after="80"/>
      </w:pPr>
      <w:r>
        <w:t>Explain why the nurse practice act, board of nursing rules, school policy, and facility policy matter.</w:t>
      </w:r>
    </w:p>
    <w:p>
      <w:pPr>
        <w:pStyle w:val="ListBullet"/>
        <w:spacing w:after="80"/>
      </w:pPr>
      <w:r>
        <w:t>Identify legal risks related to unsafe practice, poor documentation, confidentiality breaches, abandonment, and failure to report.</w:t>
      </w:r>
    </w:p>
    <w:p>
      <w:pPr>
        <w:pStyle w:val="ListBullet"/>
        <w:spacing w:after="80"/>
      </w:pPr>
      <w:r>
        <w:t>Describe the difference between negligence and malpractice at an introductory level.</w:t>
      </w:r>
    </w:p>
    <w:p>
      <w:r>
        <w:rPr>
          <w:b/>
        </w:rPr>
        <w:t>Key topics:</w:t>
      </w:r>
    </w:p>
    <w:p>
      <w:pPr>
        <w:pStyle w:val="ListBullet"/>
        <w:spacing w:after="80"/>
      </w:pPr>
      <w:r>
        <w:t>Scope of practice and student nurse limitations</w:t>
      </w:r>
    </w:p>
    <w:p>
      <w:pPr>
        <w:pStyle w:val="ListBullet"/>
        <w:spacing w:after="80"/>
      </w:pPr>
      <w:r>
        <w:t>HIPAA, confidentiality, and protected health information</w:t>
      </w:r>
    </w:p>
    <w:p>
      <w:pPr>
        <w:pStyle w:val="ListBullet"/>
        <w:spacing w:after="80"/>
      </w:pPr>
      <w:r>
        <w:t>Informed consent, refusal of care, incident reporting, and mandatory reporting</w:t>
      </w:r>
    </w:p>
    <w:p>
      <w:pPr>
        <w:pStyle w:val="ListBullet"/>
        <w:spacing w:after="80"/>
      </w:pPr>
      <w:r>
        <w:t>Documentation basics: timely, factual, objective, complete, and corrected appropriately</w:t>
      </w:r>
    </w:p>
    <w:p>
      <w:pPr>
        <w:pStyle w:val="ListBullet"/>
        <w:spacing w:after="80"/>
      </w:pPr>
      <w:r>
        <w:t>Dorothea Dix's mental health advocacy and Susie Walking Bear Yellowtail's advocacy for Native American health</w:t>
      </w:r>
    </w:p>
    <w:p>
      <w:r>
        <w:rPr>
          <w:b/>
        </w:rPr>
        <w:t xml:space="preserve">Learning activity: </w:t>
      </w:r>
      <w:r>
        <w:t>Documentation correction exercise using sample notes. Students identify objective wording, missing facts, and unsafe language.</w:t>
      </w:r>
    </w:p>
    <w:p>
      <w:r>
        <w:rPr>
          <w:b/>
        </w:rPr>
        <w:t xml:space="preserve">Assessment: </w:t>
      </w:r>
      <w:r>
        <w:t>Midterm Exam: Weeks 1-6</w:t>
      </w:r>
    </w:p>
    <w:p>
      <w:pPr>
        <w:pStyle w:val="Heading2"/>
      </w:pPr>
      <w:r>
        <w:t>Week 7: Culture, Health Equity, and Respectful Care</w:t>
      </w:r>
    </w:p>
    <w:p>
      <w:r>
        <w:rPr>
          <w:b/>
        </w:rPr>
        <w:t xml:space="preserve">Nursing leaders: </w:t>
      </w:r>
      <w:r>
        <w:t>Madeleine Leininger and Hazel W. Johnson-Brown</w:t>
      </w:r>
    </w:p>
    <w:p>
      <w:r>
        <w:rPr>
          <w:b/>
        </w:rPr>
        <w:t xml:space="preserve">Focus: </w:t>
      </w:r>
      <w:r>
        <w:t>Students explore cultural humility, social determinants of health, bias, and the nurse's role in respectful, equitable care.</w:t>
      </w:r>
    </w:p>
    <w:p>
      <w:r>
        <w:rPr>
          <w:b/>
        </w:rPr>
        <w:t>Learning objectives:</w:t>
      </w:r>
    </w:p>
    <w:p>
      <w:pPr>
        <w:pStyle w:val="ListBullet"/>
        <w:spacing w:after="80"/>
      </w:pPr>
      <w:r>
        <w:t>Define cultural humility and distinguish it from stereotyping.</w:t>
      </w:r>
    </w:p>
    <w:p>
      <w:pPr>
        <w:pStyle w:val="ListBullet"/>
        <w:spacing w:after="80"/>
      </w:pPr>
      <w:r>
        <w:t>Identify social factors that can influence health, access, communication, and trust.</w:t>
      </w:r>
    </w:p>
    <w:p>
      <w:pPr>
        <w:pStyle w:val="ListBullet"/>
        <w:spacing w:after="80"/>
      </w:pPr>
      <w:r>
        <w:t>Describe practical actions students can take to provide respectful care to every patient.</w:t>
      </w:r>
    </w:p>
    <w:p>
      <w:r>
        <w:rPr>
          <w:b/>
        </w:rPr>
        <w:t>Key topics:</w:t>
      </w:r>
    </w:p>
    <w:p>
      <w:pPr>
        <w:pStyle w:val="ListBullet"/>
        <w:spacing w:after="80"/>
      </w:pPr>
      <w:r>
        <w:t>Culture, religion, language, family roles, and health beliefs</w:t>
      </w:r>
    </w:p>
    <w:p>
      <w:pPr>
        <w:pStyle w:val="ListBullet"/>
        <w:spacing w:after="80"/>
      </w:pPr>
      <w:r>
        <w:t>Social determinants of health and barriers to care</w:t>
      </w:r>
    </w:p>
    <w:p>
      <w:pPr>
        <w:pStyle w:val="ListBullet"/>
        <w:spacing w:after="80"/>
      </w:pPr>
      <w:r>
        <w:t>Bias, assumptions, and respectful curiosity</w:t>
      </w:r>
    </w:p>
    <w:p>
      <w:pPr>
        <w:pStyle w:val="ListBullet"/>
        <w:spacing w:after="80"/>
      </w:pPr>
      <w:r>
        <w:t>Interpreter use and plain-language communication</w:t>
      </w:r>
    </w:p>
    <w:p>
      <w:pPr>
        <w:pStyle w:val="ListBullet"/>
        <w:spacing w:after="80"/>
      </w:pPr>
      <w:r>
        <w:t>Madeleine Leininger's transcultural nursing and Hazel W. Johnson-Brown's leadership as an Army nurse and educator</w:t>
      </w:r>
    </w:p>
    <w:p>
      <w:r>
        <w:rPr>
          <w:b/>
        </w:rPr>
        <w:t xml:space="preserve">Learning activity: </w:t>
      </w:r>
      <w:r>
        <w:t>Cultural humility scenario workshop. Students practice asking respectful questions without making assumptions.</w:t>
      </w:r>
    </w:p>
    <w:p>
      <w:r>
        <w:rPr>
          <w:b/>
        </w:rPr>
        <w:t xml:space="preserve">Assessment: </w:t>
      </w:r>
      <w:r>
        <w:t>Health Equity Reflection</w:t>
      </w:r>
    </w:p>
    <w:p>
      <w:pPr>
        <w:pStyle w:val="Heading2"/>
      </w:pPr>
      <w:r>
        <w:t>Week 8: Safety, Quality, Infection Prevention, and the Nurse's Watchful Eye</w:t>
      </w:r>
    </w:p>
    <w:p>
      <w:r>
        <w:rPr>
          <w:b/>
        </w:rPr>
        <w:t xml:space="preserve">Nursing leaders: </w:t>
      </w:r>
      <w:r>
        <w:t>Linda Richards and Ildaura Murillo-Rohde</w:t>
      </w:r>
    </w:p>
    <w:p>
      <w:r>
        <w:rPr>
          <w:b/>
        </w:rPr>
        <w:t xml:space="preserve">Focus: </w:t>
      </w:r>
      <w:r>
        <w:t>Students connect nursing observation, safety habits, quality improvement, and infection prevention to patient outcomes.</w:t>
      </w:r>
    </w:p>
    <w:p>
      <w:r>
        <w:rPr>
          <w:b/>
        </w:rPr>
        <w:t>Learning objectives:</w:t>
      </w:r>
    </w:p>
    <w:p>
      <w:pPr>
        <w:pStyle w:val="ListBullet"/>
        <w:spacing w:after="80"/>
      </w:pPr>
      <w:r>
        <w:t>Describe the practical nurse's role in preventing harm.</w:t>
      </w:r>
    </w:p>
    <w:p>
      <w:pPr>
        <w:pStyle w:val="ListBullet"/>
        <w:spacing w:after="80"/>
      </w:pPr>
      <w:r>
        <w:t>Identify common safety risks, including falls, infection, medication errors, communication breakdowns, and patient identification errors.</w:t>
      </w:r>
    </w:p>
    <w:p>
      <w:pPr>
        <w:pStyle w:val="ListBullet"/>
        <w:spacing w:after="80"/>
      </w:pPr>
      <w:r>
        <w:t>Explain how reporting hazards and near misses improves care.</w:t>
      </w:r>
    </w:p>
    <w:p>
      <w:r>
        <w:rPr>
          <w:b/>
        </w:rPr>
        <w:t>Key topics:</w:t>
      </w:r>
    </w:p>
    <w:p>
      <w:pPr>
        <w:pStyle w:val="ListBullet"/>
        <w:spacing w:after="80"/>
      </w:pPr>
      <w:r>
        <w:t>Patient identification, fall prevention, hand hygiene, standard precautions, and infection prevention</w:t>
      </w:r>
    </w:p>
    <w:p>
      <w:pPr>
        <w:pStyle w:val="ListBullet"/>
        <w:spacing w:after="80"/>
      </w:pPr>
      <w:r>
        <w:t>Quality improvement, near misses, incident reports, and a just culture mindset</w:t>
      </w:r>
    </w:p>
    <w:p>
      <w:pPr>
        <w:pStyle w:val="ListBullet"/>
        <w:spacing w:after="80"/>
      </w:pPr>
      <w:r>
        <w:t>Observation and reporting as core nursing work</w:t>
      </w:r>
    </w:p>
    <w:p>
      <w:pPr>
        <w:pStyle w:val="ListBullet"/>
        <w:spacing w:after="80"/>
      </w:pPr>
      <w:r>
        <w:t>Linda Richards and the development of nursing documentation</w:t>
      </w:r>
    </w:p>
    <w:p>
      <w:pPr>
        <w:pStyle w:val="ListBullet"/>
        <w:spacing w:after="80"/>
      </w:pPr>
      <w:r>
        <w:t>Ildaura Murillo-Rohde and advocacy for Hispanic nurses</w:t>
      </w:r>
    </w:p>
    <w:p>
      <w:r>
        <w:rPr>
          <w:b/>
        </w:rPr>
        <w:t xml:space="preserve">Learning activity: </w:t>
      </w:r>
      <w:r>
        <w:t>Safety walk-through: students identify hazards in a simulated room and explain what action a beginning practical nursing student should take.</w:t>
      </w:r>
    </w:p>
    <w:p>
      <w:r>
        <w:rPr>
          <w:b/>
        </w:rPr>
        <w:t xml:space="preserve">Assessment: </w:t>
      </w:r>
      <w:r>
        <w:t>Quiz 3: Weeks 7-8</w:t>
      </w:r>
    </w:p>
    <w:p>
      <w:pPr>
        <w:pStyle w:val="Heading2"/>
      </w:pPr>
      <w:r>
        <w:t>Week 9: Introduction to the Nursing Process and Clinical Judgment</w:t>
      </w:r>
    </w:p>
    <w:p>
      <w:r>
        <w:rPr>
          <w:b/>
        </w:rPr>
        <w:t xml:space="preserve">Nursing leaders: </w:t>
      </w:r>
      <w:r>
        <w:t>Ida Jean Orlando and Patricia Benner</w:t>
      </w:r>
    </w:p>
    <w:p>
      <w:r>
        <w:rPr>
          <w:b/>
        </w:rPr>
        <w:t xml:space="preserve">Focus: </w:t>
      </w:r>
      <w:r>
        <w:t>Students learn the beginning language of nursing thinking: noticing, collecting data, reporting changes, planning basic care, and evaluating outcomes.</w:t>
      </w:r>
    </w:p>
    <w:p>
      <w:r>
        <w:rPr>
          <w:b/>
        </w:rPr>
        <w:t>Learning objectives:</w:t>
      </w:r>
    </w:p>
    <w:p>
      <w:pPr>
        <w:pStyle w:val="ListBullet"/>
        <w:spacing w:after="80"/>
      </w:pPr>
      <w:r>
        <w:t>Name the steps of the nursing process and describe them in practical terms.</w:t>
      </w:r>
    </w:p>
    <w:p>
      <w:pPr>
        <w:pStyle w:val="ListBullet"/>
        <w:spacing w:after="80"/>
      </w:pPr>
      <w:r>
        <w:t>Explain the practical nursing student's role in data collection, reporting, implementation, and evaluation under supervision.</w:t>
      </w:r>
    </w:p>
    <w:p>
      <w:pPr>
        <w:pStyle w:val="ListBullet"/>
        <w:spacing w:after="80"/>
      </w:pPr>
      <w:r>
        <w:t>Use a simple patient scenario to identify priority concerns and safe next actions.</w:t>
      </w:r>
    </w:p>
    <w:p>
      <w:r>
        <w:rPr>
          <w:b/>
        </w:rPr>
        <w:t>Key topics:</w:t>
      </w:r>
    </w:p>
    <w:p>
      <w:pPr>
        <w:pStyle w:val="ListBullet"/>
        <w:spacing w:after="80"/>
      </w:pPr>
      <w:r>
        <w:t>Assessment/data collection, nursing diagnosis concepts, planning, implementation, and evaluation</w:t>
      </w:r>
    </w:p>
    <w:p>
      <w:pPr>
        <w:pStyle w:val="ListBullet"/>
        <w:spacing w:after="80"/>
      </w:pPr>
      <w:r>
        <w:t>Clinical judgment: noticing, interpreting, responding, and reflecting</w:t>
      </w:r>
    </w:p>
    <w:p>
      <w:pPr>
        <w:pStyle w:val="ListBullet"/>
        <w:spacing w:after="80"/>
      </w:pPr>
      <w:r>
        <w:t>Prioritization basics and when to ask for help</w:t>
      </w:r>
    </w:p>
    <w:p>
      <w:pPr>
        <w:pStyle w:val="ListBullet"/>
        <w:spacing w:after="80"/>
      </w:pPr>
      <w:r>
        <w:t>Ida Jean Orlando's nursing process theory</w:t>
      </w:r>
    </w:p>
    <w:p>
      <w:pPr>
        <w:pStyle w:val="ListBullet"/>
        <w:spacing w:after="80"/>
      </w:pPr>
      <w:r>
        <w:t>Patricia Benner's novice-to-expert model</w:t>
      </w:r>
    </w:p>
    <w:p>
      <w:r>
        <w:rPr>
          <w:b/>
        </w:rPr>
        <w:t xml:space="preserve">Learning activity: </w:t>
      </w:r>
      <w:r>
        <w:t>Case mapping exercise: students identify what they noticed, what it might mean, what they would report, and what safe care actions may follow.</w:t>
      </w:r>
    </w:p>
    <w:p>
      <w:r>
        <w:rPr>
          <w:b/>
        </w:rPr>
        <w:t xml:space="preserve">Assessment: </w:t>
      </w:r>
      <w:r>
        <w:t>Clinical Judgment Worksheet</w:t>
      </w:r>
    </w:p>
    <w:p>
      <w:pPr>
        <w:pStyle w:val="Heading2"/>
      </w:pPr>
      <w:r>
        <w:t>Week 10: Patient Teaching, Health Promotion, and Community Impact</w:t>
      </w:r>
    </w:p>
    <w:p>
      <w:r>
        <w:rPr>
          <w:b/>
        </w:rPr>
        <w:t xml:space="preserve">Nursing leaders: </w:t>
      </w:r>
      <w:r>
        <w:t>Mary Breckinridge and Margaret Sanger</w:t>
      </w:r>
    </w:p>
    <w:p>
      <w:r>
        <w:rPr>
          <w:b/>
        </w:rPr>
        <w:t xml:space="preserve">Focus: </w:t>
      </w:r>
      <w:r>
        <w:t>Students discuss how practical nurses make an impact through teaching, prevention, maternal-child health, chronic disease support, and community service.</w:t>
      </w:r>
    </w:p>
    <w:p>
      <w:r>
        <w:rPr>
          <w:b/>
        </w:rPr>
        <w:t>Learning objectives:</w:t>
      </w:r>
    </w:p>
    <w:p>
      <w:pPr>
        <w:pStyle w:val="ListBullet"/>
        <w:spacing w:after="80"/>
      </w:pPr>
      <w:r>
        <w:t>Describe how patient teaching supports safety, independence, and health outcomes.</w:t>
      </w:r>
    </w:p>
    <w:p>
      <w:pPr>
        <w:pStyle w:val="ListBullet"/>
        <w:spacing w:after="80"/>
      </w:pPr>
      <w:r>
        <w:t>Use plain language and teach-back for a basic health topic.</w:t>
      </w:r>
    </w:p>
    <w:p>
      <w:pPr>
        <w:pStyle w:val="ListBullet"/>
        <w:spacing w:after="80"/>
      </w:pPr>
      <w:r>
        <w:t>Identify ways practical nursing students can contribute to community wellness.</w:t>
      </w:r>
    </w:p>
    <w:p>
      <w:r>
        <w:rPr>
          <w:b/>
        </w:rPr>
        <w:t>Key topics:</w:t>
      </w:r>
    </w:p>
    <w:p>
      <w:pPr>
        <w:pStyle w:val="ListBullet"/>
        <w:spacing w:after="80"/>
      </w:pPr>
      <w:r>
        <w:t>Health promotion and illness prevention across the lifespan</w:t>
      </w:r>
    </w:p>
    <w:p>
      <w:pPr>
        <w:pStyle w:val="ListBullet"/>
        <w:spacing w:after="80"/>
      </w:pPr>
      <w:r>
        <w:t>Teach-back, health literacy, and plain-language education</w:t>
      </w:r>
    </w:p>
    <w:p>
      <w:pPr>
        <w:pStyle w:val="ListBullet"/>
        <w:spacing w:after="80"/>
      </w:pPr>
      <w:r>
        <w:t>Community nursing, maternal-child care, chronic disease support, and prevention</w:t>
      </w:r>
    </w:p>
    <w:p>
      <w:pPr>
        <w:pStyle w:val="ListBullet"/>
        <w:spacing w:after="80"/>
      </w:pPr>
      <w:r>
        <w:t>Mary Breckinridge and frontier nursing</w:t>
      </w:r>
    </w:p>
    <w:p>
      <w:pPr>
        <w:pStyle w:val="ListBullet"/>
        <w:spacing w:after="80"/>
      </w:pPr>
      <w:r>
        <w:t>Margaret Sanger's influence on reproductive health education and the need to discuss controversial history with professionalism</w:t>
      </w:r>
    </w:p>
    <w:p>
      <w:r>
        <w:rPr>
          <w:b/>
        </w:rPr>
        <w:t xml:space="preserve">Learning activity: </w:t>
      </w:r>
      <w:r>
        <w:t>Teaching micro-lab: students create and deliver a three-minute plain-language teaching script using teach-back.</w:t>
      </w:r>
    </w:p>
    <w:p>
      <w:r>
        <w:rPr>
          <w:b/>
        </w:rPr>
        <w:t xml:space="preserve">Assessment: </w:t>
      </w:r>
      <w:r>
        <w:t>Quiz 4: Weeks 9-10</w:t>
      </w:r>
    </w:p>
    <w:p>
      <w:pPr>
        <w:pStyle w:val="Heading2"/>
      </w:pPr>
      <w:r>
        <w:t>Week 11: Professionalism, Resilience, Leadership, and Lifelong Learning</w:t>
      </w:r>
    </w:p>
    <w:p>
      <w:r>
        <w:rPr>
          <w:b/>
        </w:rPr>
        <w:t xml:space="preserve">Nursing leaders: </w:t>
      </w:r>
      <w:r>
        <w:t>Mary Adelaide Nutting and Luther Christman</w:t>
      </w:r>
    </w:p>
    <w:p>
      <w:r>
        <w:rPr>
          <w:b/>
        </w:rPr>
        <w:t xml:space="preserve">Focus: </w:t>
      </w:r>
      <w:r>
        <w:t>Students prepare for the responsibilities of nursing school and practice by focusing on professionalism, feedback, resilience, leadership, and growth.</w:t>
      </w:r>
    </w:p>
    <w:p>
      <w:r>
        <w:rPr>
          <w:b/>
        </w:rPr>
        <w:t>Learning objectives:</w:t>
      </w:r>
    </w:p>
    <w:p>
      <w:pPr>
        <w:pStyle w:val="ListBullet"/>
        <w:spacing w:after="80"/>
      </w:pPr>
      <w:r>
        <w:t>Identify professional behaviors expected in class, lab, clinical, and the workplace.</w:t>
      </w:r>
    </w:p>
    <w:p>
      <w:pPr>
        <w:pStyle w:val="ListBullet"/>
        <w:spacing w:after="80"/>
      </w:pPr>
      <w:r>
        <w:t>Describe healthy responses to feedback, stress, mistakes, and learning challenges.</w:t>
      </w:r>
    </w:p>
    <w:p>
      <w:pPr>
        <w:pStyle w:val="ListBullet"/>
        <w:spacing w:after="80"/>
      </w:pPr>
      <w:r>
        <w:t>Explain how practical nurses demonstrate leadership from the bedside.</w:t>
      </w:r>
    </w:p>
    <w:p>
      <w:r>
        <w:rPr>
          <w:b/>
        </w:rPr>
        <w:t>Key topics:</w:t>
      </w:r>
    </w:p>
    <w:p>
      <w:pPr>
        <w:pStyle w:val="ListBullet"/>
        <w:spacing w:after="80"/>
      </w:pPr>
      <w:r>
        <w:t>Professional appearance, punctuality, communication, accountability, and integrity</w:t>
      </w:r>
    </w:p>
    <w:p>
      <w:pPr>
        <w:pStyle w:val="ListBullet"/>
        <w:spacing w:after="80"/>
      </w:pPr>
      <w:r>
        <w:t>Managing stress, asking for help, and building safe learning habits</w:t>
      </w:r>
    </w:p>
    <w:p>
      <w:pPr>
        <w:pStyle w:val="ListBullet"/>
        <w:spacing w:after="80"/>
      </w:pPr>
      <w:r>
        <w:t>Feedback, remediation, and reflective practice</w:t>
      </w:r>
    </w:p>
    <w:p>
      <w:pPr>
        <w:pStyle w:val="ListBullet"/>
        <w:spacing w:after="80"/>
      </w:pPr>
      <w:r>
        <w:t>Leadership at the bedside and advocacy through everyday actions</w:t>
      </w:r>
    </w:p>
    <w:p>
      <w:pPr>
        <w:pStyle w:val="ListBullet"/>
        <w:spacing w:after="80"/>
      </w:pPr>
      <w:r>
        <w:t>Mary Adelaide Nutting's educational leadership and Luther Christman's advocacy for nursing roles and men in nursing</w:t>
      </w:r>
    </w:p>
    <w:p>
      <w:r>
        <w:rPr>
          <w:b/>
        </w:rPr>
        <w:t xml:space="preserve">Learning activity: </w:t>
      </w:r>
      <w:r>
        <w:t>Professional development plan: students identify strengths, growth areas, support resources, and habits that will help them succeed.</w:t>
      </w:r>
    </w:p>
    <w:p>
      <w:r>
        <w:rPr>
          <w:b/>
        </w:rPr>
        <w:t xml:space="preserve">Assessment: </w:t>
      </w:r>
      <w:r>
        <w:t>Professional Development Plan</w:t>
      </w:r>
    </w:p>
    <w:p>
      <w:pPr>
        <w:pStyle w:val="Heading2"/>
      </w:pPr>
      <w:r>
        <w:t>Week 12: Nursing Today and Your Future Impact</w:t>
      </w:r>
    </w:p>
    <w:p>
      <w:r>
        <w:rPr>
          <w:b/>
        </w:rPr>
        <w:t xml:space="preserve">Nursing leaders: </w:t>
      </w:r>
      <w:r>
        <w:t>Student-selected nursing leader review</w:t>
      </w:r>
    </w:p>
    <w:p>
      <w:r>
        <w:rPr>
          <w:b/>
        </w:rPr>
        <w:t xml:space="preserve">Focus: </w:t>
      </w:r>
      <w:r>
        <w:t>Students synthesize what they learned about nursing's past, present, and future while articulating the impact they hope to make as practical nurses.</w:t>
      </w:r>
    </w:p>
    <w:p>
      <w:r>
        <w:rPr>
          <w:b/>
        </w:rPr>
        <w:t>Learning objectives:</w:t>
      </w:r>
    </w:p>
    <w:p>
      <w:pPr>
        <w:pStyle w:val="ListBullet"/>
        <w:spacing w:after="80"/>
      </w:pPr>
      <w:r>
        <w:t>Compare nursing back then, nursing today, and the future direction of nursing.</w:t>
      </w:r>
    </w:p>
    <w:p>
      <w:pPr>
        <w:pStyle w:val="ListBullet"/>
        <w:spacing w:after="80"/>
      </w:pPr>
      <w:r>
        <w:t>Explain the student's expected impact on patients, families, teams, and communities.</w:t>
      </w:r>
    </w:p>
    <w:p>
      <w:pPr>
        <w:pStyle w:val="ListBullet"/>
        <w:spacing w:after="80"/>
      </w:pPr>
      <w:r>
        <w:t>Prepare for continued practical nursing coursework with a clear sense of purpose and responsibility.</w:t>
      </w:r>
    </w:p>
    <w:p>
      <w:r>
        <w:rPr>
          <w:b/>
        </w:rPr>
        <w:t>Key topics:</w:t>
      </w:r>
    </w:p>
    <w:p>
      <w:pPr>
        <w:pStyle w:val="ListBullet"/>
        <w:spacing w:after="80"/>
      </w:pPr>
      <w:r>
        <w:t>Nursing today: technology, teamwork, evidence, patient rights, community needs, and lifelong learning</w:t>
      </w:r>
    </w:p>
    <w:p>
      <w:pPr>
        <w:pStyle w:val="ListBullet"/>
        <w:spacing w:after="80"/>
      </w:pPr>
      <w:r>
        <w:t>How practical nurses make an impact through small, consistent, safe actions</w:t>
      </w:r>
    </w:p>
    <w:p>
      <w:pPr>
        <w:pStyle w:val="ListBullet"/>
        <w:spacing w:after="80"/>
      </w:pPr>
      <w:r>
        <w:t>Review of ethical/legal foundations and professional identity</w:t>
      </w:r>
    </w:p>
    <w:p>
      <w:pPr>
        <w:pStyle w:val="ListBullet"/>
        <w:spacing w:after="80"/>
      </w:pPr>
      <w:r>
        <w:t>Student-selected leader presentations</w:t>
      </w:r>
    </w:p>
    <w:p>
      <w:pPr>
        <w:pStyle w:val="ListBullet"/>
        <w:spacing w:after="80"/>
      </w:pPr>
      <w:r>
        <w:t>Course synthesis and final exam preparation</w:t>
      </w:r>
    </w:p>
    <w:p>
      <w:r>
        <w:rPr>
          <w:b/>
        </w:rPr>
        <w:t xml:space="preserve">Learning activity: </w:t>
      </w:r>
      <w:r>
        <w:t>Final impact presentation: students connect one nursing leader, one ethical/legal responsibility, and one personal commitment to patient care.</w:t>
      </w:r>
    </w:p>
    <w:p>
      <w:r>
        <w:rPr>
          <w:b/>
        </w:rPr>
        <w:t xml:space="preserve">Assessment: </w:t>
      </w:r>
      <w:r>
        <w:t>Final Exam and Final Impact Presentation</w:t>
      </w:r>
    </w:p>
    <w:p>
      <w:pPr>
        <w:sectPr>
          <w:pgSz w:w="12240" w:h="15840"/>
          <w:pgMar w:top="1440" w:right="1440" w:bottom="1440" w:left="1440" w:header="708" w:footer="708" w:gutter="0"/>
          <w:cols w:space="720"/>
          <w:docGrid w:linePitch="360"/>
        </w:sectPr>
      </w:pPr>
    </w:p>
    <w:p>
      <w:pPr>
        <w:pStyle w:val="Heading1"/>
      </w:pPr>
      <w:r>
        <w:t>Instructor Implementation Notes</w:t>
      </w:r>
    </w:p>
    <w:p>
      <w:pPr>
        <w:pStyle w:val="ListNumber"/>
        <w:spacing w:after="80"/>
      </w:pPr>
      <w:r>
        <w:t>Align readings to the adopted practical nursing textbook and student handbook before the course opens.</w:t>
      </w:r>
    </w:p>
    <w:p>
      <w:pPr>
        <w:pStyle w:val="ListNumber"/>
        <w:spacing w:after="80"/>
      </w:pPr>
      <w:r>
        <w:t>Add current state board of nursing and nurse practice act references for the school location before teaching legal content.</w:t>
      </w:r>
    </w:p>
    <w:p>
      <w:pPr>
        <w:pStyle w:val="ListNumber"/>
        <w:spacing w:after="80"/>
      </w:pPr>
      <w:r>
        <w:t>Attach program-specific attendance, grading, remediation, academic integrity, and clinical conduct policies.</w:t>
      </w:r>
    </w:p>
    <w:p>
      <w:pPr>
        <w:pStyle w:val="ListNumber"/>
        <w:spacing w:after="80"/>
      </w:pPr>
      <w:r>
        <w:t>Set cohort-specific due dates after the cohort calendar is confirmed.</w:t>
      </w:r>
    </w:p>
    <w:p>
      <w:pPr>
        <w:pStyle w:val="ListNumber"/>
        <w:spacing w:after="80"/>
      </w:pPr>
      <w:r>
        <w:t>Use examples from local clinical settings while protecting patient privacy and avoiding any identifying information.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