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10111E">
        <w:rPr>
          <w:rFonts w:ascii="標楷體" w:eastAsia="標楷體" w:hAnsi="標楷體" w:hint="eastAsia"/>
          <w:sz w:val="32"/>
        </w:rPr>
        <w:t>金屬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10111E">
        <w:rPr>
          <w:rFonts w:ascii="標楷體" w:eastAsia="標楷體" w:hAnsi="標楷體" w:hint="eastAsia"/>
        </w:rPr>
        <w:t>銅期貨、黃金期貨、白金期貨、白銀期貨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10111E" w:rsidRDefault="000C6639" w:rsidP="0010111E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</w:t>
      </w:r>
      <w:r w:rsidR="002C3E85" w:rsidRPr="00DA005B">
        <w:rPr>
          <w:rFonts w:eastAsia="標楷體" w:cstheme="minorHAnsi"/>
        </w:rPr>
        <w:t>Google Trends</w:t>
      </w:r>
      <w:r w:rsidR="002C3E85">
        <w:rPr>
          <w:rFonts w:ascii="標楷體" w:eastAsia="標楷體" w:hAnsi="標楷體" w:hint="eastAsia"/>
        </w:rPr>
        <w:t>改用其他關鍵字進行分析。</w:t>
      </w:r>
    </w:p>
    <w:p w:rsidR="002C3E85" w:rsidRDefault="002C3E85" w:rsidP="0010111E">
      <w:pPr>
        <w:ind w:left="480"/>
        <w:rPr>
          <w:rFonts w:ascii="標楷體" w:eastAsia="標楷體" w:hAnsi="標楷體"/>
        </w:rPr>
      </w:pPr>
    </w:p>
    <w:tbl>
      <w:tblPr>
        <w:tblStyle w:val="a8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2C3E85" w:rsidTr="00AB117A">
        <w:tc>
          <w:tcPr>
            <w:tcW w:w="10456" w:type="dxa"/>
            <w:shd w:val="clear" w:color="auto" w:fill="FFFFFF" w:themeFill="background1"/>
          </w:tcPr>
          <w:p w:rsidR="002C3E85" w:rsidRDefault="002C3E85" w:rsidP="00AB11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金屬</w:t>
            </w:r>
            <w:r>
              <w:rPr>
                <w:rFonts w:ascii="標楷體" w:eastAsia="標楷體" w:hAnsi="標楷體" w:hint="eastAsia"/>
              </w:rPr>
              <w:t>類關鍵字選取</w:t>
            </w:r>
          </w:p>
        </w:tc>
      </w:tr>
      <w:tr w:rsidR="002C3E85" w:rsidRPr="003875EB" w:rsidTr="00AB117A">
        <w:tc>
          <w:tcPr>
            <w:tcW w:w="10456" w:type="dxa"/>
            <w:shd w:val="clear" w:color="auto" w:fill="FFFFFF" w:themeFill="background1"/>
          </w:tcPr>
          <w:p w:rsidR="002C3E85" w:rsidRPr="003875EB" w:rsidRDefault="002C3E85" w:rsidP="0071240C">
            <w:pPr>
              <w:jc w:val="center"/>
              <w:rPr>
                <w:rFonts w:ascii="var(--jp-code-font-family)" w:eastAsia="細明體" w:hAnsi="var(--jp-code-font-family)" w:cs="細明體" w:hint="eastAsia"/>
                <w:color w:val="000000" w:themeColor="text1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‘</w:t>
            </w:r>
            <w:r>
              <w:rPr>
                <w:rFonts w:ascii="var(--jp-code-font-family)" w:eastAsia="細明體" w:hAnsi="var(--jp-code-font-family)" w:cs="細明體" w:hint="eastAsia"/>
                <w:color w:val="000000" w:themeColor="text1"/>
                <w:kern w:val="0"/>
                <w:szCs w:val="24"/>
              </w:rPr>
              <w:t>LME</w:t>
            </w:r>
            <w:r w:rsidRPr="003875EB"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’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 xml:space="preserve"> , ‘</w:t>
            </w:r>
            <w:r>
              <w:rPr>
                <w:rFonts w:ascii="var(--jp-code-font-family)" w:eastAsia="細明體" w:hAnsi="var(--jp-code-font-family)" w:cs="細明體" w:hint="eastAsia"/>
                <w:color w:val="000000" w:themeColor="text1"/>
                <w:kern w:val="0"/>
                <w:szCs w:val="24"/>
              </w:rPr>
              <w:t>M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onetary policy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’ , ‘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gold hedge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’ , ‘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gold</w:t>
            </w:r>
            <w:r w:rsidR="0071240C"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 xml:space="preserve"> china’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 xml:space="preserve"> , ‘</w:t>
            </w:r>
            <w:r w:rsidRPr="00141A9E"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 w:val="27"/>
                <w:szCs w:val="24"/>
              </w:rPr>
              <w:t>gold australia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 xml:space="preserve">’ </w:t>
            </w:r>
          </w:p>
        </w:tc>
      </w:tr>
    </w:tbl>
    <w:p w:rsidR="002C3E85" w:rsidRDefault="002C3E85" w:rsidP="002C3E85">
      <w:pPr>
        <w:rPr>
          <w:rFonts w:ascii="標楷體" w:eastAsia="標楷體" w:hAnsi="標楷體" w:hint="eastAsia"/>
        </w:rPr>
      </w:pPr>
    </w:p>
    <w:p w:rsidR="0010111E" w:rsidRDefault="00BC744A" w:rsidP="0010111E">
      <w:pPr>
        <w:ind w:left="480"/>
        <w:rPr>
          <w:rFonts w:ascii="標楷體" w:eastAsia="標楷體" w:hAnsi="標楷體"/>
          <w:b/>
        </w:rPr>
      </w:pPr>
      <w:r w:rsidRPr="00BC744A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2AC554EF" wp14:editId="6F5817A8">
            <wp:simplePos x="0" y="0"/>
            <wp:positionH relativeFrom="margin">
              <wp:align>right</wp:align>
            </wp:positionH>
            <wp:positionV relativeFrom="paragraph">
              <wp:posOffset>325888</wp:posOffset>
            </wp:positionV>
            <wp:extent cx="6645910" cy="109220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11E" w:rsidRPr="002C3E85">
        <w:rPr>
          <w:rFonts w:ascii="標楷體" w:eastAsia="標楷體" w:hAnsi="標楷體" w:hint="eastAsia"/>
          <w:b/>
        </w:rPr>
        <w:t>銅期貨</w:t>
      </w:r>
    </w:p>
    <w:p w:rsidR="00141A9E" w:rsidRDefault="00141A9E" w:rsidP="00141A9E">
      <w:pPr>
        <w:ind w:left="480"/>
        <w:rPr>
          <w:rFonts w:ascii="標楷體" w:eastAsia="標楷體" w:hAnsi="標楷體"/>
        </w:rPr>
      </w:pPr>
    </w:p>
    <w:p w:rsidR="008839DC" w:rsidRPr="00141A9E" w:rsidRDefault="00141A9E" w:rsidP="00141A9E">
      <w:pPr>
        <w:ind w:left="480"/>
        <w:rPr>
          <w:rFonts w:eastAsia="標楷體" w:cstheme="minorHAnsi" w:hint="eastAsia"/>
        </w:rPr>
      </w:pPr>
      <w:r>
        <w:rPr>
          <w:rFonts w:ascii="標楷體" w:eastAsia="標楷體" w:hAnsi="標楷體" w:hint="eastAsia"/>
        </w:rPr>
        <w:t>銅期貨對</w:t>
      </w:r>
      <w:r>
        <w:rPr>
          <w:rFonts w:eastAsia="標楷體" w:cstheme="minorHAnsi"/>
        </w:rPr>
        <w:t>’</w:t>
      </w:r>
      <w:r>
        <w:rPr>
          <w:rFonts w:eastAsia="標楷體" w:cstheme="minorHAnsi" w:hint="eastAsia"/>
        </w:rPr>
        <w:t>cross mean del</w:t>
      </w:r>
      <w:r>
        <w:rPr>
          <w:rFonts w:eastAsia="標楷體" w:cstheme="minorHAnsi"/>
        </w:rPr>
        <w:t>’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 w:hint="eastAsia"/>
        </w:rPr>
        <w:t>GT60</w:t>
      </w:r>
      <w:r>
        <w:rPr>
          <w:rFonts w:eastAsia="標楷體" w:cstheme="minorHAnsi" w:hint="eastAsia"/>
        </w:rPr>
        <w:t>以上時，</w:t>
      </w:r>
      <w:r w:rsidRPr="008839DC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1466D07F" wp14:editId="475967A3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3200400" cy="2296160"/>
            <wp:effectExtent l="0" t="0" r="0" b="889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9DC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4BE9A757" wp14:editId="5DC58740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3200400" cy="2302510"/>
            <wp:effectExtent l="0" t="0" r="0" b="254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/>
        </w:rPr>
        <w:t>ATR3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ATR5</w:t>
      </w:r>
      <w:r>
        <w:rPr>
          <w:rFonts w:eastAsia="標楷體" w:cstheme="minorHAnsi" w:hint="eastAsia"/>
        </w:rPr>
        <w:t>顯著變大。</w:t>
      </w:r>
    </w:p>
    <w:p w:rsidR="00BC744A" w:rsidRDefault="00BC744A" w:rsidP="0010111E">
      <w:pPr>
        <w:rPr>
          <w:rFonts w:ascii="標楷體" w:eastAsia="標楷體" w:hAnsi="標楷體" w:hint="eastAsia"/>
        </w:rPr>
      </w:pPr>
    </w:p>
    <w:p w:rsidR="0010111E" w:rsidRPr="002C3E85" w:rsidRDefault="008839DC" w:rsidP="0010111E">
      <w:pPr>
        <w:ind w:left="480"/>
        <w:rPr>
          <w:rFonts w:ascii="標楷體" w:eastAsia="標楷體" w:hAnsi="標楷體"/>
          <w:b/>
        </w:rPr>
      </w:pPr>
      <w:r w:rsidRPr="008839DC">
        <w:rPr>
          <w:rFonts w:ascii="標楷體" w:eastAsia="標楷體" w:hAnsi="標楷體"/>
        </w:rPr>
        <w:drawing>
          <wp:anchor distT="0" distB="0" distL="114300" distR="114300" simplePos="0" relativeHeight="251664384" behindDoc="0" locked="0" layoutInCell="1" allowOverlap="1" wp14:anchorId="06919888" wp14:editId="1A9542EB">
            <wp:simplePos x="0" y="0"/>
            <wp:positionH relativeFrom="margin">
              <wp:align>right</wp:align>
            </wp:positionH>
            <wp:positionV relativeFrom="paragraph">
              <wp:posOffset>292248</wp:posOffset>
            </wp:positionV>
            <wp:extent cx="6645910" cy="1084580"/>
            <wp:effectExtent l="0" t="0" r="2540" b="127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11E" w:rsidRPr="002C3E85">
        <w:rPr>
          <w:rFonts w:ascii="標楷體" w:eastAsia="標楷體" w:hAnsi="標楷體" w:hint="eastAsia"/>
          <w:b/>
        </w:rPr>
        <w:t>黃金期貨</w:t>
      </w:r>
    </w:p>
    <w:p w:rsidR="008839DC" w:rsidRDefault="008839DC" w:rsidP="00BC744A">
      <w:pPr>
        <w:rPr>
          <w:rFonts w:ascii="標楷體" w:eastAsia="標楷體" w:hAnsi="標楷體"/>
        </w:rPr>
      </w:pPr>
    </w:p>
    <w:p w:rsidR="00141A9E" w:rsidRDefault="00141A9E" w:rsidP="00BC744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無顯著差異。</w:t>
      </w:r>
    </w:p>
    <w:p w:rsidR="00696FD5" w:rsidRDefault="00696FD5" w:rsidP="0071240C">
      <w:pPr>
        <w:rPr>
          <w:rFonts w:ascii="標楷體" w:eastAsia="標楷體" w:hAnsi="標楷體" w:hint="eastAsia"/>
        </w:rPr>
      </w:pPr>
    </w:p>
    <w:p w:rsidR="0010111E" w:rsidRPr="0071240C" w:rsidRDefault="00974DCF" w:rsidP="0071240C">
      <w:pPr>
        <w:ind w:left="480"/>
        <w:rPr>
          <w:rFonts w:ascii="標楷體" w:eastAsia="標楷體" w:hAnsi="標楷體" w:hint="eastAsia"/>
          <w:b/>
        </w:rPr>
      </w:pPr>
      <w:r w:rsidRPr="00974DCF">
        <w:rPr>
          <w:rFonts w:ascii="標楷體" w:eastAsia="標楷體" w:hAnsi="標楷體"/>
        </w:rPr>
        <w:lastRenderedPageBreak/>
        <w:drawing>
          <wp:anchor distT="0" distB="0" distL="114300" distR="114300" simplePos="0" relativeHeight="251668480" behindDoc="0" locked="0" layoutInCell="1" allowOverlap="1" wp14:anchorId="2C620813" wp14:editId="47DC8EFA">
            <wp:simplePos x="0" y="0"/>
            <wp:positionH relativeFrom="margin">
              <wp:align>left</wp:align>
            </wp:positionH>
            <wp:positionV relativeFrom="paragraph">
              <wp:posOffset>327026</wp:posOffset>
            </wp:positionV>
            <wp:extent cx="6659245" cy="1093186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109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FD5" w:rsidRPr="002C3E85">
        <w:rPr>
          <w:rFonts w:ascii="標楷體" w:eastAsia="標楷體" w:hAnsi="標楷體" w:hint="eastAsia"/>
          <w:b/>
        </w:rPr>
        <w:t>白金期貨</w:t>
      </w:r>
    </w:p>
    <w:p w:rsidR="0010111E" w:rsidRDefault="0010111E" w:rsidP="0071240C">
      <w:pPr>
        <w:rPr>
          <w:rFonts w:ascii="標楷體" w:eastAsia="標楷體" w:hAnsi="標楷體" w:hint="eastAsia"/>
        </w:rPr>
      </w:pPr>
    </w:p>
    <w:p w:rsidR="0071240C" w:rsidRDefault="00141A9E" w:rsidP="0010111E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無顯著差異。</w:t>
      </w:r>
    </w:p>
    <w:p w:rsidR="0071240C" w:rsidRDefault="0071240C" w:rsidP="0010111E">
      <w:pPr>
        <w:ind w:left="480"/>
        <w:rPr>
          <w:rFonts w:ascii="標楷體" w:eastAsia="標楷體" w:hAnsi="標楷體"/>
        </w:rPr>
      </w:pPr>
    </w:p>
    <w:p w:rsidR="0071240C" w:rsidRDefault="0071240C" w:rsidP="0010111E">
      <w:pPr>
        <w:ind w:left="480"/>
        <w:rPr>
          <w:rFonts w:ascii="標楷體" w:eastAsia="標楷體" w:hAnsi="標楷體" w:hint="eastAsia"/>
        </w:rPr>
      </w:pPr>
    </w:p>
    <w:p w:rsidR="0010111E" w:rsidRPr="002C3E85" w:rsidRDefault="003868BA" w:rsidP="003868BA">
      <w:pPr>
        <w:tabs>
          <w:tab w:val="left" w:pos="1875"/>
        </w:tabs>
        <w:ind w:left="480"/>
        <w:rPr>
          <w:rFonts w:ascii="標楷體" w:eastAsia="標楷體" w:hAnsi="標楷體"/>
          <w:b/>
        </w:rPr>
      </w:pPr>
      <w:r w:rsidRPr="002C3E85">
        <w:rPr>
          <w:rFonts w:ascii="標楷體" w:eastAsia="標楷體" w:hAnsi="標楷體" w:hint="eastAsia"/>
          <w:b/>
        </w:rPr>
        <w:t>白銀期貨</w:t>
      </w:r>
    </w:p>
    <w:p w:rsidR="00696FD5" w:rsidRDefault="00974DCF" w:rsidP="003868BA">
      <w:pPr>
        <w:tabs>
          <w:tab w:val="left" w:pos="1875"/>
        </w:tabs>
        <w:ind w:left="480"/>
        <w:rPr>
          <w:rFonts w:ascii="標楷體" w:eastAsia="標楷體" w:hAnsi="標楷體"/>
        </w:rPr>
      </w:pPr>
      <w:r w:rsidRPr="0071240C">
        <w:rPr>
          <w:rFonts w:ascii="標楷體" w:eastAsia="標楷體" w:hAnsi="標楷體"/>
        </w:rPr>
        <w:drawing>
          <wp:anchor distT="0" distB="0" distL="114300" distR="114300" simplePos="0" relativeHeight="251667456" behindDoc="0" locked="0" layoutInCell="1" allowOverlap="1" wp14:anchorId="544AD4D3" wp14:editId="55D37E24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659245" cy="1104900"/>
            <wp:effectExtent l="0" t="0" r="8255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A9E" w:rsidRDefault="00141A9E" w:rsidP="0010111E">
      <w:pPr>
        <w:ind w:left="480"/>
        <w:rPr>
          <w:rFonts w:ascii="標楷體" w:eastAsia="標楷體" w:hAnsi="標楷體"/>
        </w:rPr>
      </w:pPr>
    </w:p>
    <w:p w:rsidR="00141A9E" w:rsidRPr="00141A9E" w:rsidRDefault="00141A9E" w:rsidP="00141A9E">
      <w:pPr>
        <w:ind w:firstLine="480"/>
        <w:rPr>
          <w:rFonts w:eastAsia="標楷體" w:cstheme="minorHAnsi" w:hint="eastAsia"/>
        </w:rPr>
      </w:pPr>
      <w:r>
        <w:rPr>
          <w:rFonts w:ascii="標楷體" w:eastAsia="標楷體" w:hAnsi="標楷體" w:hint="eastAsia"/>
        </w:rPr>
        <w:t>白銀期貨對</w:t>
      </w:r>
      <w:r w:rsidRPr="0071240C">
        <w:rPr>
          <w:rFonts w:ascii="標楷體" w:eastAsia="標楷體" w:hAnsi="標楷體"/>
        </w:rPr>
        <w:drawing>
          <wp:anchor distT="0" distB="0" distL="114300" distR="114300" simplePos="0" relativeHeight="251665408" behindDoc="0" locked="0" layoutInCell="1" allowOverlap="1" wp14:anchorId="1E959380" wp14:editId="6B4847A0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3269615" cy="2333625"/>
            <wp:effectExtent l="0" t="0" r="6985" b="952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40C">
        <w:rPr>
          <w:rFonts w:ascii="標楷體" w:eastAsia="標楷體" w:hAnsi="標楷體"/>
        </w:rPr>
        <w:drawing>
          <wp:anchor distT="0" distB="0" distL="114300" distR="114300" simplePos="0" relativeHeight="251666432" behindDoc="0" locked="0" layoutInCell="1" allowOverlap="1" wp14:anchorId="4EF0B2D2" wp14:editId="0308F923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3311525" cy="2360295"/>
            <wp:effectExtent l="0" t="0" r="3175" b="190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/>
        </w:rPr>
        <w:t>’cross mean all’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 w:hint="eastAsia"/>
        </w:rPr>
        <w:t>GT50</w:t>
      </w:r>
      <w:r>
        <w:rPr>
          <w:rFonts w:eastAsia="標楷體" w:cstheme="minorHAnsi" w:hint="eastAsia"/>
        </w:rPr>
        <w:t>以上時，有顯著變大。</w:t>
      </w:r>
      <w:bookmarkStart w:id="0" w:name="_GoBack"/>
      <w:bookmarkEnd w:id="0"/>
    </w:p>
    <w:p w:rsidR="00974DCF" w:rsidRDefault="00974DCF" w:rsidP="0010111E">
      <w:pPr>
        <w:ind w:left="480"/>
        <w:rPr>
          <w:rFonts w:ascii="標楷體" w:eastAsia="標楷體" w:hAnsi="標楷體" w:hint="eastAsia"/>
        </w:rPr>
      </w:pPr>
    </w:p>
    <w:sectPr w:rsidR="00974DCF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59" w:rsidRDefault="00351F59" w:rsidP="000C6639">
      <w:r>
        <w:separator/>
      </w:r>
    </w:p>
  </w:endnote>
  <w:endnote w:type="continuationSeparator" w:id="0">
    <w:p w:rsidR="00351F59" w:rsidRDefault="00351F59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59" w:rsidRDefault="00351F59" w:rsidP="000C6639">
      <w:r>
        <w:separator/>
      </w:r>
    </w:p>
  </w:footnote>
  <w:footnote w:type="continuationSeparator" w:id="0">
    <w:p w:rsidR="00351F59" w:rsidRDefault="00351F59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073A5"/>
    <w:rsid w:val="000C6639"/>
    <w:rsid w:val="0010111E"/>
    <w:rsid w:val="00141A9E"/>
    <w:rsid w:val="00241834"/>
    <w:rsid w:val="002C3E85"/>
    <w:rsid w:val="002F2F1D"/>
    <w:rsid w:val="00351F59"/>
    <w:rsid w:val="00355E07"/>
    <w:rsid w:val="003631E9"/>
    <w:rsid w:val="003868BA"/>
    <w:rsid w:val="00485FA6"/>
    <w:rsid w:val="00696FD5"/>
    <w:rsid w:val="006A2716"/>
    <w:rsid w:val="0071240C"/>
    <w:rsid w:val="008829E5"/>
    <w:rsid w:val="008839DC"/>
    <w:rsid w:val="00900F68"/>
    <w:rsid w:val="00974DCF"/>
    <w:rsid w:val="00BC744A"/>
    <w:rsid w:val="00BE6BEC"/>
    <w:rsid w:val="00EC48E6"/>
    <w:rsid w:val="00E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66D9E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  <w:style w:type="table" w:styleId="a8">
    <w:name w:val="Table Grid"/>
    <w:basedOn w:val="a1"/>
    <w:uiPriority w:val="39"/>
    <w:rsid w:val="002C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13</cp:revision>
  <dcterms:created xsi:type="dcterms:W3CDTF">2020-08-04T02:36:00Z</dcterms:created>
  <dcterms:modified xsi:type="dcterms:W3CDTF">2020-08-07T03:40:00Z</dcterms:modified>
</cp:coreProperties>
</file>