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140"/>
      </w:tblGrid>
      <w:tr w:rsidR="00467020" w:rsidRPr="007B07AE" w14:paraId="57CCF926" w14:textId="196D85DD" w:rsidTr="008B5D03">
        <w:tc>
          <w:tcPr>
            <w:tcW w:w="5940" w:type="dxa"/>
            <w:tcBorders>
              <w:bottom w:val="single" w:sz="4" w:space="0" w:color="auto"/>
            </w:tcBorders>
            <w:vAlign w:val="center"/>
          </w:tcPr>
          <w:p w14:paraId="2751BEA3" w14:textId="7E7EDEE2" w:rsidR="0006122D" w:rsidRPr="001511C2" w:rsidRDefault="00892445" w:rsidP="00467020">
            <w:pPr>
              <w:rPr>
                <w:rFonts w:ascii="Garamond" w:hAnsi="Garamond"/>
                <w:smallCaps/>
                <w:sz w:val="36"/>
                <w:szCs w:val="36"/>
              </w:rPr>
            </w:pPr>
            <w:r>
              <w:rPr>
                <w:rFonts w:ascii="Garamond" w:hAnsi="Garamond"/>
                <w:smallCaps/>
                <w:sz w:val="36"/>
                <w:szCs w:val="36"/>
              </w:rPr>
              <w:t xml:space="preserve">Jenna </w:t>
            </w:r>
            <w:proofErr w:type="spellStart"/>
            <w:r>
              <w:rPr>
                <w:rFonts w:ascii="Garamond" w:hAnsi="Garamond"/>
                <w:smallCaps/>
                <w:sz w:val="36"/>
                <w:szCs w:val="36"/>
              </w:rPr>
              <w:t>a</w:t>
            </w:r>
            <w:r w:rsidR="00CA4C7A" w:rsidRPr="001511C2">
              <w:rPr>
                <w:rFonts w:ascii="Garamond" w:hAnsi="Garamond"/>
                <w:smallCaps/>
                <w:sz w:val="36"/>
                <w:szCs w:val="36"/>
              </w:rPr>
              <w:t>nd</w:t>
            </w:r>
            <w:r>
              <w:rPr>
                <w:rFonts w:ascii="Garamond" w:hAnsi="Garamond"/>
                <w:smallCaps/>
                <w:sz w:val="36"/>
                <w:szCs w:val="36"/>
              </w:rPr>
              <w:t>ers</w:t>
            </w:r>
            <w:proofErr w:type="spellEnd"/>
          </w:p>
          <w:p w14:paraId="669C8C26" w14:textId="70F44A1E" w:rsidR="00FA0673" w:rsidRPr="00C146CD" w:rsidRDefault="00C146CD" w:rsidP="00467020">
            <w:pPr>
              <w:rPr>
                <w:rStyle w:val="Hyperlink"/>
                <w:bCs/>
                <w:color w:val="000000" w:themeColor="text1"/>
              </w:rPr>
            </w:pPr>
            <w:r w:rsidRPr="00C146CD">
              <w:rPr>
                <w:rStyle w:val="Hyperlink"/>
                <w:bCs/>
                <w:color w:val="000000" w:themeColor="text1"/>
              </w:rPr>
              <w:t>jennaanders@berkeley.edu</w:t>
            </w:r>
          </w:p>
          <w:p w14:paraId="5C9436E9" w14:textId="30D648E5" w:rsidR="00FA0673" w:rsidRPr="00C146CD" w:rsidRDefault="00892445" w:rsidP="00467020">
            <w:pPr>
              <w:rPr>
                <w:bCs/>
                <w:color w:val="000000" w:themeColor="text1"/>
              </w:rPr>
            </w:pPr>
            <w:r w:rsidRPr="00C146CD">
              <w:rPr>
                <w:bCs/>
                <w:color w:val="000000" w:themeColor="text1"/>
              </w:rPr>
              <w:t>703-346-4289</w:t>
            </w:r>
          </w:p>
          <w:p w14:paraId="0DC8DB01" w14:textId="2C849B4A" w:rsidR="00FA4E4A" w:rsidRPr="004F4F98" w:rsidRDefault="004F4F98" w:rsidP="004F4F98">
            <w:pPr>
              <w:rPr>
                <w:bCs/>
                <w:color w:val="99403E"/>
                <w:sz w:val="20"/>
                <w:szCs w:val="20"/>
              </w:rPr>
            </w:pPr>
            <w:bookmarkStart w:id="0" w:name="OLE_LINK1"/>
            <w:r w:rsidRPr="00C146CD">
              <w:rPr>
                <w:bCs/>
                <w:color w:val="000000" w:themeColor="text1"/>
              </w:rPr>
              <w:t>https://jenna-anders.github.io</w:t>
            </w:r>
            <w:bookmarkEnd w:id="0"/>
          </w:p>
        </w:tc>
        <w:tc>
          <w:tcPr>
            <w:tcW w:w="4140" w:type="dxa"/>
            <w:tcBorders>
              <w:bottom w:val="single" w:sz="4" w:space="0" w:color="auto"/>
            </w:tcBorders>
          </w:tcPr>
          <w:p w14:paraId="19B5234A" w14:textId="29FF12D6" w:rsidR="00467020" w:rsidRDefault="00467020" w:rsidP="00467020">
            <w:pPr>
              <w:jc w:val="right"/>
            </w:pPr>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84"/>
        <w:gridCol w:w="8196"/>
      </w:tblGrid>
      <w:tr w:rsidR="00C146CD" w:rsidRPr="00B03A5A" w14:paraId="19CED563" w14:textId="77777777" w:rsidTr="00F85689">
        <w:tc>
          <w:tcPr>
            <w:tcW w:w="1884" w:type="dxa"/>
          </w:tcPr>
          <w:p w14:paraId="4E3B5FA1" w14:textId="11EAF32D" w:rsidR="00C146CD" w:rsidRPr="00B03A5A" w:rsidRDefault="00C146CD" w:rsidP="00F85689">
            <w:pPr>
              <w:rPr>
                <w:b/>
                <w:sz w:val="20"/>
                <w:szCs w:val="20"/>
              </w:rPr>
            </w:pPr>
            <w:r>
              <w:rPr>
                <w:b/>
                <w:sz w:val="20"/>
                <w:szCs w:val="20"/>
              </w:rPr>
              <w:t>Academic Positions</w:t>
            </w:r>
          </w:p>
        </w:tc>
        <w:tc>
          <w:tcPr>
            <w:tcW w:w="8196" w:type="dxa"/>
          </w:tcPr>
          <w:p w14:paraId="40646C30" w14:textId="36AE447E" w:rsidR="007C5460" w:rsidRDefault="007C5460" w:rsidP="00F85689">
            <w:pPr>
              <w:rPr>
                <w:sz w:val="20"/>
                <w:szCs w:val="20"/>
              </w:rPr>
            </w:pPr>
            <w:r>
              <w:rPr>
                <w:i/>
                <w:iCs/>
                <w:sz w:val="20"/>
                <w:szCs w:val="20"/>
              </w:rPr>
              <w:t>Assi</w:t>
            </w:r>
            <w:r w:rsidR="00FF4256">
              <w:rPr>
                <w:i/>
                <w:iCs/>
                <w:sz w:val="20"/>
                <w:szCs w:val="20"/>
              </w:rPr>
              <w:t>s</w:t>
            </w:r>
            <w:r>
              <w:rPr>
                <w:i/>
                <w:iCs/>
                <w:sz w:val="20"/>
                <w:szCs w:val="20"/>
              </w:rPr>
              <w:t>tant Professor of Public Policy and Economics</w:t>
            </w:r>
            <w:r>
              <w:rPr>
                <w:sz w:val="20"/>
                <w:szCs w:val="20"/>
              </w:rPr>
              <w:t>, 2025-</w:t>
            </w:r>
          </w:p>
          <w:p w14:paraId="4C100875" w14:textId="764406D8" w:rsidR="007C5460" w:rsidRPr="007C5460" w:rsidRDefault="007C5460" w:rsidP="00F85689">
            <w:pPr>
              <w:rPr>
                <w:sz w:val="20"/>
                <w:szCs w:val="20"/>
              </w:rPr>
            </w:pPr>
            <w:r>
              <w:rPr>
                <w:sz w:val="20"/>
                <w:szCs w:val="20"/>
              </w:rPr>
              <w:t>University of Virginia, Batten School of Leadership and Public Policy</w:t>
            </w:r>
          </w:p>
          <w:p w14:paraId="337EEA7B" w14:textId="77777777" w:rsidR="007C5460" w:rsidRDefault="007C5460" w:rsidP="00F85689">
            <w:pPr>
              <w:rPr>
                <w:i/>
                <w:iCs/>
                <w:sz w:val="20"/>
                <w:szCs w:val="20"/>
              </w:rPr>
            </w:pPr>
          </w:p>
          <w:p w14:paraId="4FB5E9D7" w14:textId="67975403" w:rsidR="00C146CD" w:rsidRPr="007B2873" w:rsidRDefault="00C146CD" w:rsidP="00F85689">
            <w:pPr>
              <w:rPr>
                <w:sz w:val="20"/>
                <w:szCs w:val="20"/>
              </w:rPr>
            </w:pPr>
            <w:r>
              <w:rPr>
                <w:i/>
                <w:iCs/>
                <w:sz w:val="20"/>
                <w:szCs w:val="20"/>
              </w:rPr>
              <w:t xml:space="preserve">S.V. </w:t>
            </w:r>
            <w:proofErr w:type="spellStart"/>
            <w:r>
              <w:rPr>
                <w:i/>
                <w:iCs/>
                <w:sz w:val="20"/>
                <w:szCs w:val="20"/>
              </w:rPr>
              <w:t>Ciriacy-Wantrup</w:t>
            </w:r>
            <w:proofErr w:type="spellEnd"/>
            <w:r>
              <w:rPr>
                <w:i/>
                <w:iCs/>
                <w:sz w:val="20"/>
                <w:szCs w:val="20"/>
              </w:rPr>
              <w:t xml:space="preserve"> Postdoctoral Fellow</w:t>
            </w:r>
            <w:r w:rsidR="007B2873">
              <w:rPr>
                <w:sz w:val="20"/>
                <w:szCs w:val="20"/>
              </w:rPr>
              <w:t>, 2024-2025</w:t>
            </w:r>
          </w:p>
          <w:p w14:paraId="56D08D70" w14:textId="73744CDF" w:rsidR="00C146CD" w:rsidRPr="00B03A5A" w:rsidRDefault="00C146CD" w:rsidP="00F85689">
            <w:pPr>
              <w:rPr>
                <w:sz w:val="20"/>
                <w:szCs w:val="20"/>
              </w:rPr>
            </w:pPr>
            <w:r>
              <w:rPr>
                <w:sz w:val="20"/>
                <w:szCs w:val="20"/>
              </w:rPr>
              <w:t>University of California-Berkeley, Agricultural and Resource Economics</w:t>
            </w:r>
          </w:p>
        </w:tc>
      </w:tr>
    </w:tbl>
    <w:p w14:paraId="6EA355BB" w14:textId="77777777" w:rsidR="00C146CD" w:rsidRDefault="00C146CD">
      <w:pPr>
        <w:rPr>
          <w:b/>
        </w:rPr>
      </w:pPr>
    </w:p>
    <w:tbl>
      <w:tblPr>
        <w:tblW w:w="10080" w:type="dxa"/>
        <w:tblLayout w:type="fixed"/>
        <w:tblLook w:val="01E0" w:firstRow="1" w:lastRow="1" w:firstColumn="1" w:lastColumn="1" w:noHBand="0" w:noVBand="0"/>
      </w:tblPr>
      <w:tblGrid>
        <w:gridCol w:w="1884"/>
        <w:gridCol w:w="539"/>
        <w:gridCol w:w="7657"/>
      </w:tblGrid>
      <w:tr w:rsidR="00CB7144" w:rsidRPr="00B03A5A" w14:paraId="0646BB22" w14:textId="77777777" w:rsidTr="00F75415">
        <w:tc>
          <w:tcPr>
            <w:tcW w:w="1884" w:type="dxa"/>
          </w:tcPr>
          <w:p w14:paraId="1B3FB076" w14:textId="77777777" w:rsidR="00CB7144" w:rsidRPr="00B03A5A" w:rsidRDefault="00CB7144" w:rsidP="00281ADF">
            <w:pPr>
              <w:rPr>
                <w:b/>
                <w:sz w:val="20"/>
                <w:szCs w:val="20"/>
              </w:rPr>
            </w:pPr>
            <w:r w:rsidRPr="00B03A5A">
              <w:rPr>
                <w:b/>
                <w:sz w:val="20"/>
                <w:szCs w:val="20"/>
              </w:rPr>
              <w:t>Education</w:t>
            </w:r>
          </w:p>
        </w:tc>
        <w:tc>
          <w:tcPr>
            <w:tcW w:w="8196" w:type="dxa"/>
            <w:gridSpan w:val="2"/>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F75415">
        <w:tc>
          <w:tcPr>
            <w:tcW w:w="1884" w:type="dxa"/>
          </w:tcPr>
          <w:p w14:paraId="6285AA44" w14:textId="77777777" w:rsidR="00CB7144" w:rsidRPr="00B03A5A" w:rsidRDefault="00CB7144" w:rsidP="00281ADF">
            <w:pPr>
              <w:rPr>
                <w:sz w:val="20"/>
                <w:szCs w:val="20"/>
              </w:rPr>
            </w:pPr>
          </w:p>
        </w:tc>
        <w:tc>
          <w:tcPr>
            <w:tcW w:w="539" w:type="dxa"/>
          </w:tcPr>
          <w:p w14:paraId="3CE1E545" w14:textId="77777777" w:rsidR="00CB7144" w:rsidRPr="00536544" w:rsidRDefault="00CB7144" w:rsidP="00281ADF">
            <w:pPr>
              <w:rPr>
                <w:sz w:val="20"/>
                <w:szCs w:val="20"/>
              </w:rPr>
            </w:pPr>
          </w:p>
        </w:tc>
        <w:tc>
          <w:tcPr>
            <w:tcW w:w="7657" w:type="dxa"/>
          </w:tcPr>
          <w:p w14:paraId="42DFB454" w14:textId="39731FAC" w:rsidR="00CD0940" w:rsidRDefault="00CB7144" w:rsidP="00281ADF">
            <w:pPr>
              <w:rPr>
                <w:sz w:val="20"/>
                <w:szCs w:val="20"/>
              </w:rPr>
            </w:pPr>
            <w:r w:rsidRPr="00536544">
              <w:rPr>
                <w:sz w:val="20"/>
                <w:szCs w:val="20"/>
              </w:rPr>
              <w:t xml:space="preserve">Ph.D. </w:t>
            </w:r>
            <w:r w:rsidR="00CC7B6B">
              <w:rPr>
                <w:sz w:val="20"/>
                <w:szCs w:val="20"/>
              </w:rPr>
              <w:t>Economics,</w:t>
            </w:r>
            <w:r w:rsidRPr="00536544">
              <w:rPr>
                <w:sz w:val="20"/>
                <w:szCs w:val="20"/>
              </w:rPr>
              <w:t xml:space="preserve"> </w:t>
            </w:r>
            <w:r w:rsidR="00CC7B6B">
              <w:rPr>
                <w:sz w:val="20"/>
                <w:szCs w:val="20"/>
              </w:rPr>
              <w:t xml:space="preserve">2018 </w:t>
            </w:r>
            <w:r w:rsidRPr="00536544">
              <w:rPr>
                <w:sz w:val="20"/>
                <w:szCs w:val="20"/>
              </w:rPr>
              <w:t xml:space="preserve">to </w:t>
            </w:r>
            <w:r>
              <w:rPr>
                <w:sz w:val="20"/>
                <w:szCs w:val="20"/>
              </w:rPr>
              <w:t>2024</w:t>
            </w:r>
          </w:p>
          <w:p w14:paraId="509A44EE" w14:textId="5D0BB18F" w:rsidR="001E4A5A" w:rsidRPr="00B03A5A" w:rsidRDefault="001E4A5A" w:rsidP="00281ADF">
            <w:pPr>
              <w:rPr>
                <w:sz w:val="20"/>
                <w:szCs w:val="20"/>
              </w:rPr>
            </w:pPr>
            <w:r>
              <w:rPr>
                <w:sz w:val="20"/>
                <w:szCs w:val="20"/>
              </w:rPr>
              <w:t>Harvard Environmental Economics Program Pre-Doctoral Fellow</w:t>
            </w:r>
          </w:p>
        </w:tc>
      </w:tr>
      <w:tr w:rsidR="00CB7144" w:rsidRPr="00B03A5A" w14:paraId="5367E5FE" w14:textId="77777777" w:rsidTr="00F75415">
        <w:tc>
          <w:tcPr>
            <w:tcW w:w="1884" w:type="dxa"/>
          </w:tcPr>
          <w:p w14:paraId="24ACE1FD" w14:textId="77777777" w:rsidR="00CB7144" w:rsidRPr="00B03A5A" w:rsidRDefault="00CB7144" w:rsidP="00281ADF">
            <w:pPr>
              <w:rPr>
                <w:sz w:val="20"/>
                <w:szCs w:val="20"/>
              </w:rPr>
            </w:pPr>
          </w:p>
        </w:tc>
        <w:tc>
          <w:tcPr>
            <w:tcW w:w="539" w:type="dxa"/>
          </w:tcPr>
          <w:p w14:paraId="1766742A" w14:textId="77777777" w:rsidR="00CB7144" w:rsidRPr="00536544" w:rsidRDefault="00CB7144" w:rsidP="00281ADF">
            <w:pPr>
              <w:rPr>
                <w:sz w:val="20"/>
                <w:szCs w:val="20"/>
              </w:rPr>
            </w:pPr>
          </w:p>
        </w:tc>
        <w:tc>
          <w:tcPr>
            <w:tcW w:w="7657" w:type="dxa"/>
          </w:tcPr>
          <w:p w14:paraId="50832D26" w14:textId="60B8CE88" w:rsidR="00CB7144" w:rsidRPr="00536544" w:rsidRDefault="00CB7144" w:rsidP="00281ADF">
            <w:pPr>
              <w:rPr>
                <w:sz w:val="20"/>
                <w:szCs w:val="20"/>
              </w:rPr>
            </w:pPr>
          </w:p>
        </w:tc>
      </w:tr>
      <w:tr w:rsidR="00CB7144" w:rsidRPr="00B03A5A" w14:paraId="488591CC" w14:textId="77777777" w:rsidTr="00F75415">
        <w:trPr>
          <w:trHeight w:val="262"/>
        </w:trPr>
        <w:tc>
          <w:tcPr>
            <w:tcW w:w="1884" w:type="dxa"/>
          </w:tcPr>
          <w:p w14:paraId="3AF67A95" w14:textId="77777777" w:rsidR="00CB7144" w:rsidRPr="00B03A5A" w:rsidRDefault="00CB7144" w:rsidP="00281ADF">
            <w:pPr>
              <w:rPr>
                <w:sz w:val="20"/>
                <w:szCs w:val="20"/>
              </w:rPr>
            </w:pPr>
          </w:p>
        </w:tc>
        <w:tc>
          <w:tcPr>
            <w:tcW w:w="8196" w:type="dxa"/>
            <w:gridSpan w:val="2"/>
          </w:tcPr>
          <w:p w14:paraId="791F802F" w14:textId="1090C222" w:rsidR="00CB7144" w:rsidRPr="00B03A5A" w:rsidRDefault="00F75415" w:rsidP="00CB7144">
            <w:pPr>
              <w:rPr>
                <w:sz w:val="20"/>
                <w:szCs w:val="20"/>
              </w:rPr>
            </w:pPr>
            <w:r>
              <w:rPr>
                <w:b/>
                <w:bCs/>
                <w:sz w:val="20"/>
                <w:szCs w:val="20"/>
              </w:rPr>
              <w:t>Brown</w:t>
            </w:r>
            <w:r w:rsidR="00CB7144">
              <w:rPr>
                <w:b/>
                <w:bCs/>
                <w:sz w:val="20"/>
                <w:szCs w:val="20"/>
              </w:rPr>
              <w:t xml:space="preserve"> University</w:t>
            </w:r>
          </w:p>
        </w:tc>
      </w:tr>
      <w:tr w:rsidR="00CB7144" w:rsidRPr="00B03A5A" w14:paraId="5CF06DA2" w14:textId="77777777" w:rsidTr="00F75415">
        <w:trPr>
          <w:trHeight w:val="262"/>
        </w:trPr>
        <w:tc>
          <w:tcPr>
            <w:tcW w:w="1884" w:type="dxa"/>
          </w:tcPr>
          <w:p w14:paraId="3E15D23B" w14:textId="77777777" w:rsidR="00CB7144" w:rsidRPr="00B03A5A" w:rsidRDefault="00CB7144" w:rsidP="00281ADF">
            <w:pPr>
              <w:rPr>
                <w:sz w:val="20"/>
                <w:szCs w:val="20"/>
              </w:rPr>
            </w:pPr>
          </w:p>
        </w:tc>
        <w:tc>
          <w:tcPr>
            <w:tcW w:w="539" w:type="dxa"/>
          </w:tcPr>
          <w:p w14:paraId="1E12901A" w14:textId="77777777" w:rsidR="00CB7144" w:rsidRDefault="00CB7144" w:rsidP="00281ADF">
            <w:pPr>
              <w:rPr>
                <w:b/>
                <w:bCs/>
                <w:sz w:val="20"/>
                <w:szCs w:val="20"/>
              </w:rPr>
            </w:pPr>
          </w:p>
        </w:tc>
        <w:tc>
          <w:tcPr>
            <w:tcW w:w="7657" w:type="dxa"/>
          </w:tcPr>
          <w:p w14:paraId="300C24E7" w14:textId="0ADA9314" w:rsidR="00CB7144" w:rsidRPr="00B03A5A" w:rsidRDefault="00F75415" w:rsidP="00CB7144">
            <w:pPr>
              <w:rPr>
                <w:sz w:val="20"/>
                <w:szCs w:val="20"/>
              </w:rPr>
            </w:pPr>
            <w:r>
              <w:rPr>
                <w:sz w:val="20"/>
                <w:szCs w:val="20"/>
              </w:rPr>
              <w:t>B.A. Economics (honors), Environmental Studies, 2016</w:t>
            </w:r>
            <w:r w:rsidR="00184DA0">
              <w:rPr>
                <w:sz w:val="20"/>
                <w:szCs w:val="20"/>
              </w:rPr>
              <w:t xml:space="preserve"> </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5D88121F" w:rsidR="00CA4C7A" w:rsidRDefault="00E90FB7" w:rsidP="00281ADF">
            <w:pPr>
              <w:rPr>
                <w:sz w:val="20"/>
                <w:szCs w:val="20"/>
              </w:rPr>
            </w:pPr>
            <w:r>
              <w:rPr>
                <w:sz w:val="20"/>
                <w:szCs w:val="20"/>
              </w:rPr>
              <w:t xml:space="preserve">Primary: </w:t>
            </w:r>
            <w:r w:rsidR="00F75415">
              <w:rPr>
                <w:sz w:val="20"/>
                <w:szCs w:val="20"/>
              </w:rPr>
              <w:t>Public Economics</w:t>
            </w:r>
            <w:r w:rsidR="00925EAC">
              <w:rPr>
                <w:sz w:val="20"/>
                <w:szCs w:val="20"/>
              </w:rPr>
              <w:t>, Environmental Economics</w:t>
            </w:r>
          </w:p>
          <w:p w14:paraId="03FDE8E2" w14:textId="5EBD04CC" w:rsidR="00CA4C7A" w:rsidRPr="00B03A5A" w:rsidRDefault="00E90FB7" w:rsidP="00281ADF">
            <w:pPr>
              <w:rPr>
                <w:sz w:val="20"/>
                <w:szCs w:val="20"/>
              </w:rPr>
            </w:pPr>
            <w:r>
              <w:rPr>
                <w:sz w:val="20"/>
                <w:szCs w:val="20"/>
              </w:rPr>
              <w:t xml:space="preserve">Secondary: </w:t>
            </w:r>
            <w:r w:rsidR="00F75415">
              <w:rPr>
                <w:sz w:val="20"/>
                <w:szCs w:val="20"/>
              </w:rPr>
              <w:t>Labor Economics</w:t>
            </w:r>
          </w:p>
        </w:tc>
      </w:tr>
    </w:tbl>
    <w:p w14:paraId="47C1545B" w14:textId="77777777" w:rsidR="00A66680" w:rsidRDefault="00A66680">
      <w:pPr>
        <w:rPr>
          <w:b/>
        </w:rPr>
      </w:pPr>
    </w:p>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1511C2">
        <w:tc>
          <w:tcPr>
            <w:tcW w:w="1890" w:type="dxa"/>
          </w:tcPr>
          <w:p w14:paraId="36586BA1" w14:textId="4E772FEA" w:rsidR="003438F7" w:rsidRPr="00B03A5A" w:rsidRDefault="00670E38" w:rsidP="00281ADF">
            <w:pPr>
              <w:rPr>
                <w:b/>
                <w:bCs/>
                <w:sz w:val="20"/>
                <w:szCs w:val="20"/>
              </w:rPr>
            </w:pPr>
            <w:r>
              <w:rPr>
                <w:b/>
                <w:bCs/>
                <w:sz w:val="20"/>
                <w:szCs w:val="20"/>
              </w:rPr>
              <w:t>Working Papers</w:t>
            </w:r>
          </w:p>
        </w:tc>
        <w:tc>
          <w:tcPr>
            <w:tcW w:w="8190" w:type="dxa"/>
          </w:tcPr>
          <w:p w14:paraId="7925DEA5" w14:textId="6F100108" w:rsidR="003438F7" w:rsidRPr="00E90FB7" w:rsidRDefault="00E90FB7" w:rsidP="00281ADF">
            <w:pPr>
              <w:rPr>
                <w:sz w:val="20"/>
                <w:szCs w:val="20"/>
              </w:rPr>
            </w:pPr>
            <w:r w:rsidRPr="0075544B">
              <w:rPr>
                <w:sz w:val="20"/>
                <w:szCs w:val="20"/>
              </w:rPr>
              <w:t>“</w:t>
            </w:r>
            <w:hyperlink r:id="rId6" w:history="1">
              <w:r w:rsidRPr="003523A3">
                <w:rPr>
                  <w:rStyle w:val="Hyperlink"/>
                  <w:b/>
                  <w:bCs/>
                  <w:sz w:val="20"/>
                  <w:szCs w:val="20"/>
                </w:rPr>
                <w:t>The Gorilla in the Closet: Regulatory Enforcement Under Federalism</w:t>
              </w:r>
            </w:hyperlink>
            <w:r w:rsidRPr="0075544B">
              <w:rPr>
                <w:sz w:val="20"/>
                <w:szCs w:val="20"/>
              </w:rPr>
              <w:t xml:space="preserve">” </w:t>
            </w:r>
            <w:r>
              <w:rPr>
                <w:sz w:val="20"/>
                <w:szCs w:val="20"/>
              </w:rPr>
              <w:t>(with Romaine Campbell)</w:t>
            </w:r>
          </w:p>
          <w:p w14:paraId="3CDB5401" w14:textId="77777777" w:rsidR="003438F7" w:rsidRDefault="003438F7" w:rsidP="00281ADF">
            <w:pPr>
              <w:rPr>
                <w:sz w:val="20"/>
                <w:szCs w:val="20"/>
              </w:rPr>
            </w:pPr>
          </w:p>
          <w:p w14:paraId="45329224" w14:textId="4175CF88" w:rsidR="003438F7" w:rsidRPr="00F20988" w:rsidRDefault="007F20E5" w:rsidP="003A483F">
            <w:pPr>
              <w:ind w:left="-16" w:right="-114"/>
              <w:jc w:val="both"/>
              <w:rPr>
                <w:sz w:val="20"/>
                <w:szCs w:val="20"/>
              </w:rPr>
            </w:pPr>
            <w:r w:rsidRPr="007F20E5">
              <w:rPr>
                <w:sz w:val="20"/>
                <w:szCs w:val="20"/>
              </w:rPr>
              <w:t>How does federal regulatory capacity affect state enforcement outcomes? In this paper, we provide a model in which a stronger federal regulatory agency can either strengthen or weaken states' negotiating position with their regulated entities. The optimal federal enforcement for the states is one that maximizes state-level negotiated penalties. We apply this in the context of environmental regulation to test whether the EPA</w:t>
            </w:r>
            <w:r>
              <w:rPr>
                <w:sz w:val="20"/>
                <w:szCs w:val="20"/>
              </w:rPr>
              <w:t xml:space="preserve">’s enforcement is </w:t>
            </w:r>
            <w:r w:rsidRPr="007F20E5">
              <w:rPr>
                <w:sz w:val="20"/>
                <w:szCs w:val="20"/>
              </w:rPr>
              <w:t xml:space="preserve">too strong or too lenient in two environmental programs. First, using an EPA database of state-issued penalties, we show that when EPA's budget was cut in 2011, state penalties for Clean Air Act violations shrank by 15%. Second, using a dataset with information about environmental remediation projects under California state jurisdiction, we show that firms are more likely to begin cleanup projects during Democratic federal administrations. Our remediation analysis identifies the mechanism: while firm cleanup behavior is affected by EPA strength, cleanups conducted by the state are not, providing evidence that the effects operate through firm-state bargaining. We conclude that </w:t>
            </w:r>
            <w:r w:rsidR="00223E5D">
              <w:rPr>
                <w:sz w:val="20"/>
                <w:szCs w:val="20"/>
              </w:rPr>
              <w:t>over one-third</w:t>
            </w:r>
            <w:r w:rsidRPr="007F20E5">
              <w:rPr>
                <w:sz w:val="20"/>
                <w:szCs w:val="20"/>
              </w:rPr>
              <w:t xml:space="preserve"> of EPA's effect on environmental penalties is through its spillovers to state outcomes, and that states would benefit from a stronger EPA.</w:t>
            </w:r>
          </w:p>
        </w:tc>
      </w:tr>
    </w:tbl>
    <w:p w14:paraId="198D3E19" w14:textId="77777777" w:rsidR="00B41668" w:rsidRDefault="00B41668">
      <w:pPr>
        <w:rPr>
          <w:b/>
        </w:rPr>
      </w:pPr>
    </w:p>
    <w:tbl>
      <w:tblPr>
        <w:tblW w:w="10080" w:type="dxa"/>
        <w:tblLayout w:type="fixed"/>
        <w:tblLook w:val="01E0" w:firstRow="1" w:lastRow="1" w:firstColumn="1" w:lastColumn="1" w:noHBand="0" w:noVBand="0"/>
      </w:tblPr>
      <w:tblGrid>
        <w:gridCol w:w="1890"/>
        <w:gridCol w:w="8190"/>
      </w:tblGrid>
      <w:tr w:rsidR="003438F7" w:rsidRPr="00B03A5A" w14:paraId="41C78680" w14:textId="77777777" w:rsidTr="001511C2">
        <w:tc>
          <w:tcPr>
            <w:tcW w:w="1890" w:type="dxa"/>
          </w:tcPr>
          <w:p w14:paraId="2B3D1902" w14:textId="4D760A83" w:rsidR="003438F7" w:rsidRPr="00B03A5A" w:rsidRDefault="003438F7" w:rsidP="00281ADF">
            <w:pPr>
              <w:rPr>
                <w:b/>
                <w:sz w:val="20"/>
                <w:szCs w:val="20"/>
              </w:rPr>
            </w:pPr>
          </w:p>
        </w:tc>
        <w:tc>
          <w:tcPr>
            <w:tcW w:w="8190" w:type="dxa"/>
          </w:tcPr>
          <w:p w14:paraId="51DE293E" w14:textId="4B1ABE6F" w:rsidR="0075544B" w:rsidRPr="0075544B" w:rsidRDefault="0075544B" w:rsidP="0075544B">
            <w:pPr>
              <w:rPr>
                <w:sz w:val="20"/>
                <w:szCs w:val="20"/>
              </w:rPr>
            </w:pPr>
            <w:r w:rsidRPr="0075544B">
              <w:rPr>
                <w:sz w:val="20"/>
                <w:szCs w:val="20"/>
              </w:rPr>
              <w:t>“</w:t>
            </w:r>
            <w:hyperlink r:id="rId7" w:history="1">
              <w:r w:rsidRPr="00596B20">
                <w:rPr>
                  <w:rStyle w:val="Hyperlink"/>
                  <w:sz w:val="20"/>
                  <w:szCs w:val="20"/>
                </w:rPr>
                <w:t>The Welfare Effects of Eligibility Expansions: Theory and Evidence from SNAP</w:t>
              </w:r>
            </w:hyperlink>
            <w:r w:rsidRPr="0075544B">
              <w:rPr>
                <w:sz w:val="20"/>
                <w:szCs w:val="20"/>
              </w:rPr>
              <w:t xml:space="preserve">” </w:t>
            </w:r>
            <w:r>
              <w:rPr>
                <w:sz w:val="20"/>
                <w:szCs w:val="20"/>
              </w:rPr>
              <w:t xml:space="preserve">(with Charlie </w:t>
            </w:r>
            <w:proofErr w:type="spellStart"/>
            <w:r>
              <w:rPr>
                <w:sz w:val="20"/>
                <w:szCs w:val="20"/>
              </w:rPr>
              <w:t>Rafkin</w:t>
            </w:r>
            <w:proofErr w:type="spellEnd"/>
            <w:r>
              <w:rPr>
                <w:sz w:val="20"/>
                <w:szCs w:val="20"/>
              </w:rPr>
              <w:t>), 202</w:t>
            </w:r>
            <w:r w:rsidR="00CD5531">
              <w:rPr>
                <w:sz w:val="20"/>
                <w:szCs w:val="20"/>
              </w:rPr>
              <w:t>4</w:t>
            </w:r>
            <w:r>
              <w:rPr>
                <w:sz w:val="20"/>
                <w:szCs w:val="20"/>
              </w:rPr>
              <w:t xml:space="preserve">. Conditionally accepted at </w:t>
            </w:r>
            <w:r>
              <w:rPr>
                <w:i/>
                <w:iCs/>
                <w:sz w:val="20"/>
                <w:szCs w:val="20"/>
              </w:rPr>
              <w:t>American Economic Journal: Economic Policy</w:t>
            </w:r>
            <w:r>
              <w:rPr>
                <w:sz w:val="20"/>
                <w:szCs w:val="20"/>
              </w:rPr>
              <w:t>.</w:t>
            </w:r>
          </w:p>
          <w:p w14:paraId="52E11E1E" w14:textId="77777777" w:rsidR="0075544B" w:rsidRDefault="0075544B" w:rsidP="0075544B">
            <w:pPr>
              <w:rPr>
                <w:sz w:val="20"/>
                <w:szCs w:val="20"/>
              </w:rPr>
            </w:pPr>
          </w:p>
          <w:p w14:paraId="5DB9F3B6" w14:textId="6A3DCB46" w:rsidR="008B57A4" w:rsidRPr="00B03A5A" w:rsidRDefault="0075544B" w:rsidP="005F7849">
            <w:pPr>
              <w:ind w:right="-114"/>
              <w:jc w:val="both"/>
              <w:rPr>
                <w:sz w:val="20"/>
                <w:szCs w:val="20"/>
              </w:rPr>
            </w:pPr>
            <w:r w:rsidRPr="0075544B">
              <w:rPr>
                <w:sz w:val="20"/>
                <w:szCs w:val="20"/>
              </w:rPr>
              <w:t>We study the U.S. rollout of eligibility expansions in the Supplemental Nutrition Assistance Program. Using administrative data from the U.S. Department of Agriculture, we show that expanding eligibility raises enrollment among the inframarginal (always-eligible) population. Using an online experiment and an administrative survey, we find evidence that information frictions, rather than stigma, drive the new take-up. To interpret our findings, we develop a general model of the optimal eligibility threshold for welfare programs with incomplete take-up. Given our empirical results and certain modeling assumptions, the SNAP eligibility threshold is lower than optimal.</w:t>
            </w:r>
          </w:p>
        </w:tc>
      </w:tr>
      <w:tr w:rsidR="00407D90" w:rsidRPr="00B03A5A" w14:paraId="76DF849E" w14:textId="77777777" w:rsidTr="001511C2">
        <w:tc>
          <w:tcPr>
            <w:tcW w:w="1890" w:type="dxa"/>
          </w:tcPr>
          <w:p w14:paraId="2B327229" w14:textId="77777777" w:rsidR="00407D90" w:rsidRPr="00B03A5A" w:rsidRDefault="00407D90" w:rsidP="00407D90">
            <w:pPr>
              <w:rPr>
                <w:b/>
                <w:sz w:val="20"/>
                <w:szCs w:val="20"/>
              </w:rPr>
            </w:pPr>
          </w:p>
        </w:tc>
        <w:tc>
          <w:tcPr>
            <w:tcW w:w="8190" w:type="dxa"/>
          </w:tcPr>
          <w:p w14:paraId="495256FA" w14:textId="77777777" w:rsidR="00C352AE" w:rsidRPr="0075544B" w:rsidRDefault="00C352AE" w:rsidP="00407D90">
            <w:pPr>
              <w:rPr>
                <w:sz w:val="20"/>
                <w:szCs w:val="20"/>
              </w:rPr>
            </w:pPr>
          </w:p>
        </w:tc>
      </w:tr>
      <w:tr w:rsidR="00407D90" w:rsidRPr="00B03A5A" w14:paraId="7FB487E3" w14:textId="77777777" w:rsidTr="00670E38">
        <w:trPr>
          <w:trHeight w:val="306"/>
        </w:trPr>
        <w:tc>
          <w:tcPr>
            <w:tcW w:w="1890" w:type="dxa"/>
          </w:tcPr>
          <w:p w14:paraId="175811CF" w14:textId="278AECA0" w:rsidR="00407D90" w:rsidRPr="00B03A5A" w:rsidRDefault="00004B7B" w:rsidP="00407D90">
            <w:pPr>
              <w:rPr>
                <w:b/>
                <w:sz w:val="20"/>
                <w:szCs w:val="20"/>
              </w:rPr>
            </w:pPr>
            <w:r w:rsidRPr="00B03A5A">
              <w:rPr>
                <w:b/>
                <w:sz w:val="20"/>
                <w:szCs w:val="20"/>
              </w:rPr>
              <w:t>Work</w:t>
            </w:r>
            <w:r>
              <w:rPr>
                <w:b/>
                <w:sz w:val="20"/>
                <w:szCs w:val="20"/>
              </w:rPr>
              <w:t xml:space="preserve"> in Progress</w:t>
            </w:r>
          </w:p>
        </w:tc>
        <w:tc>
          <w:tcPr>
            <w:tcW w:w="8190" w:type="dxa"/>
          </w:tcPr>
          <w:p w14:paraId="28AFEA19" w14:textId="6F3F3622" w:rsidR="00407D90" w:rsidRPr="0075544B" w:rsidRDefault="006667D2" w:rsidP="00670E38">
            <w:pPr>
              <w:ind w:left="-25" w:right="967"/>
              <w:jc w:val="both"/>
              <w:rPr>
                <w:sz w:val="20"/>
                <w:szCs w:val="20"/>
              </w:rPr>
            </w:pPr>
            <w:r w:rsidRPr="00EA6779">
              <w:rPr>
                <w:sz w:val="20"/>
                <w:szCs w:val="20"/>
              </w:rPr>
              <w:t>“</w:t>
            </w:r>
            <w:r w:rsidR="00F02934">
              <w:rPr>
                <w:sz w:val="20"/>
                <w:szCs w:val="20"/>
              </w:rPr>
              <w:t>Social Disconnection</w:t>
            </w:r>
            <w:r w:rsidRPr="00EA6779">
              <w:rPr>
                <w:sz w:val="20"/>
                <w:szCs w:val="20"/>
              </w:rPr>
              <w:t xml:space="preserve"> and the Missing Market”</w:t>
            </w:r>
            <w:r>
              <w:rPr>
                <w:sz w:val="20"/>
                <w:szCs w:val="20"/>
              </w:rPr>
              <w:t xml:space="preserve"> (with Amanda </w:t>
            </w:r>
            <w:proofErr w:type="spellStart"/>
            <w:r>
              <w:rPr>
                <w:sz w:val="20"/>
                <w:szCs w:val="20"/>
              </w:rPr>
              <w:t>Pallais</w:t>
            </w:r>
            <w:proofErr w:type="spellEnd"/>
            <w:r>
              <w:rPr>
                <w:sz w:val="20"/>
                <w:szCs w:val="20"/>
              </w:rPr>
              <w:t>)</w:t>
            </w:r>
            <w:r w:rsidRPr="00EA6779">
              <w:rPr>
                <w:sz w:val="20"/>
                <w:szCs w:val="20"/>
              </w:rPr>
              <w:t xml:space="preserve"> </w:t>
            </w:r>
          </w:p>
        </w:tc>
      </w:tr>
      <w:tr w:rsidR="00407D90" w:rsidRPr="00B03A5A" w14:paraId="320A665B" w14:textId="77777777" w:rsidTr="001511C2">
        <w:tc>
          <w:tcPr>
            <w:tcW w:w="1890" w:type="dxa"/>
          </w:tcPr>
          <w:p w14:paraId="057D8734" w14:textId="77777777" w:rsidR="00407D90" w:rsidRPr="00B03A5A" w:rsidRDefault="00407D90" w:rsidP="00407D90">
            <w:pPr>
              <w:rPr>
                <w:b/>
                <w:sz w:val="20"/>
                <w:szCs w:val="20"/>
              </w:rPr>
            </w:pPr>
          </w:p>
        </w:tc>
        <w:tc>
          <w:tcPr>
            <w:tcW w:w="8190" w:type="dxa"/>
          </w:tcPr>
          <w:p w14:paraId="3BB88D1D" w14:textId="77777777" w:rsidR="000B2C5B" w:rsidRPr="00EA6779" w:rsidRDefault="000B2C5B" w:rsidP="000B2C5B">
            <w:pPr>
              <w:ind w:right="967"/>
              <w:jc w:val="both"/>
              <w:rPr>
                <w:sz w:val="20"/>
                <w:szCs w:val="20"/>
              </w:rPr>
            </w:pPr>
          </w:p>
        </w:tc>
      </w:tr>
      <w:tr w:rsidR="00407D90" w:rsidRPr="00B03A5A" w14:paraId="405B3A05" w14:textId="77777777" w:rsidTr="001511C2">
        <w:tc>
          <w:tcPr>
            <w:tcW w:w="1890" w:type="dxa"/>
          </w:tcPr>
          <w:p w14:paraId="176B56E5" w14:textId="77777777" w:rsidR="00407D90" w:rsidRPr="00B03A5A" w:rsidRDefault="00407D90" w:rsidP="00407D90">
            <w:pPr>
              <w:rPr>
                <w:b/>
                <w:sz w:val="20"/>
                <w:szCs w:val="20"/>
              </w:rPr>
            </w:pPr>
          </w:p>
        </w:tc>
        <w:tc>
          <w:tcPr>
            <w:tcW w:w="8190" w:type="dxa"/>
          </w:tcPr>
          <w:p w14:paraId="0BF13A6E" w14:textId="64946E45" w:rsidR="00B27AE2" w:rsidRPr="00EA6779" w:rsidRDefault="006667D2" w:rsidP="00B27AE2">
            <w:pPr>
              <w:ind w:left="-25" w:right="66"/>
              <w:jc w:val="both"/>
              <w:rPr>
                <w:sz w:val="20"/>
                <w:szCs w:val="20"/>
              </w:rPr>
            </w:pPr>
            <w:r w:rsidRPr="00EA6779">
              <w:rPr>
                <w:sz w:val="20"/>
                <w:szCs w:val="20"/>
              </w:rPr>
              <w:t>“</w:t>
            </w:r>
            <w:r>
              <w:rPr>
                <w:sz w:val="20"/>
                <w:szCs w:val="20"/>
              </w:rPr>
              <w:t>Welfare Analyses of Firm-Based Government Policies</w:t>
            </w:r>
            <w:r w:rsidRPr="00EA6779">
              <w:rPr>
                <w:sz w:val="20"/>
                <w:szCs w:val="20"/>
              </w:rPr>
              <w:t>”</w:t>
            </w:r>
            <w:r>
              <w:rPr>
                <w:sz w:val="20"/>
                <w:szCs w:val="20"/>
              </w:rPr>
              <w:t xml:space="preserve"> (with Valerie Chuang, Nathaniel Hendren, and Eric Zwick)</w:t>
            </w:r>
          </w:p>
        </w:tc>
      </w:tr>
    </w:tbl>
    <w:p w14:paraId="477C3023" w14:textId="77777777" w:rsidR="00151068" w:rsidRDefault="00151068">
      <w:pPr>
        <w:rPr>
          <w:b/>
        </w:rPr>
      </w:pPr>
    </w:p>
    <w:tbl>
      <w:tblPr>
        <w:tblW w:w="10080" w:type="dxa"/>
        <w:tblLayout w:type="fixed"/>
        <w:tblLook w:val="01E0" w:firstRow="1" w:lastRow="1" w:firstColumn="1" w:lastColumn="1" w:noHBand="0" w:noVBand="0"/>
      </w:tblPr>
      <w:tblGrid>
        <w:gridCol w:w="1890"/>
        <w:gridCol w:w="8190"/>
      </w:tblGrid>
      <w:tr w:rsidR="0054227C" w:rsidRPr="00B03A5A" w14:paraId="49D6592F" w14:textId="77777777" w:rsidTr="0054227C">
        <w:tc>
          <w:tcPr>
            <w:tcW w:w="1890" w:type="dxa"/>
          </w:tcPr>
          <w:p w14:paraId="5CB8878E" w14:textId="77777777" w:rsidR="0054227C" w:rsidRPr="005D0C7B" w:rsidRDefault="0054227C" w:rsidP="0054227C">
            <w:pPr>
              <w:rPr>
                <w:b/>
                <w:bCs/>
                <w:sz w:val="20"/>
                <w:szCs w:val="20"/>
              </w:rPr>
            </w:pPr>
            <w:r w:rsidRPr="00B03A5A">
              <w:rPr>
                <w:b/>
                <w:bCs/>
                <w:sz w:val="20"/>
                <w:szCs w:val="20"/>
              </w:rPr>
              <w:t>Fellowships &amp;</w:t>
            </w:r>
            <w:r>
              <w:rPr>
                <w:b/>
                <w:bCs/>
                <w:sz w:val="20"/>
                <w:szCs w:val="20"/>
              </w:rPr>
              <w:t xml:space="preserve"> Awards</w:t>
            </w:r>
          </w:p>
        </w:tc>
        <w:tc>
          <w:tcPr>
            <w:tcW w:w="8190" w:type="dxa"/>
          </w:tcPr>
          <w:p w14:paraId="2E353245" w14:textId="77777777" w:rsidR="0054227C" w:rsidRPr="00B03A5A" w:rsidRDefault="0054227C" w:rsidP="00CD3A97">
            <w:pPr>
              <w:rPr>
                <w:sz w:val="20"/>
                <w:szCs w:val="20"/>
              </w:rPr>
            </w:pPr>
            <w:r>
              <w:rPr>
                <w:sz w:val="20"/>
                <w:szCs w:val="20"/>
              </w:rPr>
              <w:t>National Science Foundation Graduate Research Fellowship, 2018-2023</w:t>
            </w:r>
          </w:p>
        </w:tc>
      </w:tr>
      <w:tr w:rsidR="0054227C" w:rsidRPr="00B03A5A" w14:paraId="3FBF0D78" w14:textId="77777777" w:rsidTr="0054227C">
        <w:tc>
          <w:tcPr>
            <w:tcW w:w="1890" w:type="dxa"/>
          </w:tcPr>
          <w:p w14:paraId="3F282AEE" w14:textId="77777777" w:rsidR="0054227C" w:rsidRPr="00B03A5A" w:rsidRDefault="0054227C" w:rsidP="00CD3A97">
            <w:pPr>
              <w:rPr>
                <w:b/>
                <w:bCs/>
                <w:sz w:val="20"/>
                <w:szCs w:val="20"/>
              </w:rPr>
            </w:pPr>
          </w:p>
        </w:tc>
        <w:tc>
          <w:tcPr>
            <w:tcW w:w="8190" w:type="dxa"/>
          </w:tcPr>
          <w:p w14:paraId="0303B18D" w14:textId="77777777" w:rsidR="0054227C" w:rsidRDefault="0054227C" w:rsidP="0054227C">
            <w:pPr>
              <w:rPr>
                <w:sz w:val="20"/>
                <w:szCs w:val="20"/>
              </w:rPr>
            </w:pPr>
          </w:p>
        </w:tc>
      </w:tr>
      <w:tr w:rsidR="0054227C" w:rsidRPr="00B03A5A" w14:paraId="2A9BADA4" w14:textId="77777777" w:rsidTr="0054227C">
        <w:tc>
          <w:tcPr>
            <w:tcW w:w="1890" w:type="dxa"/>
          </w:tcPr>
          <w:p w14:paraId="1F74849F" w14:textId="77777777" w:rsidR="0054227C" w:rsidRPr="00B03A5A" w:rsidRDefault="0054227C" w:rsidP="00CD3A97">
            <w:pPr>
              <w:rPr>
                <w:b/>
                <w:bCs/>
                <w:sz w:val="20"/>
                <w:szCs w:val="20"/>
              </w:rPr>
            </w:pPr>
            <w:r w:rsidRPr="00B03A5A">
              <w:rPr>
                <w:b/>
                <w:bCs/>
                <w:sz w:val="20"/>
                <w:szCs w:val="20"/>
              </w:rPr>
              <w:t>Teaching</w:t>
            </w:r>
          </w:p>
        </w:tc>
        <w:tc>
          <w:tcPr>
            <w:tcW w:w="8190" w:type="dxa"/>
          </w:tcPr>
          <w:p w14:paraId="541091F1" w14:textId="77777777" w:rsidR="0054227C" w:rsidRDefault="0054227C" w:rsidP="00CD3A97">
            <w:pPr>
              <w:rPr>
                <w:sz w:val="20"/>
                <w:szCs w:val="20"/>
              </w:rPr>
            </w:pPr>
            <w:r>
              <w:rPr>
                <w:sz w:val="20"/>
                <w:szCs w:val="20"/>
              </w:rPr>
              <w:t>Using Big Data to Solve Economic and Social Problems, Harvard University, teaching fellow for Professor Raj Chetty, 2022</w:t>
            </w:r>
          </w:p>
          <w:p w14:paraId="1ABB9DA6" w14:textId="3A396349" w:rsidR="0054227C" w:rsidRPr="00B03A5A" w:rsidRDefault="002A25A6" w:rsidP="00CD3A97">
            <w:pPr>
              <w:rPr>
                <w:sz w:val="20"/>
                <w:szCs w:val="20"/>
              </w:rPr>
            </w:pPr>
            <w:r>
              <w:rPr>
                <w:sz w:val="20"/>
                <w:szCs w:val="20"/>
              </w:rPr>
              <w:t>Labor Market Analysis</w:t>
            </w:r>
            <w:r w:rsidR="0054227C">
              <w:rPr>
                <w:sz w:val="20"/>
                <w:szCs w:val="20"/>
              </w:rPr>
              <w:t>, Harvard University, teaching fellow for Professor Lawrence Katz, 2021</w:t>
            </w:r>
          </w:p>
        </w:tc>
      </w:tr>
      <w:tr w:rsidR="0054227C" w:rsidRPr="00B03A5A" w14:paraId="3C9E0921" w14:textId="77777777" w:rsidTr="0054227C">
        <w:tc>
          <w:tcPr>
            <w:tcW w:w="1890" w:type="dxa"/>
          </w:tcPr>
          <w:p w14:paraId="3161393B" w14:textId="77777777" w:rsidR="0054227C" w:rsidRPr="00CA4C7A" w:rsidRDefault="0054227C" w:rsidP="00CD3A97">
            <w:pPr>
              <w:rPr>
                <w:b/>
                <w:bCs/>
                <w:sz w:val="20"/>
                <w:szCs w:val="20"/>
              </w:rPr>
            </w:pPr>
          </w:p>
        </w:tc>
        <w:tc>
          <w:tcPr>
            <w:tcW w:w="8190" w:type="dxa"/>
          </w:tcPr>
          <w:p w14:paraId="79DD5F4D" w14:textId="77777777" w:rsidR="0054227C" w:rsidRDefault="0054227C" w:rsidP="0054227C">
            <w:pPr>
              <w:rPr>
                <w:sz w:val="20"/>
                <w:szCs w:val="20"/>
              </w:rPr>
            </w:pPr>
          </w:p>
        </w:tc>
      </w:tr>
      <w:tr w:rsidR="0054227C" w:rsidRPr="00B03A5A" w14:paraId="33D3246C" w14:textId="77777777" w:rsidTr="0054227C">
        <w:tc>
          <w:tcPr>
            <w:tcW w:w="1890" w:type="dxa"/>
          </w:tcPr>
          <w:p w14:paraId="15D11015" w14:textId="77777777" w:rsidR="0054227C" w:rsidRPr="00CA4C7A" w:rsidRDefault="0054227C" w:rsidP="00CD3A97">
            <w:pPr>
              <w:rPr>
                <w:b/>
                <w:bCs/>
                <w:sz w:val="20"/>
                <w:szCs w:val="20"/>
              </w:rPr>
            </w:pPr>
            <w:r w:rsidRPr="00CA4C7A">
              <w:rPr>
                <w:b/>
                <w:bCs/>
                <w:sz w:val="20"/>
                <w:szCs w:val="20"/>
              </w:rPr>
              <w:t>Research</w:t>
            </w:r>
          </w:p>
        </w:tc>
        <w:tc>
          <w:tcPr>
            <w:tcW w:w="8190" w:type="dxa"/>
          </w:tcPr>
          <w:p w14:paraId="1062A7FC" w14:textId="0157C600" w:rsidR="0054227C" w:rsidRPr="00CA4C7A" w:rsidRDefault="0054227C" w:rsidP="00CD3A97">
            <w:pPr>
              <w:rPr>
                <w:sz w:val="20"/>
                <w:szCs w:val="20"/>
              </w:rPr>
            </w:pPr>
            <w:r w:rsidRPr="00CA4C7A">
              <w:rPr>
                <w:sz w:val="20"/>
                <w:szCs w:val="20"/>
              </w:rPr>
              <w:t xml:space="preserve">Research </w:t>
            </w:r>
            <w:r>
              <w:rPr>
                <w:sz w:val="20"/>
                <w:szCs w:val="20"/>
              </w:rPr>
              <w:t>Assistant,</w:t>
            </w:r>
            <w:r w:rsidRPr="00CA4C7A">
              <w:rPr>
                <w:sz w:val="20"/>
                <w:szCs w:val="20"/>
              </w:rPr>
              <w:t xml:space="preserve"> </w:t>
            </w:r>
            <w:r>
              <w:rPr>
                <w:sz w:val="20"/>
                <w:szCs w:val="20"/>
              </w:rPr>
              <w:t>Harvard University</w:t>
            </w:r>
            <w:r w:rsidRPr="00CA4C7A">
              <w:rPr>
                <w:sz w:val="20"/>
                <w:szCs w:val="20"/>
              </w:rPr>
              <w:t xml:space="preserve">, </w:t>
            </w:r>
            <w:r w:rsidR="00A31CBC">
              <w:rPr>
                <w:sz w:val="20"/>
                <w:szCs w:val="20"/>
              </w:rPr>
              <w:t xml:space="preserve">Professor </w:t>
            </w:r>
            <w:r>
              <w:rPr>
                <w:sz w:val="20"/>
                <w:szCs w:val="20"/>
              </w:rPr>
              <w:t xml:space="preserve">Amanda </w:t>
            </w:r>
            <w:proofErr w:type="spellStart"/>
            <w:r>
              <w:rPr>
                <w:sz w:val="20"/>
                <w:szCs w:val="20"/>
              </w:rPr>
              <w:t>Pallais</w:t>
            </w:r>
            <w:proofErr w:type="spellEnd"/>
            <w:r>
              <w:rPr>
                <w:sz w:val="20"/>
                <w:szCs w:val="20"/>
              </w:rPr>
              <w:t>, 2016-2018</w:t>
            </w:r>
          </w:p>
        </w:tc>
      </w:tr>
      <w:tr w:rsidR="0054227C" w:rsidRPr="00B03A5A" w14:paraId="085D9C36" w14:textId="77777777" w:rsidTr="0054227C">
        <w:tc>
          <w:tcPr>
            <w:tcW w:w="1890" w:type="dxa"/>
          </w:tcPr>
          <w:p w14:paraId="46290DB7" w14:textId="77777777" w:rsidR="0054227C" w:rsidRPr="00CA4C7A" w:rsidRDefault="0054227C" w:rsidP="00CD3A97">
            <w:pPr>
              <w:rPr>
                <w:b/>
                <w:bCs/>
                <w:sz w:val="20"/>
                <w:szCs w:val="20"/>
              </w:rPr>
            </w:pPr>
          </w:p>
        </w:tc>
        <w:tc>
          <w:tcPr>
            <w:tcW w:w="8190" w:type="dxa"/>
          </w:tcPr>
          <w:p w14:paraId="2FFFEE16" w14:textId="77777777" w:rsidR="0054227C" w:rsidRPr="00B03A5A" w:rsidRDefault="0054227C" w:rsidP="0054227C">
            <w:pPr>
              <w:rPr>
                <w:sz w:val="20"/>
                <w:szCs w:val="20"/>
              </w:rPr>
            </w:pPr>
          </w:p>
        </w:tc>
      </w:tr>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1C893246" w14:textId="1339C85F" w:rsidR="00F90180" w:rsidRPr="00F90180" w:rsidRDefault="00F90180" w:rsidP="00281ADF">
            <w:pPr>
              <w:rPr>
                <w:i/>
                <w:iCs/>
                <w:sz w:val="20"/>
                <w:szCs w:val="20"/>
              </w:rPr>
            </w:pPr>
            <w:r>
              <w:rPr>
                <w:sz w:val="20"/>
                <w:szCs w:val="20"/>
              </w:rPr>
              <w:t xml:space="preserve">Referee, </w:t>
            </w:r>
            <w:r>
              <w:rPr>
                <w:i/>
                <w:iCs/>
                <w:sz w:val="20"/>
                <w:szCs w:val="20"/>
              </w:rPr>
              <w:t>Journal of Public Economics</w:t>
            </w:r>
          </w:p>
          <w:p w14:paraId="7345D1F2" w14:textId="3223A54C" w:rsidR="003438F7" w:rsidRPr="00D4043B" w:rsidRDefault="00F52027" w:rsidP="00281ADF">
            <w:pPr>
              <w:rPr>
                <w:i/>
                <w:iCs/>
                <w:sz w:val="20"/>
                <w:szCs w:val="20"/>
              </w:rPr>
            </w:pPr>
            <w:r>
              <w:rPr>
                <w:sz w:val="20"/>
                <w:szCs w:val="20"/>
              </w:rPr>
              <w:t xml:space="preserve">Referee, </w:t>
            </w:r>
            <w:r w:rsidR="009C7924" w:rsidRPr="00D4043B">
              <w:rPr>
                <w:i/>
                <w:iCs/>
                <w:sz w:val="20"/>
                <w:szCs w:val="20"/>
              </w:rPr>
              <w:t>Quarterly Journal of Economics</w:t>
            </w:r>
          </w:p>
          <w:p w14:paraId="280CDFB5" w14:textId="5AF4F2BA" w:rsidR="009C7924" w:rsidRDefault="00F52027" w:rsidP="00281ADF">
            <w:pPr>
              <w:rPr>
                <w:sz w:val="20"/>
                <w:szCs w:val="20"/>
              </w:rPr>
            </w:pPr>
            <w:r>
              <w:rPr>
                <w:sz w:val="20"/>
                <w:szCs w:val="20"/>
              </w:rPr>
              <w:t xml:space="preserve">Referee, </w:t>
            </w:r>
            <w:r w:rsidR="009C7924" w:rsidRPr="00D4043B">
              <w:rPr>
                <w:i/>
                <w:iCs/>
                <w:sz w:val="20"/>
                <w:szCs w:val="20"/>
              </w:rPr>
              <w:t>Journal of Urban Economics</w:t>
            </w:r>
          </w:p>
          <w:p w14:paraId="49F1F22C" w14:textId="410D7A3E" w:rsidR="00F52027" w:rsidRDefault="00E22B69" w:rsidP="00281ADF">
            <w:pPr>
              <w:rPr>
                <w:sz w:val="20"/>
                <w:szCs w:val="20"/>
              </w:rPr>
            </w:pPr>
            <w:r>
              <w:rPr>
                <w:sz w:val="20"/>
                <w:szCs w:val="20"/>
              </w:rPr>
              <w:t>MOOC creator</w:t>
            </w:r>
            <w:r w:rsidR="00F52027">
              <w:rPr>
                <w:sz w:val="20"/>
                <w:szCs w:val="20"/>
              </w:rPr>
              <w:t xml:space="preserve">, Pathways to Research and Doctoral Careers (PREDOC) Consortium </w:t>
            </w:r>
          </w:p>
          <w:p w14:paraId="58942D85" w14:textId="2CB4B4BE" w:rsidR="003438F7" w:rsidRPr="00B03A5A" w:rsidRDefault="00F52027" w:rsidP="00281ADF">
            <w:pPr>
              <w:rPr>
                <w:sz w:val="20"/>
                <w:szCs w:val="20"/>
              </w:rPr>
            </w:pPr>
            <w:r>
              <w:rPr>
                <w:sz w:val="20"/>
                <w:szCs w:val="20"/>
              </w:rPr>
              <w:t xml:space="preserve">Co-organizer, </w:t>
            </w:r>
            <w:r w:rsidR="009C7924">
              <w:rPr>
                <w:sz w:val="20"/>
                <w:szCs w:val="20"/>
              </w:rPr>
              <w:t>Harvard Labor/Public Finance Workshop, 2021-2022</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581D85A0" w14:textId="63C7C059" w:rsidR="008C6BAE" w:rsidRDefault="008C6BAE" w:rsidP="008C6BAE">
            <w:pPr>
              <w:rPr>
                <w:sz w:val="20"/>
                <w:szCs w:val="20"/>
              </w:rPr>
            </w:pPr>
            <w:r>
              <w:rPr>
                <w:sz w:val="20"/>
                <w:szCs w:val="20"/>
              </w:rPr>
              <w:t>Chae Family Economics Research Fund, Harvard, 2022</w:t>
            </w:r>
          </w:p>
          <w:p w14:paraId="69A6634D" w14:textId="3B97F47E" w:rsidR="00F347A0" w:rsidRDefault="00F347A0" w:rsidP="008C6BAE">
            <w:pPr>
              <w:rPr>
                <w:sz w:val="20"/>
                <w:szCs w:val="20"/>
              </w:rPr>
            </w:pPr>
            <w:r>
              <w:rPr>
                <w:sz w:val="20"/>
                <w:szCs w:val="20"/>
              </w:rPr>
              <w:t>Mind, Brain, and Behavior, Harvard, 2020</w:t>
            </w:r>
          </w:p>
          <w:p w14:paraId="17A60630" w14:textId="2A1B13A9" w:rsidR="00B54B0B" w:rsidRDefault="00B54B0B" w:rsidP="008C6BAE">
            <w:pPr>
              <w:rPr>
                <w:sz w:val="20"/>
                <w:szCs w:val="20"/>
              </w:rPr>
            </w:pPr>
            <w:r>
              <w:rPr>
                <w:sz w:val="20"/>
                <w:szCs w:val="20"/>
              </w:rPr>
              <w:t>The Lab for Economic Applications and Policy (LEAP), Harvard, 2020</w:t>
            </w:r>
          </w:p>
          <w:p w14:paraId="5155A0EC" w14:textId="4F8B5CC4" w:rsidR="00CB7144" w:rsidRDefault="008C6BAE" w:rsidP="00281ADF">
            <w:pPr>
              <w:rPr>
                <w:sz w:val="20"/>
                <w:szCs w:val="20"/>
              </w:rPr>
            </w:pPr>
            <w:r>
              <w:rPr>
                <w:sz w:val="20"/>
                <w:szCs w:val="20"/>
              </w:rPr>
              <w:t>Foundations of Human Behavior, Harvard, 2019</w:t>
            </w:r>
          </w:p>
          <w:p w14:paraId="144FB488" w14:textId="220B6271" w:rsidR="008C6BAE" w:rsidRPr="00B03A5A" w:rsidRDefault="008C6BAE" w:rsidP="00281ADF">
            <w:pPr>
              <w:rPr>
                <w:sz w:val="20"/>
                <w:szCs w:val="20"/>
              </w:rPr>
            </w:pPr>
            <w:r>
              <w:rPr>
                <w:sz w:val="20"/>
                <w:szCs w:val="20"/>
              </w:rPr>
              <w:t>Warburg Foundation, Harvard, 2019</w:t>
            </w:r>
          </w:p>
        </w:tc>
      </w:tr>
    </w:tbl>
    <w:p w14:paraId="0F820118" w14:textId="77777777" w:rsidR="007B6DAE" w:rsidRDefault="007B6DAE">
      <w:pPr>
        <w:rPr>
          <w:b/>
        </w:rPr>
      </w:pPr>
    </w:p>
    <w:sectPr w:rsidR="007B6DAE" w:rsidSect="00B85EEB">
      <w:footerReference w:type="even" r:id="rId8"/>
      <w:footerReference w:type="default" r:id="rId9"/>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50F22" w14:textId="77777777" w:rsidR="00D46774" w:rsidRDefault="00D46774" w:rsidP="002D6047">
      <w:r>
        <w:separator/>
      </w:r>
    </w:p>
  </w:endnote>
  <w:endnote w:type="continuationSeparator" w:id="0">
    <w:p w14:paraId="4572BB6F" w14:textId="77777777" w:rsidR="00D46774" w:rsidRDefault="00D46774"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7457209"/>
      <w:docPartObj>
        <w:docPartGallery w:val="Page Numbers (Bottom of Page)"/>
        <w:docPartUnique/>
      </w:docPartObj>
    </w:sdt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17228" w14:textId="5D2297C1" w:rsidR="00E71271" w:rsidRDefault="00000000"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C3524" w14:textId="77777777" w:rsidR="00D46774" w:rsidRDefault="00D46774" w:rsidP="002D6047">
      <w:r>
        <w:separator/>
      </w:r>
    </w:p>
  </w:footnote>
  <w:footnote w:type="continuationSeparator" w:id="0">
    <w:p w14:paraId="1381AEA2" w14:textId="77777777" w:rsidR="00D46774" w:rsidRDefault="00D46774"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2EC9"/>
    <w:rsid w:val="00004B7B"/>
    <w:rsid w:val="00030EED"/>
    <w:rsid w:val="0003796A"/>
    <w:rsid w:val="00044CA6"/>
    <w:rsid w:val="0006122D"/>
    <w:rsid w:val="00083117"/>
    <w:rsid w:val="00084C7D"/>
    <w:rsid w:val="00093626"/>
    <w:rsid w:val="000B2C5B"/>
    <w:rsid w:val="000C2B94"/>
    <w:rsid w:val="000C3899"/>
    <w:rsid w:val="0010050F"/>
    <w:rsid w:val="00102BC0"/>
    <w:rsid w:val="00122911"/>
    <w:rsid w:val="00126A0E"/>
    <w:rsid w:val="00133318"/>
    <w:rsid w:val="00151068"/>
    <w:rsid w:val="001511C2"/>
    <w:rsid w:val="0017475F"/>
    <w:rsid w:val="00175869"/>
    <w:rsid w:val="00184DA0"/>
    <w:rsid w:val="001B0341"/>
    <w:rsid w:val="001D09AC"/>
    <w:rsid w:val="001E3E6E"/>
    <w:rsid w:val="001E4A5A"/>
    <w:rsid w:val="001F7764"/>
    <w:rsid w:val="002003C5"/>
    <w:rsid w:val="0021319D"/>
    <w:rsid w:val="00223E5D"/>
    <w:rsid w:val="00245171"/>
    <w:rsid w:val="00245BC5"/>
    <w:rsid w:val="002514E3"/>
    <w:rsid w:val="002521E6"/>
    <w:rsid w:val="00255651"/>
    <w:rsid w:val="002575D5"/>
    <w:rsid w:val="00263A87"/>
    <w:rsid w:val="00265EEF"/>
    <w:rsid w:val="00283ABD"/>
    <w:rsid w:val="00292606"/>
    <w:rsid w:val="00292BAE"/>
    <w:rsid w:val="002A25A6"/>
    <w:rsid w:val="002D6047"/>
    <w:rsid w:val="002F4CDF"/>
    <w:rsid w:val="002F4D45"/>
    <w:rsid w:val="00307199"/>
    <w:rsid w:val="00337548"/>
    <w:rsid w:val="003438F7"/>
    <w:rsid w:val="003440E1"/>
    <w:rsid w:val="003523A3"/>
    <w:rsid w:val="00366AA2"/>
    <w:rsid w:val="00374C15"/>
    <w:rsid w:val="00374C65"/>
    <w:rsid w:val="003943F1"/>
    <w:rsid w:val="003A483F"/>
    <w:rsid w:val="003B6F0A"/>
    <w:rsid w:val="003E40A5"/>
    <w:rsid w:val="00405EF5"/>
    <w:rsid w:val="00407D90"/>
    <w:rsid w:val="004208A9"/>
    <w:rsid w:val="00426391"/>
    <w:rsid w:val="00451A23"/>
    <w:rsid w:val="00465AC5"/>
    <w:rsid w:val="00467020"/>
    <w:rsid w:val="004816AD"/>
    <w:rsid w:val="00483CE0"/>
    <w:rsid w:val="004A719A"/>
    <w:rsid w:val="004A7B67"/>
    <w:rsid w:val="004B5A3E"/>
    <w:rsid w:val="004C03B9"/>
    <w:rsid w:val="004C0D35"/>
    <w:rsid w:val="004E064F"/>
    <w:rsid w:val="004F4F98"/>
    <w:rsid w:val="00525DBB"/>
    <w:rsid w:val="00536544"/>
    <w:rsid w:val="00541F29"/>
    <w:rsid w:val="0054227C"/>
    <w:rsid w:val="00550C9B"/>
    <w:rsid w:val="005512BA"/>
    <w:rsid w:val="00566A5E"/>
    <w:rsid w:val="005822B9"/>
    <w:rsid w:val="00585546"/>
    <w:rsid w:val="00586E27"/>
    <w:rsid w:val="005903CD"/>
    <w:rsid w:val="00593F39"/>
    <w:rsid w:val="00596B20"/>
    <w:rsid w:val="005D0C7B"/>
    <w:rsid w:val="005D1375"/>
    <w:rsid w:val="005D4496"/>
    <w:rsid w:val="005F2E7B"/>
    <w:rsid w:val="005F7849"/>
    <w:rsid w:val="006667D2"/>
    <w:rsid w:val="00670E38"/>
    <w:rsid w:val="00685DD9"/>
    <w:rsid w:val="006A39DD"/>
    <w:rsid w:val="006A7E09"/>
    <w:rsid w:val="006E1917"/>
    <w:rsid w:val="006F75CF"/>
    <w:rsid w:val="007035F8"/>
    <w:rsid w:val="00704381"/>
    <w:rsid w:val="00711684"/>
    <w:rsid w:val="0075544B"/>
    <w:rsid w:val="00762E4A"/>
    <w:rsid w:val="00763776"/>
    <w:rsid w:val="007710CD"/>
    <w:rsid w:val="0077753F"/>
    <w:rsid w:val="007919A2"/>
    <w:rsid w:val="007A65D1"/>
    <w:rsid w:val="007B07AE"/>
    <w:rsid w:val="007B2873"/>
    <w:rsid w:val="007B6DAE"/>
    <w:rsid w:val="007B7926"/>
    <w:rsid w:val="007C089C"/>
    <w:rsid w:val="007C5460"/>
    <w:rsid w:val="007F0CB6"/>
    <w:rsid w:val="007F20E5"/>
    <w:rsid w:val="008005F8"/>
    <w:rsid w:val="00815379"/>
    <w:rsid w:val="00827624"/>
    <w:rsid w:val="008300EA"/>
    <w:rsid w:val="00840553"/>
    <w:rsid w:val="0085568D"/>
    <w:rsid w:val="00870C6A"/>
    <w:rsid w:val="008825AC"/>
    <w:rsid w:val="00892445"/>
    <w:rsid w:val="008A5E82"/>
    <w:rsid w:val="008A6DE5"/>
    <w:rsid w:val="008B3298"/>
    <w:rsid w:val="008B57A4"/>
    <w:rsid w:val="008B5D03"/>
    <w:rsid w:val="008C22C6"/>
    <w:rsid w:val="008C6BAE"/>
    <w:rsid w:val="008D3477"/>
    <w:rsid w:val="008E67CA"/>
    <w:rsid w:val="008F5184"/>
    <w:rsid w:val="009020D2"/>
    <w:rsid w:val="00911A05"/>
    <w:rsid w:val="00925EAC"/>
    <w:rsid w:val="00940556"/>
    <w:rsid w:val="00943DBD"/>
    <w:rsid w:val="009665F0"/>
    <w:rsid w:val="009742DD"/>
    <w:rsid w:val="009A4C4C"/>
    <w:rsid w:val="009B6105"/>
    <w:rsid w:val="009B6BEB"/>
    <w:rsid w:val="009C21A0"/>
    <w:rsid w:val="009C7924"/>
    <w:rsid w:val="009E2A68"/>
    <w:rsid w:val="009E55B7"/>
    <w:rsid w:val="009E7406"/>
    <w:rsid w:val="00A05426"/>
    <w:rsid w:val="00A1484C"/>
    <w:rsid w:val="00A16375"/>
    <w:rsid w:val="00A16B9E"/>
    <w:rsid w:val="00A26236"/>
    <w:rsid w:val="00A31CBC"/>
    <w:rsid w:val="00A34CF8"/>
    <w:rsid w:val="00A36D21"/>
    <w:rsid w:val="00A43234"/>
    <w:rsid w:val="00A45620"/>
    <w:rsid w:val="00A4625A"/>
    <w:rsid w:val="00A51040"/>
    <w:rsid w:val="00A54FFC"/>
    <w:rsid w:val="00A637B2"/>
    <w:rsid w:val="00A66680"/>
    <w:rsid w:val="00A70470"/>
    <w:rsid w:val="00A7252B"/>
    <w:rsid w:val="00A740C6"/>
    <w:rsid w:val="00A8160B"/>
    <w:rsid w:val="00A95CBC"/>
    <w:rsid w:val="00A97F57"/>
    <w:rsid w:val="00AC36B8"/>
    <w:rsid w:val="00AE0396"/>
    <w:rsid w:val="00AF1DA4"/>
    <w:rsid w:val="00B03A5A"/>
    <w:rsid w:val="00B27AE2"/>
    <w:rsid w:val="00B41668"/>
    <w:rsid w:val="00B5328E"/>
    <w:rsid w:val="00B54B0B"/>
    <w:rsid w:val="00B765CE"/>
    <w:rsid w:val="00B81B6C"/>
    <w:rsid w:val="00B84D58"/>
    <w:rsid w:val="00B85EEB"/>
    <w:rsid w:val="00C146CD"/>
    <w:rsid w:val="00C34639"/>
    <w:rsid w:val="00C352AE"/>
    <w:rsid w:val="00C47356"/>
    <w:rsid w:val="00C54FE3"/>
    <w:rsid w:val="00C71F32"/>
    <w:rsid w:val="00C95A8D"/>
    <w:rsid w:val="00C968CD"/>
    <w:rsid w:val="00CA4C7A"/>
    <w:rsid w:val="00CB1C1B"/>
    <w:rsid w:val="00CB2522"/>
    <w:rsid w:val="00CB7144"/>
    <w:rsid w:val="00CC7A84"/>
    <w:rsid w:val="00CC7B6B"/>
    <w:rsid w:val="00CD0940"/>
    <w:rsid w:val="00CD5531"/>
    <w:rsid w:val="00CD7AE0"/>
    <w:rsid w:val="00CE5C75"/>
    <w:rsid w:val="00D10B7A"/>
    <w:rsid w:val="00D137CF"/>
    <w:rsid w:val="00D13BF2"/>
    <w:rsid w:val="00D4043B"/>
    <w:rsid w:val="00D46774"/>
    <w:rsid w:val="00D54C01"/>
    <w:rsid w:val="00D575EC"/>
    <w:rsid w:val="00D675F5"/>
    <w:rsid w:val="00D81358"/>
    <w:rsid w:val="00DA3ED6"/>
    <w:rsid w:val="00DA548F"/>
    <w:rsid w:val="00DB518D"/>
    <w:rsid w:val="00DE64F0"/>
    <w:rsid w:val="00DF2F14"/>
    <w:rsid w:val="00DF6FE5"/>
    <w:rsid w:val="00E061F5"/>
    <w:rsid w:val="00E10CB5"/>
    <w:rsid w:val="00E1775A"/>
    <w:rsid w:val="00E22B69"/>
    <w:rsid w:val="00E61BAD"/>
    <w:rsid w:val="00E71271"/>
    <w:rsid w:val="00E7183E"/>
    <w:rsid w:val="00E90FB7"/>
    <w:rsid w:val="00E9781B"/>
    <w:rsid w:val="00EA6779"/>
    <w:rsid w:val="00EB3513"/>
    <w:rsid w:val="00EC27D8"/>
    <w:rsid w:val="00EC4250"/>
    <w:rsid w:val="00EE4995"/>
    <w:rsid w:val="00F02934"/>
    <w:rsid w:val="00F0541E"/>
    <w:rsid w:val="00F20988"/>
    <w:rsid w:val="00F307BF"/>
    <w:rsid w:val="00F33844"/>
    <w:rsid w:val="00F347A0"/>
    <w:rsid w:val="00F42D9E"/>
    <w:rsid w:val="00F52027"/>
    <w:rsid w:val="00F75415"/>
    <w:rsid w:val="00F90180"/>
    <w:rsid w:val="00F92C6F"/>
    <w:rsid w:val="00F97EB9"/>
    <w:rsid w:val="00FA0673"/>
    <w:rsid w:val="00FA4E4A"/>
    <w:rsid w:val="00FB1916"/>
    <w:rsid w:val="00FF4256"/>
    <w:rsid w:val="00FF48C1"/>
    <w:rsid w:val="00FF4B09"/>
    <w:rsid w:val="00FF4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paragraph" w:styleId="NormalWeb">
    <w:name w:val="Normal (Web)"/>
    <w:basedOn w:val="Normal"/>
    <w:uiPriority w:val="99"/>
    <w:unhideWhenUsed/>
    <w:rsid w:val="00EA677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jenna-anders.github.io/files/ar_eligibilit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nna-anders.github.io/files/ac_epa1.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Anders, Jenna</cp:lastModifiedBy>
  <cp:revision>3</cp:revision>
  <cp:lastPrinted>2024-08-13T17:49:00Z</cp:lastPrinted>
  <dcterms:created xsi:type="dcterms:W3CDTF">2024-08-13T17:50:00Z</dcterms:created>
  <dcterms:modified xsi:type="dcterms:W3CDTF">2024-10-25T22:33:00Z</dcterms:modified>
</cp:coreProperties>
</file>