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13D79" w14:textId="1931A791"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5F8F1896" w14:textId="1396012F" w:rsidR="007776F9" w:rsidRDefault="007776F9" w:rsidP="001B6B3A">
      <w:pPr>
        <w:ind w:left="720"/>
        <w:rPr>
          <w:lang w:val="en-US"/>
        </w:rPr>
      </w:pPr>
      <w:r>
        <w:rPr>
          <w:lang w:val="en-US"/>
        </w:rPr>
        <w:t>1. Purpose</w:t>
      </w:r>
    </w:p>
    <w:p w14:paraId="18AFB181" w14:textId="4E93F8CA" w:rsidR="007776F9" w:rsidRDefault="007776F9" w:rsidP="001B6B3A">
      <w:pPr>
        <w:ind w:left="720"/>
        <w:rPr>
          <w:lang w:val="en-US"/>
        </w:rPr>
      </w:pPr>
      <w:r>
        <w:rPr>
          <w:lang w:val="en-US"/>
        </w:rPr>
        <w:t>2. Methods</w:t>
      </w:r>
    </w:p>
    <w:p w14:paraId="0E56D228" w14:textId="5DE25EF4" w:rsidR="007776F9" w:rsidRDefault="007776F9" w:rsidP="001B6B3A">
      <w:pPr>
        <w:ind w:left="720"/>
        <w:rPr>
          <w:lang w:val="en-US"/>
        </w:rPr>
      </w:pPr>
      <w:r>
        <w:rPr>
          <w:lang w:val="en-US"/>
        </w:rPr>
        <w:t>3. Results</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19146B17" w14:textId="77777777" w:rsidR="00752AD1" w:rsidRDefault="00752AD1">
      <w:pPr>
        <w:rPr>
          <w:lang w:val="en-US"/>
        </w:rPr>
      </w:pPr>
    </w:p>
    <w:p w14:paraId="714F715D" w14:textId="77777777" w:rsidR="00752AD1" w:rsidRDefault="00752AD1">
      <w:pPr>
        <w:rPr>
          <w:lang w:val="en-US"/>
        </w:rPr>
      </w:pPr>
    </w:p>
    <w:p w14:paraId="5E5C7D96" w14:textId="77777777" w:rsidR="00752AD1" w:rsidRDefault="00752AD1">
      <w:pPr>
        <w:rPr>
          <w:lang w:val="en-US"/>
        </w:rPr>
      </w:pPr>
    </w:p>
    <w:p w14:paraId="5A36B60E" w14:textId="77777777" w:rsidR="00752AD1" w:rsidRDefault="00752AD1">
      <w:pPr>
        <w:rPr>
          <w:lang w:val="en-US"/>
        </w:rPr>
      </w:pPr>
    </w:p>
    <w:p w14:paraId="2BD17AC7" w14:textId="77777777" w:rsidR="00752AD1" w:rsidRDefault="00752AD1">
      <w:pPr>
        <w:rPr>
          <w:lang w:val="en-US"/>
        </w:rPr>
      </w:pPr>
    </w:p>
    <w:p w14:paraId="62D63955" w14:textId="77777777" w:rsidR="00752AD1" w:rsidRDefault="00752AD1">
      <w:pPr>
        <w:rPr>
          <w:lang w:val="en-US"/>
        </w:rPr>
      </w:pPr>
    </w:p>
    <w:p w14:paraId="0D2733AB" w14:textId="77777777" w:rsidR="00752AD1" w:rsidRDefault="00752AD1">
      <w:pPr>
        <w:rPr>
          <w:lang w:val="en-US"/>
        </w:rPr>
      </w:pPr>
    </w:p>
    <w:p w14:paraId="7B346137" w14:textId="77777777" w:rsidR="00752AD1" w:rsidRDefault="00752AD1">
      <w:pPr>
        <w:rPr>
          <w:lang w:val="en-US"/>
        </w:rPr>
      </w:pPr>
    </w:p>
    <w:p w14:paraId="5DD3E1CE" w14:textId="77777777" w:rsidR="00752AD1" w:rsidRDefault="00752AD1">
      <w:pPr>
        <w:rPr>
          <w:lang w:val="en-US"/>
        </w:rPr>
      </w:pPr>
    </w:p>
    <w:p w14:paraId="714C82F0" w14:textId="77777777" w:rsidR="00752AD1" w:rsidRDefault="00752AD1">
      <w:pPr>
        <w:rPr>
          <w:lang w:val="en-US"/>
        </w:rPr>
      </w:pPr>
    </w:p>
    <w:p w14:paraId="2B48ECF1" w14:textId="77777777" w:rsidR="00752AD1" w:rsidRDefault="00752AD1">
      <w:pPr>
        <w:rPr>
          <w:lang w:val="en-US"/>
        </w:rPr>
      </w:pPr>
    </w:p>
    <w:p w14:paraId="25608845" w14:textId="77777777" w:rsidR="00752AD1" w:rsidRDefault="00752AD1">
      <w:pPr>
        <w:rPr>
          <w:lang w:val="en-US"/>
        </w:rPr>
      </w:pPr>
    </w:p>
    <w:p w14:paraId="78E62E57" w14:textId="77777777" w:rsidR="00752AD1" w:rsidRDefault="00752AD1">
      <w:pPr>
        <w:rPr>
          <w:lang w:val="en-US"/>
        </w:rPr>
      </w:pPr>
    </w:p>
    <w:p w14:paraId="7BB087AB" w14:textId="77777777" w:rsidR="00752AD1" w:rsidRDefault="00752AD1">
      <w:pPr>
        <w:rPr>
          <w:lang w:val="en-US"/>
        </w:rPr>
      </w:pPr>
    </w:p>
    <w:p w14:paraId="5FB5EEFF"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1ED47493" w14:textId="54A5FEC9" w:rsidR="00694DE4" w:rsidRDefault="00694DE4" w:rsidP="00694DE4">
      <w:pPr>
        <w:spacing w:line="360" w:lineRule="auto"/>
      </w:pPr>
      <w:r>
        <w:t xml:space="preserve">The extent to which community assembly mechanisms are deterministic processes i.e. niche based is a central topic in ecology. There are two major hypothesized processes that predict contrasting but non-exclusive patterns in the trait and spatial distributions of coexisting species. Environmental filtering structures communities by only allowing only organisms capable of surviving local conditions to persist within the local species pool </w:t>
      </w:r>
      <w:r>
        <w:fldChar w:fldCharType="begin"/>
      </w:r>
      <w:r w:rsidR="00923ED2">
        <w:instrText xml:space="preserve"> ADDIN ZOTERO_ITEM CSL_CITATION {"citationID":"GAa9tq0c","properties":{"formattedCitation":"(Vellend 2010)","plainCitation":"(Vellend 2010)","noteIndex":0},"citationItems":[{"id":9,"uris":["http://zotero.org/users/local/IyWB10av/items/DBJ3W3B8"],"itemData":{"id":9,"type":"article-journal","container-title":"The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00923ED2" w:rsidRPr="00923ED2">
        <w:t>(Vellend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A52A7D">
        <w:fldChar w:fldCharType="separate"/>
      </w:r>
      <w:r>
        <w:fldChar w:fldCharType="end"/>
      </w:r>
      <w:r>
        <w:t xml:space="preserve">. This mechanism can lead to a convergence in ecological attributes or traits among species in that area. In deserts, traits that allow organisms to cope with environmental stressors such as water stress and temperature extremes are common. </w:t>
      </w:r>
      <w:r w:rsidRPr="004D114E">
        <w:t xml:space="preserve">In contrast, limiting similarity predicts that competitive exclusion results among ecologically similar species </w:t>
      </w:r>
      <w:r>
        <w:fldChar w:fldCharType="begin"/>
      </w:r>
      <w:r w:rsidR="00923ED2">
        <w:instrText xml:space="preserve"> ADDIN ZOTERO_ITEM CSL_CITATION {"citationID":"AaSIufDI","properties":{"formattedCitation":"(Abrams 1983)","plainCitation":"(Abrams 1983)","noteIndex":0},"citationItems":[{"id":27,"uris":["http://zotero.org/users/local/IyWB10av/items/G2324PXX"],"itemData":{"id":27,"type":"article-journal","container-title":"Annual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similarity","volume":"14","author":[{"family":"Abrams","given":"Peter"}],"issued":{"date-parts":[["1983"]]},"citation-key":"abramsTheoryLimitingSimilarity1983"}}],"schema":"https://github.com/citation-style-language/schema/raw/master/csl-citation.json"} </w:instrText>
      </w:r>
      <w:r>
        <w:fldChar w:fldCharType="separate"/>
      </w:r>
      <w:r w:rsidR="00923ED2" w:rsidRPr="00923ED2">
        <w:t>(Abrams 1983)</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A52A7D">
        <w:fldChar w:fldCharType="separate"/>
      </w:r>
      <w:r w:rsidRPr="004D114E">
        <w:fldChar w:fldCharType="end"/>
      </w:r>
      <w:r w:rsidRPr="004D114E">
        <w:t>.</w:t>
      </w:r>
      <w:r w:rsidRPr="00ED17F0">
        <w:t xml:space="preserve"> </w:t>
      </w:r>
      <w:r>
        <w:t xml:space="preserve">This mechanism can lead to a divergence in traits among coexisting species. </w:t>
      </w:r>
      <w:r w:rsidRPr="00ED17F0">
        <w:t xml:space="preserve">These processes work together but at differing scales, at large scales habitat filtering is expected to be stronger than biotic interactions, whereas at the fine scales that interactions actually occur at, biotic interactions prevail. </w:t>
      </w:r>
    </w:p>
    <w:p w14:paraId="7F2C3650" w14:textId="1031EADD" w:rsidR="0039702A" w:rsidRDefault="0039702A" w:rsidP="00694DE4">
      <w:pPr>
        <w:spacing w:line="360" w:lineRule="auto"/>
      </w:pPr>
      <w:r>
        <w:t xml:space="preserve">Ants are ideal system to test assembly processes… </w:t>
      </w:r>
    </w:p>
    <w:p w14:paraId="5788DB95" w14:textId="6ED9FE12" w:rsidR="00694DE4" w:rsidRDefault="00694DE4" w:rsidP="00694DE4">
      <w:pPr>
        <w:spacing w:line="360" w:lineRule="auto"/>
      </w:pPr>
      <w:r>
        <w:t xml:space="preserve">Functional traits reflect aspects of morphology, life history or physiology that enable an organism to be successful in an environment </w:t>
      </w:r>
      <w:r>
        <w:fldChar w:fldCharType="begin"/>
      </w:r>
      <w:r w:rsidR="00923ED2">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fldChar w:fldCharType="separate"/>
      </w:r>
      <w:r w:rsidR="00923ED2" w:rsidRPr="00923ED2">
        <w:t>(Violle et al. 2007)</w:t>
      </w:r>
      <w:r>
        <w:fldChar w:fldCharType="end"/>
      </w:r>
      <w:r>
        <w:fldChar w:fldCharType="begin"/>
      </w:r>
      <w:r w:rsidR="00923ED2">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A52A7D">
        <w:fldChar w:fldCharType="separate"/>
      </w:r>
      <w:r>
        <w:fldChar w:fldCharType="end"/>
      </w:r>
      <w:r>
        <w:t xml:space="preserve">. Plant ecologists have incorporated the role of facilitation by foundation plants into trait-based community assembly theory </w:t>
      </w:r>
      <w:r>
        <w:fldChar w:fldCharType="begin"/>
      </w:r>
      <w:r w:rsidR="00923ED2">
        <w:instrText xml:space="preserve"> ADDIN ZOTERO_ITEM CSL_CITATION {"citationID":"oXX0RDZ0","properties":{"formattedCitation":"(Sch\\uc0\\u246{}b et al. 2012)","plainCitation":"(Schöb et al. 2012)","noteIndex":0},"citationItems":[{"id":74,"uris":["http://zotero.org/users/local/IyWB10av/items/ILXJSS5N"],"itemData":{"id":74,"type":"article-journal","container-title":"New Phytologist","ISSN":"0028-646X","issue":"3","page":"824-834","title":"Foundation species influence trait‐based community assembly","volume":"196","author":[{"family":"Schöb","given":"Christian"},{"family":"Butterfield","given":"Bradley J."},{"family":"Pugnaire","given":"Francisco I."}],"issued":{"date-parts":[["2012"]]},"citation-key":"schobFoundationSpeciesInfluence2012"}}],"schema":"https://github.com/citation-style-language/schema/raw/master/csl-citation.json"} </w:instrText>
      </w:r>
      <w:r>
        <w:fldChar w:fldCharType="separate"/>
      </w:r>
      <w:r w:rsidR="00923ED2" w:rsidRPr="00923ED2">
        <w:t>(Schöb et al. 2012)</w:t>
      </w:r>
      <w:r>
        <w:fldChar w:fldCharType="end"/>
      </w:r>
      <w:r>
        <w:t xml:space="preserve">. In deserts, shrubs reduce environmental stress by reducing daytime heat and retaining warmth overnight, creating locally stable micro-climates </w:t>
      </w:r>
      <w:r>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fldChar w:fldCharType="separate"/>
      </w:r>
      <w:r w:rsidR="00923ED2" w:rsidRPr="00923ED2">
        <w:t>(McIntire and Fajardo 2014)</w:t>
      </w:r>
      <w:r>
        <w:fldChar w:fldCharType="end"/>
      </w:r>
      <w:r>
        <w:fldChar w:fldCharType="begin"/>
      </w:r>
      <w: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A52A7D">
        <w:fldChar w:fldCharType="separate"/>
      </w:r>
      <w:r>
        <w:fldChar w:fldCharType="end"/>
      </w:r>
      <w:r>
        <w:t xml:space="preserve">. Shrub facilitation often increases the cover and biomass of annual plants </w:t>
      </w:r>
      <w:r>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fldChar w:fldCharType="separate"/>
      </w:r>
      <w:r w:rsidR="00923ED2" w:rsidRPr="00923ED2">
        <w:t>(Holzapfel et al. 2006, Pugnaire et al. 2011)</w:t>
      </w:r>
      <w:r>
        <w:fldChar w:fldCharType="end"/>
      </w:r>
      <w:r>
        <w:fldChar w:fldCharType="begin"/>
      </w:r>
      <w:r>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A52A7D">
        <w:fldChar w:fldCharType="separate"/>
      </w:r>
      <w:r>
        <w:fldChar w:fldCharType="end"/>
      </w:r>
      <w:r>
        <w:t xml:space="preserve">, as well as arthropod species richness and abundance beneath the canopy </w:t>
      </w:r>
      <w:r>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fldChar w:fldCharType="separate"/>
      </w:r>
      <w:r w:rsidR="00923ED2" w:rsidRPr="00923ED2">
        <w:t>(Liu et al. 2016, Braun and Lortie 2020, Braun et al. 2021)</w:t>
      </w:r>
      <w:r>
        <w:fldChar w:fldCharType="end"/>
      </w:r>
      <w:r>
        <w:t xml:space="preserve">. Surface complexity can act as a filter on ant traits, for example longer-legged ant species are more successful on rugose surfaces that short-legged species </w:t>
      </w:r>
      <w:r>
        <w:fldChar w:fldCharType="begin"/>
      </w:r>
      <w:r w:rsidR="00923ED2">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fldChar w:fldCharType="separate"/>
      </w:r>
      <w:r w:rsidR="00923ED2" w:rsidRPr="00923ED2">
        <w:t>(Kaspari and Weiser 1999)</w:t>
      </w:r>
      <w:r>
        <w:fldChar w:fldCharType="end"/>
      </w:r>
      <w:r>
        <w:fldChar w:fldCharType="begin"/>
      </w:r>
      <w:r>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A52A7D">
        <w:fldChar w:fldCharType="separate"/>
      </w:r>
      <w:r>
        <w:fldChar w:fldCharType="end"/>
      </w:r>
      <w:r>
        <w:t xml:space="preserve">. Therefore, at fine scales, there is the capacity for foundation shrubs and ground-covering vegetation to alter taxonomic composition, trait distributions and coexistence patterns of the ant community. </w:t>
      </w:r>
    </w:p>
    <w:p w14:paraId="7B9BB0A4" w14:textId="6B9ED58B" w:rsidR="00694DE4" w:rsidRDefault="00694DE4" w:rsidP="00694DE4">
      <w:pPr>
        <w:spacing w:line="360" w:lineRule="auto"/>
      </w:pPr>
      <w:r>
        <w:t>The</w:t>
      </w:r>
      <w:r w:rsidRPr="0025379A">
        <w:t xml:space="preserve"> relative importance of </w:t>
      </w:r>
      <w:r>
        <w:t xml:space="preserve">environmental and biotic filtering mechanisms </w:t>
      </w:r>
      <w:r w:rsidRPr="0025379A">
        <w:t xml:space="preserve">to </w:t>
      </w:r>
      <w:r>
        <w:t xml:space="preserve">can </w:t>
      </w:r>
      <w:r w:rsidRPr="0025379A">
        <w:t>change along environmental gradients.</w:t>
      </w:r>
      <w:r>
        <w:t xml:space="preserve"> </w:t>
      </w:r>
      <w:r w:rsidRPr="003174AB">
        <w:t xml:space="preserve">The stress gradient hypothesis </w:t>
      </w:r>
      <w:r>
        <w:t>proposes</w:t>
      </w:r>
      <w:r w:rsidRPr="003174AB">
        <w:t xml:space="preserve"> that competitive interactions decrease </w:t>
      </w:r>
      <w:r>
        <w:t xml:space="preserve">in importance </w:t>
      </w:r>
      <w:r w:rsidRPr="003174AB">
        <w:t xml:space="preserve">as environmental stress increases </w:t>
      </w:r>
      <w:r>
        <w:fldChar w:fldCharType="begin"/>
      </w:r>
      <w:r w:rsidR="00923ED2">
        <w:instrText xml:space="preserve"> ADDIN ZOTERO_ITEM CSL_CITATION {"citationID":"PRDywtHm","properties":{"formattedCitation":"(Bertness and Callaway 1994)","plainCitation":"(Bertness and Callaway 1994)","noteIndex":0},"citationItems":[{"id":403,"uris":["http://zotero.org/users/local/IyWB10av/items/93ZG6VMS"],"itemData":{"id":403,"type":"article-journal","container-title":"Trends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00923ED2" w:rsidRPr="00923ED2">
        <w:t>(Bertness and Callaway 1994)</w:t>
      </w:r>
      <w:r>
        <w:fldChar w:fldCharType="end"/>
      </w:r>
      <w:r>
        <w:t>. T</w:t>
      </w:r>
      <w:r w:rsidRPr="003174AB">
        <w:t xml:space="preserve">here is extensive empirical support </w:t>
      </w:r>
      <w:r>
        <w:t xml:space="preserve">for the stress gradient hypothesis in plant communities </w:t>
      </w:r>
      <w:r>
        <w:fldChar w:fldCharType="begin"/>
      </w:r>
      <w:r w:rsidR="00923ED2">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00923ED2" w:rsidRPr="00923ED2">
        <w:t xml:space="preserve">(Lortie and </w:t>
      </w:r>
      <w:r w:rsidR="00923ED2" w:rsidRPr="00923ED2">
        <w:lastRenderedPageBreak/>
        <w:t>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Due to the ecological importance and dominance of ants in arid ecosystems, understanding how their communities may change under increasing stress and along climatic gradients is important research to predicting the outcome of global change on these ecosystems. </w:t>
      </w:r>
    </w:p>
    <w:p w14:paraId="0AA71EA0" w14:textId="77777777" w:rsidR="00F5200F" w:rsidRDefault="00B8449F" w:rsidP="00694DE4">
      <w:pPr>
        <w:spacing w:line="360" w:lineRule="auto"/>
      </w:pPr>
      <w:r>
        <w:t>We studied desert ant community assembly. We hypothesized that d</w:t>
      </w:r>
      <w:r w:rsidR="00694DE4">
        <w:t>esert ant communities are assembled through niche-based processes.</w:t>
      </w:r>
      <w:r>
        <w:t xml:space="preserve"> </w:t>
      </w:r>
    </w:p>
    <w:p w14:paraId="08CC34C5" w14:textId="77777777" w:rsidR="00F5200F" w:rsidRDefault="00B87334" w:rsidP="00694DE4">
      <w:pPr>
        <w:spacing w:line="360" w:lineRule="auto"/>
      </w:pPr>
      <w:r>
        <w:t xml:space="preserve">We expect the following the predictions: </w:t>
      </w:r>
    </w:p>
    <w:p w14:paraId="1DDE95DC" w14:textId="14692D99" w:rsidR="00912C98" w:rsidRDefault="00694DE4" w:rsidP="00CB40A2">
      <w:pPr>
        <w:pStyle w:val="ListParagraph"/>
        <w:numPr>
          <w:ilvl w:val="0"/>
          <w:numId w:val="1"/>
        </w:numPr>
        <w:spacing w:line="360" w:lineRule="auto"/>
      </w:pPr>
      <w:r>
        <w:t>There will be evidence for filtering on ant communities through the following responses to environmental gradients</w:t>
      </w:r>
      <w:r w:rsidR="00CB40A2">
        <w:t>:</w:t>
      </w:r>
      <w:r>
        <w:t xml:space="preserve"> a) alpha and beta diversity</w:t>
      </w:r>
      <w:r w:rsidR="00B87334">
        <w:t>,</w:t>
      </w:r>
      <w:r>
        <w:t xml:space="preserve"> b) trait convergence </w:t>
      </w:r>
      <w:r w:rsidR="00CB40A2">
        <w:t xml:space="preserve">or divergence </w:t>
      </w:r>
      <w:r>
        <w:t xml:space="preserve">i.e. </w:t>
      </w:r>
      <w:r w:rsidR="00CB40A2">
        <w:t>changes to functional dispersion</w:t>
      </w:r>
      <w:r w:rsidR="00B87334">
        <w:t xml:space="preserve">, and </w:t>
      </w:r>
      <w:r w:rsidR="00CB40A2">
        <w:t>c</w:t>
      </w:r>
      <w:r>
        <w:t xml:space="preserve">) specific trait by environment interactions </w:t>
      </w:r>
      <w:r w:rsidR="00CB40A2">
        <w:t>(community weighted mean trait values)</w:t>
      </w:r>
    </w:p>
    <w:p w14:paraId="3E59C1B6" w14:textId="416F7597" w:rsidR="00CB40A2" w:rsidRDefault="00CB40A2" w:rsidP="00CB40A2">
      <w:pPr>
        <w:pStyle w:val="ListParagraph"/>
        <w:numPr>
          <w:ilvl w:val="0"/>
          <w:numId w:val="1"/>
        </w:numPr>
        <w:spacing w:line="360" w:lineRule="auto"/>
      </w:pPr>
      <w:r>
        <w:t>Species that are more similarity in terms of their environmental niche will be more similar in terms of their traits</w:t>
      </w:r>
    </w:p>
    <w:p w14:paraId="6BFEF16D" w14:textId="2E80DF0E" w:rsidR="00CB40A2" w:rsidRDefault="00CB40A2" w:rsidP="00CB40A2">
      <w:pPr>
        <w:pStyle w:val="ListParagraph"/>
        <w:numPr>
          <w:ilvl w:val="0"/>
          <w:numId w:val="1"/>
        </w:numPr>
        <w:spacing w:line="360" w:lineRule="auto"/>
      </w:pPr>
      <w:r>
        <w:t>Effect size measure of the trait dispersion of co-occurring ants will decrease with stress (stress gradient).</w:t>
      </w:r>
    </w:p>
    <w:p w14:paraId="06890172" w14:textId="4C2A0D29" w:rsidR="00CB40A2" w:rsidRPr="00694DE4" w:rsidRDefault="00CB40A2" w:rsidP="00694DE4">
      <w:pPr>
        <w:spacing w:line="360" w:lineRule="auto"/>
      </w:pPr>
      <w:r>
        <w:t>community trait composition (community weight mean trait values)</w:t>
      </w:r>
      <w:r>
        <w:t xml:space="preserve"> -&gt; This is the </w:t>
      </w:r>
      <w:proofErr w:type="spellStart"/>
      <w:r>
        <w:t>db</w:t>
      </w:r>
      <w:proofErr w:type="spellEnd"/>
      <w:r>
        <w:t>-RDA</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19C873AA" w14:textId="165FE624" w:rsidR="00694DE4" w:rsidRDefault="00694DE4" w:rsidP="00694DE4">
      <w:pPr>
        <w:pStyle w:val="Body"/>
        <w:spacing w:line="360" w:lineRule="auto"/>
      </w:pPr>
      <w:r>
        <w:t xml:space="preserve">Ant communities were sampled using pitfall traps at nine sites in the San Joaquin Valley, California, USA that span a distance of ~200 km from north to south. </w:t>
      </w:r>
      <w:r w:rsidR="00442C69">
        <w:t xml:space="preserve">Summer of 2020. </w:t>
      </w:r>
      <w:r>
        <w:rPr>
          <w:rStyle w:val="None"/>
        </w:rPr>
        <w:t xml:space="preserve">The shrub species </w:t>
      </w:r>
      <w:r>
        <w:rPr>
          <w:rStyle w:val="None"/>
          <w:i/>
          <w:iCs/>
          <w:lang w:val="it-IT"/>
        </w:rPr>
        <w:t>Ephedra californica</w:t>
      </w:r>
      <w:r>
        <w:rPr>
          <w:rStyle w:val="None"/>
        </w:rPr>
        <w:t xml:space="preserve"> (</w:t>
      </w:r>
      <w:proofErr w:type="spellStart"/>
      <w:r>
        <w:rPr>
          <w:rStyle w:val="None"/>
        </w:rPr>
        <w:t>Ephedraceae</w:t>
      </w:r>
      <w:proofErr w:type="spellEnd"/>
      <w:r>
        <w:rPr>
          <w:rStyle w:val="None"/>
        </w:rPr>
        <w:t xml:space="preserve">) and </w:t>
      </w:r>
      <w:r w:rsidRPr="00F047B5">
        <w:rPr>
          <w:rStyle w:val="None"/>
          <w:i/>
          <w:iCs/>
        </w:rPr>
        <w:t>Atriplex</w:t>
      </w:r>
      <w:r>
        <w:rPr>
          <w:rStyle w:val="None"/>
        </w:rPr>
        <w:t xml:space="preserve"> sp. 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shrub sites, traps were placed at 12 pairs of shrub/open microsites and pairs were located at least 10 m apart. Shrub microsites were located </w:t>
      </w:r>
      <w:r>
        <w:lastRenderedPageBreak/>
        <w:t xml:space="preserve">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along two transects located at least 10 m apart. At each site, 24 pitfall traps were deployed continuously for 72 hours per sampling event. The traps were deployed in different locations within the study site each sampling instance to avoid repeated measures. Throughout the season, 648 traps were deployed totaling 46 656 trap-hours (24 traps per site * 3 sampling events * 72 hours). During each sampling instance, microsite-level vegetation characteristics were estimated. At each pitfall trap </w:t>
      </w:r>
      <w:r w:rsidR="00C5011E">
        <w:t>location,</w:t>
      </w:r>
      <w:r>
        <w:t xml:space="preserve"> we measured the percent cover of ground-covering vegetation, rocky cover, woody cover and bare ground. Vegetation height was measured at the center of the quadrat and the dominant vegetation type was recorded. At shrub microsites, we measured the longest dimension of the shrub canopy axis, its perpendicular width, and the height of the focal shrub to the tip of the highest green tissue </w:t>
      </w:r>
      <w:r>
        <w:fldChar w:fldCharType="begin"/>
      </w:r>
      <w:r w:rsidR="00923ED2">
        <w:instrText xml:space="preserve"> ADDIN ZOTERO_ITEM CSL_CITATION {"citationID":"6O7D612N","properties":{"formattedCitation":"(Lortie et al. 2018)","plainCitation":"(Lortie et al. 2018)","noteIndex":0},"citationItems":[{"id":201,"uris":["http://zotero.org/users/local/IyWB10av/items/GJLAB25J"],"itemData":{"id":201,"type":"article-journal","container-title":"Ecology and evolution","ISSN":"2045-7758","issue":"1","page":"706-715","title":"The Groot Effect: Plant facilitation and desert shrub regrowth following extensive damage","volume":"8","author":[{"family":"Lortie","given":"Christopher J."},{"family":"Gruber","given":"Eva"},{"family":"Filazzola","given":"Alex"},{"family":"Noble","given":"Taylor"},{"family":"Westphal","given":"Michael"}],"issued":{"date-parts":[["2018"]]},"citation-key":"lortieGrootEffectPlant2018"}}],"schema":"https://github.com/citation-style-language/schema/raw/master/csl-citation.json"} </w:instrText>
      </w:r>
      <w:r>
        <w:fldChar w:fldCharType="separate"/>
      </w:r>
      <w:r w:rsidR="00923ED2" w:rsidRPr="00923ED2">
        <w:rPr>
          <w:rFonts w:cs="Times New Roman"/>
        </w:rPr>
        <w:t>(Lortie et al. 2018)</w:t>
      </w:r>
      <w:r>
        <w:fldChar w:fldCharType="end"/>
      </w:r>
      <w:r>
        <w:t xml:space="preserve">. Site-level vegetation characteristics were measured each month by placing 0.5 m quadrats every 4 m in ten 25 m transects distributed around the site and repeating the microsite level measurements. Each sampling location was georeferenced using a handheld GPS unit. </w:t>
      </w:r>
    </w:p>
    <w:p w14:paraId="41C5E44B" w14:textId="04093F77" w:rsidR="005D050A" w:rsidRPr="005D050A" w:rsidRDefault="005D050A" w:rsidP="00694DE4">
      <w:pPr>
        <w:pStyle w:val="Body"/>
        <w:spacing w:line="360" w:lineRule="auto"/>
        <w:rPr>
          <w:i/>
          <w:iCs/>
        </w:rPr>
      </w:pPr>
      <w:r>
        <w:rPr>
          <w:i/>
          <w:iCs/>
        </w:rPr>
        <w:t>Lab work</w:t>
      </w:r>
    </w:p>
    <w:p w14:paraId="3A09F881" w14:textId="6A3C6AB2"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xml:space="preserve">, and to species using </w:t>
      </w:r>
      <w:proofErr w:type="spellStart"/>
      <w:r>
        <w:t>AntWiki</w:t>
      </w:r>
      <w:proofErr w:type="spellEnd"/>
      <w:r>
        <w:t xml:space="preserve"> keys (</w:t>
      </w:r>
      <w:r w:rsidRPr="000E69A2">
        <w:t>www.antwiki.org</w:t>
      </w:r>
      <w:r>
        <w:t>). Representative individuals of each species were also barcoded and compared to BINs in BOLD systems.</w:t>
      </w:r>
      <w:r w:rsidRPr="007B2C0D">
        <w:t xml:space="preserve"> </w:t>
      </w:r>
      <w:r w:rsidR="00901D4D">
        <w:t xml:space="preserve">Two singletons,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molesta</w:t>
      </w:r>
      <w:proofErr w:type="spellEnd"/>
      <w:r w:rsidR="00901D4D">
        <w:t xml:space="preserve"> and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aurea</w:t>
      </w:r>
      <w:proofErr w:type="spellEnd"/>
      <w:r w:rsidR="00901D4D">
        <w:t xml:space="preserve"> were excluded from analyses. </w:t>
      </w:r>
      <w:r w:rsidRPr="007B2C0D">
        <w:t>I measure</w:t>
      </w:r>
      <w:r>
        <w:t>d</w:t>
      </w:r>
      <w:r w:rsidRPr="007B2C0D">
        <w:t xml:space="preserve"> the following morphological trait data from the ant specimens: Weber’s length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t xml:space="preserve">, </w:t>
      </w:r>
      <w:r w:rsidRPr="007B2C0D">
        <w:t xml:space="preserve">which is the length of the longest diagonal on the thorax and a measure of overall worker body size. Femur length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t xml:space="preserve">, </w:t>
      </w:r>
      <w:r w:rsidRPr="007B2C0D">
        <w:t xml:space="preserve">mandible length </w:t>
      </w:r>
      <w:r>
        <w:t xml:space="preserve">and head size with </w:t>
      </w:r>
      <w:r w:rsidRPr="007B2C0D">
        <w:t>relate to diet</w:t>
      </w:r>
      <w:r>
        <w:t>,</w:t>
      </w:r>
      <w:r w:rsidRPr="007B2C0D">
        <w:t xml:space="preserve"> scape length relates to chemosensory abilities </w:t>
      </w:r>
      <w:r>
        <w:t xml:space="preserve">and eye size relates to forage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006878D6" w:rsidR="00694DE4" w:rsidRDefault="00694DE4" w:rsidP="00694DE4">
      <w:pPr>
        <w:spacing w:line="360" w:lineRule="auto"/>
      </w:pPr>
      <w:r w:rsidRPr="007B2C0D">
        <w:t xml:space="preserve">I measured </w:t>
      </w:r>
      <w:r>
        <w:t>each of the seven</w:t>
      </w:r>
      <w:r w:rsidRPr="007B2C0D">
        <w:t xml:space="preserve"> traits in</w:t>
      </w:r>
      <w:r>
        <w:t xml:space="preserve"> up to</w:t>
      </w:r>
      <w:r w:rsidRPr="007B2C0D">
        <w:t xml:space="preserve"> six individuals per species, per site </w:t>
      </w:r>
      <w:r>
        <w:t xml:space="preserve">(265 individual ants) to capture the intraspecific variation between populations. The majority of functional </w:t>
      </w:r>
      <w:r>
        <w:lastRenderedPageBreak/>
        <w:t xml:space="preserve">ecology papers use traits measured at the species-level </w:t>
      </w:r>
      <w:r>
        <w:fldChar w:fldCharType="begin"/>
      </w:r>
      <w:r w:rsidR="00923ED2">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fldChar w:fldCharType="separate"/>
      </w:r>
      <w:r w:rsidR="00923ED2" w:rsidRPr="00923ED2">
        <w:t>(de Bello et al. 2021)</w:t>
      </w:r>
      <w:r>
        <w:fldChar w:fldCharType="end"/>
      </w:r>
      <w:r>
        <w:fldChar w:fldCharType="begin"/>
      </w:r>
      <w:r w:rsidR="00923ED2">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A52A7D">
        <w:fldChar w:fldCharType="separate"/>
      </w:r>
      <w:r>
        <w:fldChar w:fldCharType="end"/>
      </w:r>
      <w:r>
        <w:t xml:space="preserve">, however traits captured at the population-level can better reflect environmental filtering </w:t>
      </w:r>
      <w:r>
        <w:fldChar w:fldCharType="begin"/>
      </w:r>
      <w:r w:rsidR="00923ED2">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fldChar w:fldCharType="separate"/>
      </w:r>
      <w:r w:rsidR="00923ED2" w:rsidRPr="00923ED2">
        <w:t>(Jung et al. 2010, Violle et al. 2012)</w:t>
      </w:r>
      <w:r>
        <w:fldChar w:fldCharType="end"/>
      </w:r>
      <w:r>
        <w:t xml:space="preserve"> and may represent local adaptation </w:t>
      </w:r>
      <w:r>
        <w:fldChar w:fldCharType="begin"/>
      </w:r>
      <w:r w:rsidR="00923ED2">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fldChar w:fldCharType="separate"/>
      </w:r>
      <w:r w:rsidR="00923ED2" w:rsidRPr="00923ED2">
        <w:t>(Kawecki and Ebert 2004)</w:t>
      </w:r>
      <w:r>
        <w:fldChar w:fldCharType="end"/>
      </w:r>
      <w:r>
        <w:t>. I dissected each ant and affixed them to microscope slides using Elmer’s glue. I placed each ant mount slide on top of a stage micrometer slide and took focus-bracketed photographs using a Canon 60D DSLR camera with a 60 mm macro lens and Canon EF 25 II extension tube. Helicon Focus software was used to combine the focus stacks into single images. I imported each composite image into ImageJ software, used the micrometer divisions within the image to calibrate the measurement scale within the software and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4EB615B1" w:rsidR="004D3EA1" w:rsidRDefault="004D3EA1" w:rsidP="00694DE4">
      <w:pPr>
        <w:spacing w:line="360" w:lineRule="auto"/>
      </w:pPr>
      <w:r>
        <w:t>We</w:t>
      </w:r>
      <w:r w:rsidR="00694DE4">
        <w:t xml:space="preserve"> extracted </w:t>
      </w:r>
      <w:r>
        <w:t>MAP (mean annual precipitation), mean annual temperature and maximum annual temperature</w:t>
      </w:r>
      <w:r w:rsidR="00694DE4">
        <w:t xml:space="preserve"> for each site from </w:t>
      </w:r>
      <w:proofErr w:type="spellStart"/>
      <w:r w:rsidR="00694DE4">
        <w:t>WorldCli</w:t>
      </w:r>
      <w:r w:rsidR="00923ED2">
        <w:t>m</w:t>
      </w:r>
      <w:proofErr w:type="spellEnd"/>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 xml:space="preserve">(Fick and </w:t>
      </w:r>
      <w:proofErr w:type="spellStart"/>
      <w:r w:rsidR="00923ED2" w:rsidRPr="00923ED2">
        <w:t>Hijmans</w:t>
      </w:r>
      <w:proofErr w:type="spellEnd"/>
      <w:r w:rsidR="00923ED2" w:rsidRPr="00923ED2">
        <w:t xml:space="preserve"> 2017)</w:t>
      </w:r>
      <w:r w:rsidR="00694DE4">
        <w:fldChar w:fldCharType="end"/>
      </w:r>
      <w:r w:rsidR="00694DE4">
        <w:t xml:space="preserve">. </w:t>
      </w:r>
      <w:r w:rsidR="00E14562">
        <w:t xml:space="preserve">We extracted NDVI (normalized…) from EVIIRS </w:t>
      </w:r>
      <w:r w:rsidR="00120C16">
        <w:t xml:space="preserve">(USGS </w:t>
      </w:r>
      <w:r w:rsidR="00120C16" w:rsidRPr="00120C16">
        <w:t>EROS Visible Infrared Imaging Radiometer Suite</w:t>
      </w:r>
      <w:r w:rsidR="00120C16">
        <w:t>), 375 m spatial resolution and 7 or 14 day temporal resolution (USGS, 2021). We used the NDVI measurement from the data closest to the field sampling date. NDVI represents the… and therefore can be used as an estimate of plant productivity (citations for that)</w:t>
      </w:r>
      <w:r w:rsidR="00923ED2">
        <w:t xml:space="preserve">. We extracted several below-ground soil temperatures: mean annual soil temperatures and the range of soil temperatures as a measure of variability,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57740B82" w14:textId="4F958C36" w:rsidR="003D0436" w:rsidRDefault="003D0436" w:rsidP="003D0436">
      <w:pPr>
        <w:spacing w:line="360" w:lineRule="auto"/>
      </w:pPr>
      <w:r>
        <w:t xml:space="preserve">All analyses used R version 4.1.0 </w:t>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I converted the abundance-based data to occupancy-based because ants forage socially and this leads to clustering of individuals from the same colony </w:t>
      </w:r>
      <w:r>
        <w:fldChar w:fldCharType="begin"/>
      </w:r>
      <w:r>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fldChar w:fldCharType="separate"/>
      </w:r>
      <w:r w:rsidRPr="00923ED2">
        <w:t>(Longino and Coddington 2002)</w:t>
      </w:r>
      <w:r>
        <w:fldChar w:fldCharType="end"/>
      </w:r>
      <w:r>
        <w:t xml:space="preserve">. Also, some pitfall traps were disturbed in the field. Thus, abundance for the purpose of abundance weighted calculations is the proportion of pitfall traps at the site the ant species was detected in. </w:t>
      </w:r>
    </w:p>
    <w:p w14:paraId="163D9782" w14:textId="3D9525FF" w:rsidR="003D0436" w:rsidRDefault="007378C4" w:rsidP="00694DE4">
      <w:pPr>
        <w:spacing w:line="360" w:lineRule="auto"/>
      </w:pPr>
      <w:r>
        <w:t>Because of co-linearity within the environmental variables, we combined them into a composite environmental gradient using PCA (whatever package). The variables were first standardized to a ? (</w:t>
      </w:r>
      <w:proofErr w:type="spellStart"/>
      <w:r>
        <w:t>decostand</w:t>
      </w:r>
      <w:proofErr w:type="spellEnd"/>
      <w:r>
        <w:t>, vegan). We also combined the population traits into a PCA.</w:t>
      </w:r>
    </w:p>
    <w:p w14:paraId="6CA52167" w14:textId="6BAB573D" w:rsidR="004C16D3" w:rsidRDefault="00694DE4" w:rsidP="00694DE4">
      <w:pPr>
        <w:spacing w:line="360" w:lineRule="auto"/>
      </w:pPr>
      <w:r>
        <w:t xml:space="preserve">I calculated functional </w:t>
      </w:r>
      <w:r w:rsidR="003D0436">
        <w:t>dispersion</w:t>
      </w:r>
      <w:r>
        <w:t xml:space="preserve"> </w:t>
      </w:r>
      <w:r w:rsidR="003D0436">
        <w:t>(</w:t>
      </w:r>
      <w:proofErr w:type="spellStart"/>
      <w:r w:rsidR="003D0436">
        <w:t>FDisp</w:t>
      </w:r>
      <w:proofErr w:type="spellEnd"/>
      <w:r w:rsidR="003D0436">
        <w:t xml:space="preserve">) for each of the 27 sites </w:t>
      </w:r>
      <w:r w:rsidR="002D4D56">
        <w:t>using</w:t>
      </w:r>
      <w:r>
        <w:t xml:space="preserve"> the population-level trait means using the</w:t>
      </w:r>
      <w:r w:rsidR="00070F4D">
        <w:t xml:space="preserve"> </w:t>
      </w:r>
      <w:proofErr w:type="spellStart"/>
      <w:r w:rsidR="00070F4D">
        <w:t>dbFD</w:t>
      </w:r>
      <w:proofErr w:type="spellEnd"/>
      <w:r w:rsidR="00070F4D">
        <w:t xml:space="preserve"> functioning in the</w:t>
      </w:r>
      <w:r>
        <w:t xml:space="preserve"> FD package </w:t>
      </w:r>
      <w:r>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00923ED2" w:rsidRPr="00923ED2">
        <w:t>(Laliberté et al. 2014)</w:t>
      </w:r>
      <w:r>
        <w:fldChar w:fldCharType="end"/>
      </w:r>
      <w:r>
        <w:t>.</w:t>
      </w:r>
      <w:r w:rsidR="00F221FA">
        <w:t xml:space="preserve"> In order to </w:t>
      </w:r>
      <w:r w:rsidR="00F221FA">
        <w:lastRenderedPageBreak/>
        <w:t xml:space="preserve">determine whether the site is functionally clustered or dispersed relative to a randomly assemble community, we compared the observed communities to a </w:t>
      </w:r>
      <w:r w:rsidR="00070F4D">
        <w:t xml:space="preserve">randomly assembled. I generated 1000 random communities using the </w:t>
      </w:r>
      <w:proofErr w:type="spellStart"/>
      <w:r w:rsidR="00070F4D">
        <w:t>RandomizeMatrix</w:t>
      </w:r>
      <w:proofErr w:type="spellEnd"/>
      <w:r w:rsidR="00070F4D">
        <w:t xml:space="preserve"> function in the picante package. The null models are the independent swap, which holds rows sums i.e. species richness and column sums i.e. occupancy/abundance of the population while randomizing everything else.</w:t>
      </w:r>
      <w:r w:rsidR="00FE098B">
        <w:t xml:space="preserve"> </w:t>
      </w:r>
      <w:proofErr w:type="spellStart"/>
      <w:r w:rsidR="00FE098B">
        <w:t>FDisp</w:t>
      </w:r>
      <w:proofErr w:type="spellEnd"/>
      <w:r w:rsidR="00FE098B">
        <w:t xml:space="preserve"> was calculated for each of these 1000 matrices. Standardized effect size (SES) was then calculated for each site using the following formula: (</w:t>
      </w:r>
      <w:proofErr w:type="spellStart"/>
      <w:r w:rsidR="00FE098B">
        <w:t>Obs</w:t>
      </w:r>
      <w:proofErr w:type="spellEnd"/>
      <w:r w:rsidR="00FE098B">
        <w:t xml:space="preserve"> – </w:t>
      </w:r>
      <w:proofErr w:type="spellStart"/>
      <w:r w:rsidR="00FE098B">
        <w:t>MeanRandom</w:t>
      </w:r>
      <w:proofErr w:type="spellEnd"/>
      <w:r w:rsidR="00FE098B">
        <w:t xml:space="preserve">)/SD Random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indicated that a community is functionally dispersed, whereas negative values indicate functional trait </w:t>
      </w:r>
      <w:proofErr w:type="spellStart"/>
      <w:r w:rsidR="00484D2A">
        <w:t>clusterings</w:t>
      </w:r>
      <w:proofErr w:type="spellEnd"/>
      <w:r w:rsidR="00484D2A">
        <w:t xml:space="preserve">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A one sample t-test was used to determine of the mean values of all the sites is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4C16D3">
        <w:t xml:space="preserve">In order to understand how environmental filtering acts along the environmental gradient, we regressed the </w:t>
      </w:r>
      <w:proofErr w:type="spellStart"/>
      <w:r w:rsidR="004C16D3">
        <w:t>FDispSES</w:t>
      </w:r>
      <w:proofErr w:type="spellEnd"/>
      <w:r w:rsidR="004C16D3">
        <w:t xml:space="preserve"> scores against the first axis of the PCA (PC1). </w:t>
      </w:r>
    </w:p>
    <w:p w14:paraId="6198842C" w14:textId="097CED74" w:rsidR="004C16D3" w:rsidRDefault="004C16D3" w:rsidP="00694DE4">
      <w:pPr>
        <w:spacing w:line="360" w:lineRule="auto"/>
      </w:pPr>
      <w:r>
        <w:t xml:space="preserve">In order to understand the relative contributions of environmental variables, pure space and spatially something environmental variable, we did variance partitioning. We converted our WGS </w:t>
      </w:r>
      <w:proofErr w:type="spellStart"/>
      <w:r>
        <w:t>lat</w:t>
      </w:r>
      <w:proofErr w:type="spellEnd"/>
      <w:r>
        <w:t xml:space="preserve">/long coordinates to cartesian coordinates using the </w:t>
      </w:r>
      <w:proofErr w:type="spellStart"/>
      <w:r>
        <w:t>geoXY</w:t>
      </w:r>
      <w:proofErr w:type="spellEnd"/>
      <w:r>
        <w:t xml:space="preserve"> function in the </w:t>
      </w:r>
      <w:proofErr w:type="spellStart"/>
      <w:r>
        <w:t>SoDA</w:t>
      </w:r>
      <w:proofErr w:type="spellEnd"/>
      <w:r>
        <w:t xml:space="preserve">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t xml:space="preserve">created </w:t>
      </w:r>
      <w:proofErr w:type="spellStart"/>
      <w:r>
        <w:t>moran’s</w:t>
      </w:r>
      <w:proofErr w:type="spellEnd"/>
      <w:r>
        <w:t xml:space="preserve"> eigenvector maps (MEMs)</w:t>
      </w:r>
      <w:r w:rsidR="009C4CE4">
        <w:t xml:space="preserve"> from the cartesian coordinates</w:t>
      </w:r>
      <w:r>
        <w:t xml:space="preserve"> using </w:t>
      </w:r>
      <w:r w:rsidR="009C4CE4">
        <w:t xml:space="preserve">the </w:t>
      </w:r>
      <w:proofErr w:type="spellStart"/>
      <w:r w:rsidR="009C4CE4">
        <w:t>dbmem</w:t>
      </w:r>
      <w:proofErr w:type="spellEnd"/>
      <w:r w:rsidR="009C4CE4">
        <w:t xml:space="preserve"> function in </w:t>
      </w:r>
      <w:proofErr w:type="spellStart"/>
      <w:r w:rsidR="009C4CE4">
        <w:t>adespatial</w:t>
      </w:r>
      <w:proofErr w:type="spellEnd"/>
      <w:r w:rsidR="009C4CE4">
        <w:t xml:space="preserve">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The function </w:t>
      </w:r>
      <w:proofErr w:type="spellStart"/>
      <w:r w:rsidR="006939FB">
        <w:t>varpart</w:t>
      </w:r>
      <w:proofErr w:type="spellEnd"/>
      <w:r w:rsidR="006939FB">
        <w:t xml:space="preserve"> from vegan </w:t>
      </w:r>
      <w:r w:rsidR="006939FB">
        <w:fldChar w:fldCharType="begin"/>
      </w:r>
      <w:r w:rsidR="006939FB">
        <w:instrText xml:space="preserve"> ADDIN ZOTERO_ITEM CSL_CITATION {"citationID":"Xt2RxJDe","properties":{"formattedCitation":"(Oksanen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939FB">
        <w:fldChar w:fldCharType="separate"/>
      </w:r>
      <w:r w:rsidR="006939FB" w:rsidRPr="006939FB">
        <w:t>(Oksanen et al. 2010)</w:t>
      </w:r>
      <w:r w:rsidR="006939FB">
        <w:fldChar w:fldCharType="end"/>
      </w:r>
      <w:r w:rsidR="006939FB">
        <w:t xml:space="preserve"> was used using the SES values as the response, and the standardized environmental variable matrix i.e. the same as the </w:t>
      </w:r>
      <w:proofErr w:type="spellStart"/>
      <w:r w:rsidR="006939FB">
        <w:t>pca</w:t>
      </w:r>
      <w:proofErr w:type="spellEnd"/>
      <w:r w:rsidR="006939FB">
        <w:t xml:space="preserve"> input and the mem matrix as predictors.</w:t>
      </w:r>
      <w:r w:rsidR="007F32DB">
        <w:t xml:space="preserve"> </w:t>
      </w:r>
    </w:p>
    <w:p w14:paraId="7B22D5F2" w14:textId="74987472" w:rsidR="003D0436" w:rsidRDefault="007F32DB" w:rsidP="00694DE4">
      <w:pPr>
        <w:spacing w:line="360" w:lineRule="auto"/>
      </w:pPr>
      <w:r>
        <w:t xml:space="preserve">We calculated the community-weighted mean trait values for each individual trait using the </w:t>
      </w:r>
      <w:proofErr w:type="spellStart"/>
      <w:r>
        <w:t>dbFD</w:t>
      </w:r>
      <w:proofErr w:type="spellEnd"/>
      <w:r>
        <w:t xml:space="preserve">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xml:space="preserve">. In order to connect specific traits with the environmental gradient, we regressed each trait against the PC1 axis. </w:t>
      </w:r>
    </w:p>
    <w:p w14:paraId="17B823AA" w14:textId="1FEE73BF" w:rsidR="00576809" w:rsidRDefault="00576809" w:rsidP="00694DE4">
      <w:pPr>
        <w:spacing w:line="360" w:lineRule="auto"/>
      </w:pPr>
      <w:r>
        <w:t>We regressed species richness against the PC1 axis.</w:t>
      </w:r>
    </w:p>
    <w:p w14:paraId="02EA0E90" w14:textId="198F32BD" w:rsidR="003D0436" w:rsidRDefault="00AE14DF" w:rsidP="00694DE4">
      <w:pPr>
        <w:spacing w:line="360" w:lineRule="auto"/>
      </w:pPr>
      <w:r>
        <w:t>Taxonomic beta-diversity?</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363DADE8" w14:textId="547EA8FA" w:rsidR="00FA1B2D" w:rsidRPr="00FA1B2D" w:rsidRDefault="00FA1B2D" w:rsidP="00694DE4">
      <w:pPr>
        <w:spacing w:line="360" w:lineRule="auto"/>
      </w:pPr>
      <w:r>
        <w:t xml:space="preserve">We conducted an additional set of analyses to explore the relationship between overall niche overlap and trait overlap. To determine niche overlap… We extracted occurrence data from </w:t>
      </w:r>
      <w:proofErr w:type="spellStart"/>
      <w:r>
        <w:t>gabi</w:t>
      </w:r>
      <w:proofErr w:type="spellEnd"/>
      <w:r>
        <w:t xml:space="preserve">, </w:t>
      </w:r>
      <w:r>
        <w:lastRenderedPageBreak/>
        <w:t xml:space="preserve">a </w:t>
      </w:r>
      <w:proofErr w:type="spellStart"/>
      <w:r>
        <w:t>taxonomally</w:t>
      </w:r>
      <w:proofErr w:type="spellEnd"/>
      <w:r>
        <w:t xml:space="preserve"> verified database of ant occurrence data. We only used data from USA and Mexico (not islands). We thinned? The data points? Then built maxent species distribution models for each of the 11 species. We used world </w:t>
      </w:r>
      <w:proofErr w:type="spellStart"/>
      <w:r>
        <w:t>clim</w:t>
      </w:r>
      <w:proofErr w:type="spellEnd"/>
      <w:r>
        <w:t xml:space="preserve">, soils and </w:t>
      </w:r>
      <w:proofErr w:type="spellStart"/>
      <w:r>
        <w:t>ndvi</w:t>
      </w:r>
      <w:proofErr w:type="spellEnd"/>
      <w:r>
        <w:t xml:space="preserve">. We used </w:t>
      </w:r>
      <w:proofErr w:type="spellStart"/>
      <w:r>
        <w:t>ndvi</w:t>
      </w:r>
      <w:proofErr w:type="spellEnd"/>
      <w:r>
        <w:t xml:space="preserve"> from the middle month. We determined the pairwise overlap</w:t>
      </w:r>
      <w:r w:rsidR="00CC309E">
        <w:t xml:space="preserve">. It give a pairwise value D. We then used Mantel tests (or partial mantels maybe?) on the pairwise </w:t>
      </w:r>
      <w:proofErr w:type="spellStart"/>
      <w:r w:rsidR="00CC309E">
        <w:t>gower</w:t>
      </w:r>
      <w:proofErr w:type="spellEnd"/>
      <w:r w:rsidR="00CC309E">
        <w:t xml:space="preserve"> dissimilarity in species traits to test for a relationship between niche similarity and overall trait similarly. </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51589A38"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are </w:t>
      </w:r>
      <w:proofErr w:type="spellStart"/>
      <w:r w:rsidRPr="00300126">
        <w:rPr>
          <w:i/>
        </w:rPr>
        <w:t>Solenopsis</w:t>
      </w:r>
      <w:proofErr w:type="spellEnd"/>
      <w:r w:rsidRPr="00300126">
        <w:rPr>
          <w:i/>
        </w:rPr>
        <w:t xml:space="preserve"> </w:t>
      </w:r>
      <w:proofErr w:type="spellStart"/>
      <w:r w:rsidRPr="00300126">
        <w:rPr>
          <w:i/>
        </w:rPr>
        <w:t>xyloni</w:t>
      </w:r>
      <w:proofErr w:type="spellEnd"/>
      <w:r>
        <w:t xml:space="preserve">, the native Southern fire ant, and </w:t>
      </w:r>
      <w:proofErr w:type="spellStart"/>
      <w:r w:rsidRPr="00300126">
        <w:rPr>
          <w:i/>
        </w:rPr>
        <w:t>Pheidole</w:t>
      </w:r>
      <w:proofErr w:type="spellEnd"/>
      <w:r w:rsidRPr="00300126">
        <w:rPr>
          <w:i/>
        </w:rPr>
        <w:t xml:space="preserve"> </w:t>
      </w:r>
      <w:proofErr w:type="spellStart"/>
      <w:r w:rsidRPr="00300126">
        <w:rPr>
          <w:i/>
        </w:rPr>
        <w:t>hyatti</w:t>
      </w:r>
      <w:proofErr w:type="spellEnd"/>
      <w:r>
        <w:t xml:space="preserve">, the big-headed ant. </w:t>
      </w:r>
      <w:r w:rsidR="00FA6331">
        <w:t xml:space="preserve">This pitfall trapping was part of a larger arthropod sampling project that included sweep-netting of open areas and shrubs, as well as malaise trapping. There were no additional species detected using the other methods. On average, species richness per site was x and ranged from x to x. </w:t>
      </w:r>
    </w:p>
    <w:p w14:paraId="12A0FFAB" w14:textId="58C55EC9" w:rsidR="00B35238" w:rsidRDefault="00895768" w:rsidP="00E14562">
      <w:pPr>
        <w:spacing w:line="360" w:lineRule="auto"/>
        <w:rPr>
          <w:rStyle w:val="acopre"/>
        </w:rPr>
      </w:pPr>
      <w:r w:rsidRPr="00895768">
        <w:rPr>
          <w:noProof/>
        </w:rPr>
        <w:t xml:space="preserve"> </w:t>
      </w:r>
      <w:r w:rsidR="00FA6331">
        <w:rPr>
          <w:rStyle w:val="acopre"/>
        </w:rPr>
        <w:t xml:space="preserve">The first PCA axis explained </w:t>
      </w:r>
      <w:r w:rsidR="00B46279">
        <w:rPr>
          <w:rStyle w:val="acopre"/>
        </w:rPr>
        <w:t xml:space="preserve">48.16% of the variation. Precipitation, max and mean annual temperature and vegetation height were the greatest environmental contributors to the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3A354F9B" w14:textId="366C4086" w:rsidR="00442457" w:rsidRDefault="00442457" w:rsidP="00E14562">
      <w:pPr>
        <w:spacing w:line="360" w:lineRule="auto"/>
        <w:rPr>
          <w:rStyle w:val="acopre"/>
        </w:rPr>
      </w:pPr>
      <w:r>
        <w:rPr>
          <w:rStyle w:val="acopre"/>
        </w:rPr>
        <w:t>Alpha diversity does not shift with PC1.</w:t>
      </w:r>
    </w:p>
    <w:p w14:paraId="71F418A3" w14:textId="0412C209" w:rsidR="00442457" w:rsidRPr="00442457" w:rsidRDefault="00442457" w:rsidP="00E14562">
      <w:pPr>
        <w:spacing w:line="360" w:lineRule="auto"/>
        <w:rPr>
          <w:rStyle w:val="acopre"/>
        </w:rPr>
      </w:pPr>
      <w:r>
        <w:rPr>
          <w:rStyle w:val="acopre"/>
        </w:rPr>
        <w:t xml:space="preserve">The majority of taxonomic beta diversity comes from the turnover component (species replacement) (87.9%). Nestedness or gains losses is 12.1%. Mantels showed that the nestedness component of </w:t>
      </w:r>
      <w:proofErr w:type="spellStart"/>
      <w:r>
        <w:rPr>
          <w:rStyle w:val="acopre"/>
        </w:rPr>
        <w:t>betadiversity</w:t>
      </w:r>
      <w:proofErr w:type="spellEnd"/>
      <w:r>
        <w:rPr>
          <w:rStyle w:val="acopre"/>
        </w:rPr>
        <w:t xml:space="preserve"> is related to dissimilarity in the environment (Mantel r: 0.164, p = 0.028), but not the turnover component</w:t>
      </w:r>
      <w:r w:rsidR="001433BF">
        <w:rPr>
          <w:rStyle w:val="acopre"/>
        </w:rPr>
        <w:t xml:space="preserve"> (Mantel r: 0.082, p = 0.135).</w:t>
      </w:r>
    </w:p>
    <w:p w14:paraId="27C56C76" w14:textId="10614AD5" w:rsidR="00345AFA" w:rsidRPr="00345AFA" w:rsidRDefault="00345AFA" w:rsidP="00E14562">
      <w:pPr>
        <w:spacing w:line="360" w:lineRule="auto"/>
        <w:rPr>
          <w:rStyle w:val="acopre"/>
          <w:i/>
          <w:iCs/>
        </w:rPr>
      </w:pPr>
      <w:r w:rsidRPr="00345AFA">
        <w:rPr>
          <w:rStyle w:val="acopre"/>
          <w:i/>
          <w:iCs/>
        </w:rPr>
        <w:t>Assembly</w:t>
      </w:r>
    </w:p>
    <w:p w14:paraId="69FE0FDC" w14:textId="12147FF4" w:rsidR="00B35238" w:rsidRDefault="00345AFA" w:rsidP="00E14562">
      <w:pPr>
        <w:spacing w:line="360" w:lineRule="auto"/>
        <w:rPr>
          <w:rStyle w:val="acopre"/>
        </w:rPr>
      </w:pPr>
      <w:r>
        <w:rPr>
          <w:rStyle w:val="acopre"/>
        </w:rPr>
        <w:t>Mean</w:t>
      </w:r>
      <w:r w:rsidR="00D55054">
        <w:rPr>
          <w:rStyle w:val="acopre"/>
        </w:rPr>
        <w:t xml:space="preserve"> SES</w:t>
      </w:r>
      <w:r>
        <w:rPr>
          <w:rStyle w:val="acopre"/>
        </w:rPr>
        <w:t xml:space="preserve"> functional dispersion </w:t>
      </w:r>
      <w:r w:rsidR="00C33FC4">
        <w:rPr>
          <w:rStyle w:val="acopre"/>
        </w:rPr>
        <w:t xml:space="preserve">(mean = 0.58 +/- ) </w:t>
      </w:r>
      <w:r>
        <w:rPr>
          <w:rStyle w:val="acopre"/>
        </w:rPr>
        <w:t>was significantly greater than zero (t-test, t = 3.54, p = 0.002)</w:t>
      </w:r>
      <w:r w:rsidR="00D55054">
        <w:rPr>
          <w:rStyle w:val="acopre"/>
        </w:rPr>
        <w:t xml:space="preserve">. The values of </w:t>
      </w:r>
      <w:proofErr w:type="spellStart"/>
      <w:r w:rsidR="00D55054">
        <w:rPr>
          <w:rStyle w:val="acopre"/>
        </w:rPr>
        <w:t>SESdisp</w:t>
      </w:r>
      <w:proofErr w:type="spellEnd"/>
      <w:r w:rsidR="00D55054">
        <w:rPr>
          <w:rStyle w:val="acopre"/>
        </w:rPr>
        <w:t xml:space="preserve"> decreased as PC1 increased (</w:t>
      </w:r>
      <w:proofErr w:type="spellStart"/>
      <w:r w:rsidR="00D55054">
        <w:rPr>
          <w:rStyle w:val="acopre"/>
        </w:rPr>
        <w:t>Radj</w:t>
      </w:r>
      <w:proofErr w:type="spellEnd"/>
      <w:r w:rsidR="00D55054">
        <w:rPr>
          <w:rStyle w:val="acopre"/>
        </w:rPr>
        <w:t xml:space="preserve"> = 0.165)</w:t>
      </w:r>
      <w:r w:rsidR="00D55054">
        <w:rPr>
          <w:rStyle w:val="acopre"/>
          <w:vertAlign w:val="subscript"/>
        </w:rPr>
        <w:t xml:space="preserve"> </w:t>
      </w:r>
      <w:r w:rsidR="00D55054">
        <w:rPr>
          <w:rStyle w:val="acopre"/>
        </w:rPr>
        <w:t>, (</w:t>
      </w:r>
      <w:proofErr w:type="spellStart"/>
      <w:r w:rsidR="00D55054">
        <w:rPr>
          <w:rStyle w:val="acopre"/>
        </w:rPr>
        <w:t>coef</w:t>
      </w:r>
      <w:proofErr w:type="spellEnd"/>
      <w:r w:rsidR="00D55054">
        <w:rPr>
          <w:rStyle w:val="acopre"/>
        </w:rPr>
        <w:t xml:space="preserve"> = -0.507, p = 0.019) but not PC2 (</w:t>
      </w:r>
      <w:proofErr w:type="spellStart"/>
      <w:r w:rsidR="00D55054">
        <w:rPr>
          <w:rStyle w:val="acopre"/>
        </w:rPr>
        <w:t>coef</w:t>
      </w:r>
      <w:proofErr w:type="spellEnd"/>
      <w:r w:rsidR="00D55054">
        <w:rPr>
          <w:rStyle w:val="acopre"/>
        </w:rPr>
        <w:t xml:space="preserve"> = 0.17, p = 0.4)</w:t>
      </w:r>
      <w:r w:rsidR="006518EF">
        <w:rPr>
          <w:rStyle w:val="acopre"/>
        </w:rPr>
        <w:t xml:space="preserve"> (Figure 2)</w:t>
      </w:r>
      <w:r w:rsidR="00D55054">
        <w:rPr>
          <w:rStyle w:val="acopre"/>
        </w:rPr>
        <w:t>.</w:t>
      </w:r>
      <w:r w:rsidR="00944C51">
        <w:rPr>
          <w:rStyle w:val="acopre"/>
        </w:rPr>
        <w:t xml:space="preserve"> </w:t>
      </w:r>
      <w:proofErr w:type="spellStart"/>
      <w:r w:rsidR="00944C51">
        <w:rPr>
          <w:rStyle w:val="acopre"/>
        </w:rPr>
        <w:t>SESdisp</w:t>
      </w:r>
      <w:proofErr w:type="spellEnd"/>
      <w:r w:rsidR="00944C51">
        <w:rPr>
          <w:rStyle w:val="acopre"/>
        </w:rPr>
        <w:t xml:space="preserve"> was not different between sites with large foundation shrubs vs open areas</w:t>
      </w:r>
      <w:r w:rsidR="00D4352E">
        <w:rPr>
          <w:rStyle w:val="acopre"/>
        </w:rPr>
        <w:t xml:space="preserve"> (p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lastRenderedPageBreak/>
        <w:t>Variance partitioning</w:t>
      </w:r>
    </w:p>
    <w:p w14:paraId="1B70639C" w14:textId="31604672" w:rsidR="006518EF" w:rsidRPr="006518EF" w:rsidRDefault="006518EF" w:rsidP="00E14562">
      <w:pPr>
        <w:spacing w:line="360" w:lineRule="auto"/>
        <w:rPr>
          <w:rStyle w:val="acopre"/>
        </w:rPr>
      </w:pPr>
      <w:r>
        <w:rPr>
          <w:rStyle w:val="acopre"/>
        </w:rPr>
        <w:t xml:space="preserve">Environmental predictors explained 19% of the variation in </w:t>
      </w:r>
      <w:proofErr w:type="spellStart"/>
      <w:r>
        <w:rPr>
          <w:rStyle w:val="acopre"/>
        </w:rPr>
        <w:t>SESfdisp</w:t>
      </w:r>
      <w:proofErr w:type="spellEnd"/>
      <w:r>
        <w:rPr>
          <w:rStyle w:val="acopre"/>
        </w:rPr>
        <w:t xml:space="preserve"> and spatially distributed? Environmental variables explained 32% of the variation (Figure 3). The contribution of pure space was zero.</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2A354E23" w:rsidR="00D96A34" w:rsidRPr="00D96A34" w:rsidRDefault="00D96A34" w:rsidP="00E14562">
      <w:pPr>
        <w:spacing w:line="360" w:lineRule="auto"/>
        <w:rPr>
          <w:rStyle w:val="acopre"/>
        </w:rPr>
      </w:pPr>
      <w:r>
        <w:rPr>
          <w:rStyle w:val="acopre"/>
        </w:rPr>
        <w:t xml:space="preserve">Weber’s body length (AdjR2 = 0.26, p = 0.004) and relative femur length (AdjR2 = 0.243, p = 0.005) both decrease along the PC1 gradient (Figure 4). The other traits are not linearly related to the PC1 gradient. </w:t>
      </w:r>
      <w:r w:rsidR="00A47B10">
        <w:rPr>
          <w:rStyle w:val="acopre"/>
        </w:rPr>
        <w:t>The contribution of taxonomic identity to trait variation varied with the trait (Figure 5).</w:t>
      </w:r>
    </w:p>
    <w:p w14:paraId="44028BC2" w14:textId="362E1680" w:rsidR="00B35238" w:rsidRDefault="00B35238" w:rsidP="00E14562">
      <w:pPr>
        <w:spacing w:line="360" w:lineRule="auto"/>
        <w:rPr>
          <w:rStyle w:val="acopre"/>
        </w:rPr>
      </w:pPr>
    </w:p>
    <w:p w14:paraId="212209CA" w14:textId="31DE4354" w:rsidR="009B0E1A" w:rsidRDefault="009B0E1A" w:rsidP="00E14562">
      <w:pPr>
        <w:spacing w:line="360" w:lineRule="auto"/>
        <w:rPr>
          <w:rStyle w:val="acopre"/>
        </w:rPr>
      </w:pPr>
    </w:p>
    <w:p w14:paraId="36C9C927" w14:textId="7636BCA0" w:rsidR="009B0E1A" w:rsidRDefault="009B0E1A" w:rsidP="00E14562">
      <w:pPr>
        <w:spacing w:line="360" w:lineRule="auto"/>
        <w:rPr>
          <w:rStyle w:val="acopre"/>
        </w:rPr>
      </w:pPr>
    </w:p>
    <w:p w14:paraId="2CEF2FB3" w14:textId="6F05BD51" w:rsidR="009B0E1A" w:rsidRDefault="009B0E1A" w:rsidP="00E14562">
      <w:pPr>
        <w:spacing w:line="360" w:lineRule="auto"/>
        <w:rPr>
          <w:rStyle w:val="acopre"/>
        </w:rPr>
      </w:pPr>
    </w:p>
    <w:p w14:paraId="4A3CBDB8" w14:textId="174707E6" w:rsidR="009B0E1A" w:rsidRDefault="009B0E1A" w:rsidP="00E14562">
      <w:pPr>
        <w:spacing w:line="360" w:lineRule="auto"/>
        <w:rPr>
          <w:rStyle w:val="acopre"/>
        </w:rPr>
      </w:pPr>
    </w:p>
    <w:p w14:paraId="1B06C40B" w14:textId="6D9BAA64" w:rsidR="009B0E1A" w:rsidRDefault="009B0E1A" w:rsidP="00E14562">
      <w:pPr>
        <w:spacing w:line="360" w:lineRule="auto"/>
        <w:rPr>
          <w:rStyle w:val="acopre"/>
        </w:rPr>
      </w:pPr>
    </w:p>
    <w:p w14:paraId="07E4BAB6" w14:textId="6CDB9FAC" w:rsidR="009B0E1A" w:rsidRDefault="009B0E1A" w:rsidP="00E14562">
      <w:pPr>
        <w:spacing w:line="360" w:lineRule="auto"/>
        <w:rPr>
          <w:rStyle w:val="acopre"/>
        </w:rPr>
      </w:pPr>
    </w:p>
    <w:p w14:paraId="4089753B" w14:textId="4190D1C9" w:rsidR="009B0E1A" w:rsidRDefault="009B0E1A" w:rsidP="00E14562">
      <w:pPr>
        <w:spacing w:line="360" w:lineRule="auto"/>
        <w:rPr>
          <w:rStyle w:val="acopre"/>
        </w:rPr>
      </w:pPr>
    </w:p>
    <w:p w14:paraId="6BCCD7EB" w14:textId="2C8452A6" w:rsidR="00D96A34" w:rsidRDefault="00D96A34" w:rsidP="00E14562">
      <w:pPr>
        <w:spacing w:line="360" w:lineRule="auto"/>
        <w:rPr>
          <w:rStyle w:val="acopre"/>
        </w:rPr>
      </w:pPr>
    </w:p>
    <w:p w14:paraId="6B6382F1" w14:textId="63A3532E" w:rsidR="00D96A34" w:rsidRDefault="00D96A34" w:rsidP="00E14562">
      <w:pPr>
        <w:spacing w:line="360" w:lineRule="auto"/>
        <w:rPr>
          <w:rStyle w:val="acopre"/>
        </w:rPr>
      </w:pPr>
    </w:p>
    <w:p w14:paraId="0BBB00D4" w14:textId="201B74D2" w:rsidR="00D96A34" w:rsidRDefault="00D96A34" w:rsidP="00E14562">
      <w:pPr>
        <w:spacing w:line="360" w:lineRule="auto"/>
        <w:rPr>
          <w:rStyle w:val="acopre"/>
        </w:rPr>
      </w:pPr>
    </w:p>
    <w:p w14:paraId="585D71C8" w14:textId="13E2E92A" w:rsidR="00D96A34" w:rsidRDefault="00D96A34" w:rsidP="00E14562">
      <w:pPr>
        <w:spacing w:line="360" w:lineRule="auto"/>
        <w:rPr>
          <w:rStyle w:val="acopre"/>
        </w:rPr>
      </w:pPr>
    </w:p>
    <w:p w14:paraId="0317AC21" w14:textId="77777777" w:rsidR="00D96A34" w:rsidRDefault="00D96A34" w:rsidP="00E14562">
      <w:pPr>
        <w:spacing w:line="360" w:lineRule="auto"/>
        <w:rPr>
          <w:rStyle w:val="acopre"/>
        </w:rPr>
      </w:pPr>
    </w:p>
    <w:p w14:paraId="1DB76BA7" w14:textId="20A9B89E" w:rsidR="009B0E1A" w:rsidRDefault="009B0E1A" w:rsidP="00E14562">
      <w:pPr>
        <w:spacing w:line="360" w:lineRule="auto"/>
        <w:rPr>
          <w:rStyle w:val="acopre"/>
        </w:rPr>
      </w:pPr>
    </w:p>
    <w:p w14:paraId="4D78463F" w14:textId="54B7DC74" w:rsidR="009B0E1A" w:rsidRDefault="009B0E1A" w:rsidP="00E14562">
      <w:pPr>
        <w:spacing w:line="360" w:lineRule="auto"/>
        <w:rPr>
          <w:rStyle w:val="acopre"/>
        </w:rPr>
      </w:pPr>
      <w:r>
        <w:rPr>
          <w:rStyle w:val="acopre"/>
        </w:rPr>
        <w:t>Figure 1: PCA figures</w:t>
      </w:r>
    </w:p>
    <w:p w14:paraId="2C9143B4" w14:textId="28C331C6" w:rsidR="009B0E1A" w:rsidRDefault="009B0E1A" w:rsidP="00E14562">
      <w:pPr>
        <w:spacing w:line="360" w:lineRule="auto"/>
        <w:rPr>
          <w:rStyle w:val="acopre"/>
        </w:rPr>
      </w:pPr>
      <w:r w:rsidRPr="009B0E1A">
        <w:rPr>
          <w:rStyle w:val="acopre"/>
          <w:noProof/>
        </w:rPr>
        <w:lastRenderedPageBreak/>
        <w:drawing>
          <wp:inline distT="0" distB="0" distL="0" distR="0" wp14:anchorId="740A4AC5" wp14:editId="5EFF4AC0">
            <wp:extent cx="2800184" cy="167005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4168" cy="1678390"/>
                    </a:xfrm>
                    <a:prstGeom prst="rect">
                      <a:avLst/>
                    </a:prstGeom>
                  </pic:spPr>
                </pic:pic>
              </a:graphicData>
            </a:graphic>
          </wp:inline>
        </w:drawing>
      </w:r>
      <w:r w:rsidRPr="009B0E1A">
        <w:rPr>
          <w:noProof/>
        </w:rPr>
        <w:t xml:space="preserve"> </w:t>
      </w:r>
      <w:r w:rsidRPr="009B0E1A">
        <w:rPr>
          <w:rStyle w:val="acopre"/>
          <w:noProof/>
        </w:rPr>
        <w:drawing>
          <wp:inline distT="0" distB="0" distL="0" distR="0" wp14:anchorId="5948ED45" wp14:editId="6AB7BC86">
            <wp:extent cx="297110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3148" cy="1861719"/>
                    </a:xfrm>
                    <a:prstGeom prst="rect">
                      <a:avLst/>
                    </a:prstGeom>
                  </pic:spPr>
                </pic:pic>
              </a:graphicData>
            </a:graphic>
          </wp:inline>
        </w:drawing>
      </w:r>
    </w:p>
    <w:p w14:paraId="1D94B92C" w14:textId="349CD0AA" w:rsidR="009B0E1A" w:rsidRDefault="009B0E1A" w:rsidP="00E14562">
      <w:pPr>
        <w:spacing w:line="360" w:lineRule="auto"/>
        <w:rPr>
          <w:rStyle w:val="acopre"/>
        </w:rPr>
      </w:pPr>
      <w:r>
        <w:rPr>
          <w:rStyle w:val="acopre"/>
        </w:rPr>
        <w:t>Figure 2</w:t>
      </w:r>
      <w:r w:rsidR="00DC1C3D">
        <w:rPr>
          <w:rStyle w:val="acopre"/>
        </w:rPr>
        <w:t xml:space="preserve">: </w:t>
      </w:r>
      <w:proofErr w:type="spellStart"/>
      <w:r w:rsidR="00DC1C3D">
        <w:rPr>
          <w:rStyle w:val="acopre"/>
        </w:rPr>
        <w:t>SESdisp</w:t>
      </w:r>
      <w:proofErr w:type="spellEnd"/>
      <w:r w:rsidR="00DC1C3D">
        <w:rPr>
          <w:rStyle w:val="acopre"/>
        </w:rPr>
        <w:t xml:space="preserve"> regressed against PC1</w:t>
      </w:r>
    </w:p>
    <w:p w14:paraId="1BF2DFF2" w14:textId="26EFC25C" w:rsidR="00D96A34" w:rsidRDefault="00D30482" w:rsidP="00E14562">
      <w:pPr>
        <w:spacing w:line="360" w:lineRule="auto"/>
      </w:pPr>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p>
    <w:p w14:paraId="669F4606" w14:textId="2A562DAD" w:rsidR="00D96A34" w:rsidRPr="00D96A34" w:rsidRDefault="00D96A34" w:rsidP="00E14562">
      <w:pPr>
        <w:spacing w:line="360" w:lineRule="auto"/>
      </w:pPr>
      <w:r>
        <w:t xml:space="preserve">Figure </w:t>
      </w:r>
      <w:r w:rsidR="00D30482">
        <w:t>3</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305858D0" w14:textId="074E51FD" w:rsidR="00B35238" w:rsidRDefault="00944C51" w:rsidP="00E14562">
      <w:pPr>
        <w:spacing w:line="360" w:lineRule="auto"/>
        <w:rPr>
          <w:b/>
          <w:bCs/>
        </w:rPr>
      </w:pPr>
      <w:r>
        <w:rPr>
          <w:b/>
          <w:bCs/>
        </w:rPr>
        <w:t>Discussion</w:t>
      </w:r>
    </w:p>
    <w:p w14:paraId="2C2C15BB" w14:textId="4833E62D" w:rsidR="00944C51" w:rsidRDefault="00944C51" w:rsidP="00E14562">
      <w:pPr>
        <w:spacing w:line="360" w:lineRule="auto"/>
      </w:pPr>
      <w:r>
        <w:t>P1: Hypothesis, predictions. Overall assembly conclusions.</w:t>
      </w:r>
      <w:r w:rsidR="00066D7D">
        <w:t xml:space="preserve"> </w:t>
      </w:r>
      <w:r w:rsidR="00066D7D">
        <w:t>Environmental and biotic filtering acts jointly</w:t>
      </w:r>
      <w:r w:rsidR="00066D7D">
        <w:t>.</w:t>
      </w:r>
    </w:p>
    <w:p w14:paraId="6A4D022D" w14:textId="1BA947CB" w:rsidR="00944C51" w:rsidRDefault="00944C51" w:rsidP="00E14562">
      <w:pPr>
        <w:spacing w:line="360" w:lineRule="auto"/>
      </w:pPr>
      <w:r>
        <w:t xml:space="preserve">P2: </w:t>
      </w:r>
      <w:r w:rsidR="00066D7D">
        <w:t>Assembly processes are scale-dependent</w:t>
      </w:r>
    </w:p>
    <w:p w14:paraId="561C75BD" w14:textId="7AD204F1" w:rsidR="00944C51" w:rsidRDefault="00944C51" w:rsidP="00E14562">
      <w:pPr>
        <w:spacing w:line="360" w:lineRule="auto"/>
      </w:pPr>
      <w:r>
        <w:t>P3: Contrast stress gradient predictions for ants vs plants</w:t>
      </w:r>
    </w:p>
    <w:p w14:paraId="66147DAC" w14:textId="47AB578D" w:rsidR="00944C51" w:rsidRDefault="00944C51" w:rsidP="00E14562">
      <w:pPr>
        <w:spacing w:line="360" w:lineRule="auto"/>
      </w:pPr>
      <w:r>
        <w:t>P4: Discussion on implications for body size and femur length CWM along gradient</w:t>
      </w:r>
    </w:p>
    <w:p w14:paraId="134A84E8" w14:textId="7A8D8022" w:rsidR="00944C51" w:rsidRDefault="00944C51" w:rsidP="00E14562">
      <w:pPr>
        <w:spacing w:line="360" w:lineRule="auto"/>
      </w:pPr>
    </w:p>
    <w:p w14:paraId="2179A3F2" w14:textId="52933DAD" w:rsidR="00DC1C3D" w:rsidRDefault="00DC1C3D" w:rsidP="00E14562">
      <w:pPr>
        <w:spacing w:line="360" w:lineRule="auto"/>
      </w:pPr>
    </w:p>
    <w:p w14:paraId="75B1E99D" w14:textId="455C2F16" w:rsidR="00DC1C3D" w:rsidRDefault="00DC1C3D" w:rsidP="00E14562">
      <w:pPr>
        <w:spacing w:line="360" w:lineRule="auto"/>
      </w:pPr>
    </w:p>
    <w:p w14:paraId="7C872CFD" w14:textId="68D5E97B" w:rsidR="00DC1C3D" w:rsidRDefault="00DC1C3D" w:rsidP="00E14562">
      <w:pPr>
        <w:spacing w:line="360" w:lineRule="auto"/>
      </w:pPr>
    </w:p>
    <w:p w14:paraId="716B1262" w14:textId="33AD3FB9" w:rsidR="00DC1C3D" w:rsidRDefault="00DC1C3D" w:rsidP="00E14562">
      <w:pPr>
        <w:spacing w:line="360" w:lineRule="auto"/>
      </w:pPr>
    </w:p>
    <w:p w14:paraId="18727B72" w14:textId="7AF672B7" w:rsidR="00DC1C3D" w:rsidRDefault="00DC1C3D" w:rsidP="00E14562">
      <w:pPr>
        <w:spacing w:line="360" w:lineRule="auto"/>
      </w:pPr>
    </w:p>
    <w:p w14:paraId="5B9BE06C" w14:textId="05FD7883" w:rsidR="00DC1C3D" w:rsidRDefault="00DC1C3D" w:rsidP="00E14562">
      <w:pPr>
        <w:spacing w:line="360" w:lineRule="auto"/>
      </w:pPr>
    </w:p>
    <w:p w14:paraId="27E1BAC7" w14:textId="77777777"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5000" w:type="pct"/>
        <w:tblInd w:w="0" w:type="dxa"/>
        <w:tblLook w:val="04A0" w:firstRow="1" w:lastRow="0" w:firstColumn="1" w:lastColumn="0" w:noHBand="0" w:noVBand="1"/>
      </w:tblPr>
      <w:tblGrid>
        <w:gridCol w:w="1336"/>
        <w:gridCol w:w="1947"/>
        <w:gridCol w:w="1511"/>
        <w:gridCol w:w="1380"/>
        <w:gridCol w:w="1441"/>
        <w:gridCol w:w="1745"/>
      </w:tblGrid>
      <w:tr w:rsidR="00893064" w14:paraId="6E79DBCF" w14:textId="77777777" w:rsidTr="0089306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top w:val="single" w:sz="4" w:space="0" w:color="7F7F7F" w:themeColor="text1" w:themeTint="80"/>
              <w:left w:val="nil"/>
              <w:right w:val="nil"/>
            </w:tcBorders>
            <w:hideMark/>
          </w:tcPr>
          <w:p w14:paraId="09180D83" w14:textId="77777777" w:rsidR="00893064" w:rsidRDefault="00893064">
            <w:pPr>
              <w:pStyle w:val="Body"/>
              <w:rPr>
                <w:rFonts w:cs="Times New Roman"/>
                <w:sz w:val="22"/>
                <w:szCs w:val="22"/>
              </w:rPr>
            </w:pPr>
            <w:r>
              <w:rPr>
                <w:rFonts w:cs="Times New Roman"/>
                <w:sz w:val="22"/>
                <w:szCs w:val="22"/>
              </w:rPr>
              <w:t>Site Name</w:t>
            </w:r>
          </w:p>
        </w:tc>
        <w:tc>
          <w:tcPr>
            <w:tcW w:w="1040" w:type="pct"/>
            <w:vMerge w:val="restart"/>
            <w:tcBorders>
              <w:top w:val="single" w:sz="4" w:space="0" w:color="7F7F7F" w:themeColor="text1" w:themeTint="80"/>
              <w:left w:val="nil"/>
              <w:right w:val="nil"/>
            </w:tcBorders>
            <w:hideMark/>
          </w:tcPr>
          <w:p w14:paraId="7ACB207F" w14:textId="77777777" w:rsidR="00893064" w:rsidRDefault="00893064">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BNLL presence</w:t>
            </w:r>
          </w:p>
        </w:tc>
        <w:tc>
          <w:tcPr>
            <w:tcW w:w="1544" w:type="pct"/>
            <w:gridSpan w:val="2"/>
            <w:tcBorders>
              <w:top w:val="single" w:sz="4" w:space="0" w:color="7F7F7F" w:themeColor="text1" w:themeTint="80"/>
              <w:left w:val="nil"/>
              <w:right w:val="nil"/>
            </w:tcBorders>
            <w:hideMark/>
          </w:tcPr>
          <w:p w14:paraId="5DAA9408" w14:textId="77777777" w:rsidR="00893064" w:rsidRDefault="00893064">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Sampling dates</w:t>
            </w:r>
          </w:p>
        </w:tc>
        <w:tc>
          <w:tcPr>
            <w:tcW w:w="1702" w:type="pct"/>
            <w:gridSpan w:val="2"/>
            <w:vMerge w:val="restart"/>
            <w:tcBorders>
              <w:top w:val="single" w:sz="4" w:space="0" w:color="7F7F7F" w:themeColor="text1" w:themeTint="80"/>
              <w:left w:val="nil"/>
              <w:bottom w:val="single" w:sz="4" w:space="0" w:color="auto"/>
              <w:right w:val="nil"/>
            </w:tcBorders>
            <w:hideMark/>
          </w:tcPr>
          <w:p w14:paraId="73FDE652" w14:textId="77777777" w:rsidR="00893064" w:rsidRDefault="00893064">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893064" w14:paraId="30BD251C" w14:textId="77777777" w:rsidTr="00893064">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left w:val="nil"/>
              <w:right w:val="nil"/>
            </w:tcBorders>
            <w:vAlign w:val="center"/>
            <w:hideMark/>
          </w:tcPr>
          <w:p w14:paraId="1C84818C" w14:textId="77777777" w:rsidR="00893064" w:rsidRDefault="00893064">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226A918E"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b/>
                <w:bCs/>
                <w:sz w:val="22"/>
                <w:szCs w:val="22"/>
              </w:rPr>
              <w:t>Traps</w:t>
            </w:r>
          </w:p>
        </w:tc>
        <w:tc>
          <w:tcPr>
            <w:tcW w:w="737" w:type="pct"/>
            <w:tcBorders>
              <w:left w:val="nil"/>
              <w:right w:val="nil"/>
            </w:tcBorders>
            <w:hideMark/>
          </w:tcPr>
          <w:p w14:paraId="6D5EC92D"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b/>
                <w:bCs/>
                <w:sz w:val="22"/>
                <w:szCs w:val="22"/>
              </w:rPr>
              <w:t>Active</w:t>
            </w:r>
          </w:p>
        </w:tc>
        <w:tc>
          <w:tcPr>
            <w:tcW w:w="0" w:type="auto"/>
            <w:gridSpan w:val="2"/>
            <w:vMerge/>
            <w:tcBorders>
              <w:left w:val="nil"/>
              <w:right w:val="nil"/>
            </w:tcBorders>
            <w:vAlign w:val="center"/>
            <w:hideMark/>
          </w:tcPr>
          <w:p w14:paraId="6858C652" w14:textId="77777777" w:rsidR="00893064" w:rsidRDefault="00893064">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893064" w14:paraId="75955882"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top w:val="nil"/>
              <w:left w:val="nil"/>
              <w:bottom w:val="nil"/>
              <w:right w:val="nil"/>
            </w:tcBorders>
            <w:hideMark/>
          </w:tcPr>
          <w:p w14:paraId="63457D89" w14:textId="77777777" w:rsidR="00893064" w:rsidRDefault="00893064">
            <w:pPr>
              <w:pStyle w:val="Body"/>
              <w:rPr>
                <w:rFonts w:cs="Times New Roman"/>
                <w:sz w:val="22"/>
                <w:szCs w:val="22"/>
              </w:rPr>
            </w:pPr>
            <w:proofErr w:type="spellStart"/>
            <w:r>
              <w:rPr>
                <w:rFonts w:cs="Times New Roman"/>
                <w:sz w:val="22"/>
                <w:szCs w:val="22"/>
              </w:rPr>
              <w:t>CaS</w:t>
            </w:r>
            <w:proofErr w:type="spellEnd"/>
          </w:p>
        </w:tc>
        <w:tc>
          <w:tcPr>
            <w:tcW w:w="1040" w:type="pct"/>
            <w:vMerge w:val="restart"/>
            <w:tcBorders>
              <w:top w:val="nil"/>
              <w:left w:val="nil"/>
              <w:bottom w:val="nil"/>
              <w:right w:val="nil"/>
            </w:tcBorders>
            <w:hideMark/>
          </w:tcPr>
          <w:p w14:paraId="7BEDCCDA"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present</w:t>
            </w:r>
          </w:p>
        </w:tc>
        <w:tc>
          <w:tcPr>
            <w:tcW w:w="807" w:type="pct"/>
            <w:tcBorders>
              <w:top w:val="nil"/>
              <w:left w:val="nil"/>
              <w:bottom w:val="nil"/>
              <w:right w:val="nil"/>
            </w:tcBorders>
            <w:hideMark/>
          </w:tcPr>
          <w:p w14:paraId="6CD8D076"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737" w:type="pct"/>
            <w:tcBorders>
              <w:top w:val="nil"/>
              <w:left w:val="nil"/>
              <w:bottom w:val="nil"/>
              <w:right w:val="nil"/>
            </w:tcBorders>
            <w:hideMark/>
          </w:tcPr>
          <w:p w14:paraId="54C23614"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12</w:t>
            </w:r>
          </w:p>
        </w:tc>
        <w:tc>
          <w:tcPr>
            <w:tcW w:w="770" w:type="pct"/>
            <w:tcBorders>
              <w:top w:val="single" w:sz="4" w:space="0" w:color="auto"/>
              <w:left w:val="nil"/>
              <w:bottom w:val="nil"/>
              <w:right w:val="nil"/>
            </w:tcBorders>
            <w:vAlign w:val="center"/>
            <w:hideMark/>
          </w:tcPr>
          <w:p w14:paraId="39A176CE" w14:textId="77777777" w:rsidR="00893064" w:rsidRDefault="0089306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932" w:type="pct"/>
            <w:tcBorders>
              <w:top w:val="single" w:sz="4" w:space="0" w:color="auto"/>
              <w:left w:val="nil"/>
              <w:bottom w:val="nil"/>
              <w:right w:val="nil"/>
            </w:tcBorders>
            <w:vAlign w:val="center"/>
            <w:hideMark/>
          </w:tcPr>
          <w:p w14:paraId="02579900" w14:textId="77777777" w:rsidR="00893064" w:rsidRDefault="0089306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893064" w14:paraId="65080FD6"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026F2259"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7C85599D"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737" w:type="pct"/>
            <w:tcBorders>
              <w:left w:val="nil"/>
              <w:right w:val="nil"/>
            </w:tcBorders>
            <w:hideMark/>
          </w:tcPr>
          <w:p w14:paraId="22CBDF77"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3, 4, 5</w:t>
            </w:r>
          </w:p>
        </w:tc>
        <w:tc>
          <w:tcPr>
            <w:tcW w:w="770" w:type="pct"/>
            <w:tcBorders>
              <w:left w:val="nil"/>
              <w:right w:val="nil"/>
            </w:tcBorders>
            <w:hideMark/>
          </w:tcPr>
          <w:p w14:paraId="0248935A" w14:textId="77777777" w:rsidR="00893064" w:rsidRDefault="0089306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932" w:type="pct"/>
            <w:tcBorders>
              <w:left w:val="nil"/>
              <w:right w:val="nil"/>
            </w:tcBorders>
            <w:hideMark/>
          </w:tcPr>
          <w:p w14:paraId="3549A33C" w14:textId="77777777" w:rsidR="00893064" w:rsidRDefault="0089306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893064" w14:paraId="5A99CE25"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1E6C7867"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4253DC7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737" w:type="pct"/>
            <w:tcBorders>
              <w:top w:val="nil"/>
              <w:left w:val="nil"/>
              <w:bottom w:val="nil"/>
              <w:right w:val="nil"/>
            </w:tcBorders>
            <w:hideMark/>
          </w:tcPr>
          <w:p w14:paraId="263D866E"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19, 21</w:t>
            </w:r>
          </w:p>
        </w:tc>
        <w:tc>
          <w:tcPr>
            <w:tcW w:w="770" w:type="pct"/>
            <w:tcBorders>
              <w:top w:val="nil"/>
              <w:left w:val="nil"/>
              <w:bottom w:val="nil"/>
              <w:right w:val="nil"/>
            </w:tcBorders>
            <w:hideMark/>
          </w:tcPr>
          <w:p w14:paraId="215AE6CE" w14:textId="77777777" w:rsidR="00893064" w:rsidRDefault="0089306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932" w:type="pct"/>
            <w:tcBorders>
              <w:top w:val="nil"/>
              <w:left w:val="nil"/>
              <w:bottom w:val="nil"/>
              <w:right w:val="nil"/>
            </w:tcBorders>
            <w:hideMark/>
          </w:tcPr>
          <w:p w14:paraId="37553332" w14:textId="77777777" w:rsidR="00893064" w:rsidRDefault="0089306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893064" w14:paraId="7519CBC9"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left w:val="nil"/>
              <w:right w:val="nil"/>
            </w:tcBorders>
            <w:hideMark/>
          </w:tcPr>
          <w:p w14:paraId="59863822" w14:textId="77777777" w:rsidR="00893064" w:rsidRDefault="00893064">
            <w:pPr>
              <w:pStyle w:val="Body"/>
              <w:rPr>
                <w:rFonts w:cs="Times New Roman"/>
                <w:sz w:val="22"/>
                <w:szCs w:val="22"/>
              </w:rPr>
            </w:pPr>
            <w:proofErr w:type="spellStart"/>
            <w:r>
              <w:rPr>
                <w:rFonts w:cs="Times New Roman"/>
                <w:sz w:val="22"/>
                <w:szCs w:val="22"/>
              </w:rPr>
              <w:t>CaSl</w:t>
            </w:r>
            <w:proofErr w:type="spellEnd"/>
          </w:p>
        </w:tc>
        <w:tc>
          <w:tcPr>
            <w:tcW w:w="1040" w:type="pct"/>
            <w:vMerge w:val="restart"/>
            <w:tcBorders>
              <w:left w:val="nil"/>
              <w:right w:val="nil"/>
            </w:tcBorders>
            <w:hideMark/>
          </w:tcPr>
          <w:p w14:paraId="0D245043"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present</w:t>
            </w:r>
          </w:p>
        </w:tc>
        <w:tc>
          <w:tcPr>
            <w:tcW w:w="807" w:type="pct"/>
            <w:tcBorders>
              <w:left w:val="nil"/>
              <w:right w:val="nil"/>
            </w:tcBorders>
            <w:hideMark/>
          </w:tcPr>
          <w:p w14:paraId="4527E0FF"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737" w:type="pct"/>
            <w:tcBorders>
              <w:left w:val="nil"/>
              <w:right w:val="nil"/>
            </w:tcBorders>
            <w:hideMark/>
          </w:tcPr>
          <w:p w14:paraId="25EF7B7E"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12</w:t>
            </w:r>
          </w:p>
        </w:tc>
        <w:tc>
          <w:tcPr>
            <w:tcW w:w="770" w:type="pct"/>
            <w:tcBorders>
              <w:left w:val="nil"/>
              <w:right w:val="nil"/>
            </w:tcBorders>
            <w:hideMark/>
          </w:tcPr>
          <w:p w14:paraId="6F6156FB"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932" w:type="pct"/>
            <w:tcBorders>
              <w:left w:val="nil"/>
              <w:right w:val="nil"/>
            </w:tcBorders>
            <w:hideMark/>
          </w:tcPr>
          <w:p w14:paraId="0452BC9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893064" w14:paraId="4BF5B3F6"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single" w:sz="4" w:space="0" w:color="7F7F7F" w:themeColor="text1" w:themeTint="80"/>
              <w:left w:val="nil"/>
              <w:bottom w:val="single" w:sz="4" w:space="0" w:color="7F7F7F" w:themeColor="text1" w:themeTint="80"/>
              <w:right w:val="nil"/>
            </w:tcBorders>
            <w:vAlign w:val="center"/>
            <w:hideMark/>
          </w:tcPr>
          <w:p w14:paraId="52451959"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3FEA3AAE"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737" w:type="pct"/>
            <w:tcBorders>
              <w:top w:val="nil"/>
              <w:left w:val="nil"/>
              <w:bottom w:val="nil"/>
              <w:right w:val="nil"/>
            </w:tcBorders>
            <w:hideMark/>
          </w:tcPr>
          <w:p w14:paraId="17DA0CC4"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2, 3, 4</w:t>
            </w:r>
          </w:p>
        </w:tc>
        <w:tc>
          <w:tcPr>
            <w:tcW w:w="770" w:type="pct"/>
            <w:tcBorders>
              <w:top w:val="nil"/>
              <w:left w:val="nil"/>
              <w:bottom w:val="nil"/>
              <w:right w:val="nil"/>
            </w:tcBorders>
            <w:hideMark/>
          </w:tcPr>
          <w:p w14:paraId="23286FBB"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932" w:type="pct"/>
            <w:tcBorders>
              <w:top w:val="nil"/>
              <w:left w:val="nil"/>
              <w:bottom w:val="nil"/>
              <w:right w:val="nil"/>
            </w:tcBorders>
            <w:hideMark/>
          </w:tcPr>
          <w:p w14:paraId="61531912"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893064" w14:paraId="40D9482F"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left w:val="nil"/>
              <w:right w:val="nil"/>
            </w:tcBorders>
            <w:vAlign w:val="center"/>
            <w:hideMark/>
          </w:tcPr>
          <w:p w14:paraId="726A73EA"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78EDDCC7"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737" w:type="pct"/>
            <w:tcBorders>
              <w:left w:val="nil"/>
              <w:right w:val="nil"/>
            </w:tcBorders>
            <w:hideMark/>
          </w:tcPr>
          <w:p w14:paraId="583BB966"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19</w:t>
            </w:r>
          </w:p>
        </w:tc>
        <w:tc>
          <w:tcPr>
            <w:tcW w:w="770" w:type="pct"/>
            <w:tcBorders>
              <w:left w:val="nil"/>
              <w:right w:val="nil"/>
            </w:tcBorders>
            <w:hideMark/>
          </w:tcPr>
          <w:p w14:paraId="064468AE"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932" w:type="pct"/>
            <w:tcBorders>
              <w:left w:val="nil"/>
              <w:right w:val="nil"/>
            </w:tcBorders>
            <w:hideMark/>
          </w:tcPr>
          <w:p w14:paraId="0970A0E6"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893064" w14:paraId="682FC263"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top w:val="nil"/>
              <w:left w:val="nil"/>
              <w:bottom w:val="nil"/>
              <w:right w:val="nil"/>
            </w:tcBorders>
            <w:hideMark/>
          </w:tcPr>
          <w:p w14:paraId="6AB3087D" w14:textId="77777777" w:rsidR="00893064" w:rsidRDefault="00893064">
            <w:pPr>
              <w:pStyle w:val="Body"/>
              <w:rPr>
                <w:rFonts w:cs="Times New Roman"/>
                <w:sz w:val="22"/>
                <w:szCs w:val="22"/>
              </w:rPr>
            </w:pPr>
            <w:proofErr w:type="spellStart"/>
            <w:r>
              <w:rPr>
                <w:rFonts w:cs="Times New Roman"/>
                <w:sz w:val="22"/>
                <w:szCs w:val="22"/>
              </w:rPr>
              <w:t>SemiT</w:t>
            </w:r>
            <w:proofErr w:type="spellEnd"/>
          </w:p>
        </w:tc>
        <w:tc>
          <w:tcPr>
            <w:tcW w:w="1040" w:type="pct"/>
            <w:vMerge w:val="restart"/>
            <w:tcBorders>
              <w:top w:val="nil"/>
              <w:left w:val="nil"/>
              <w:bottom w:val="nil"/>
              <w:right w:val="nil"/>
            </w:tcBorders>
            <w:hideMark/>
          </w:tcPr>
          <w:p w14:paraId="7159A64F"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present</w:t>
            </w:r>
          </w:p>
        </w:tc>
        <w:tc>
          <w:tcPr>
            <w:tcW w:w="807" w:type="pct"/>
            <w:tcBorders>
              <w:top w:val="nil"/>
              <w:left w:val="nil"/>
              <w:bottom w:val="nil"/>
              <w:right w:val="nil"/>
            </w:tcBorders>
            <w:hideMark/>
          </w:tcPr>
          <w:p w14:paraId="174E0B0E"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737" w:type="pct"/>
            <w:tcBorders>
              <w:top w:val="nil"/>
              <w:left w:val="nil"/>
              <w:bottom w:val="nil"/>
              <w:right w:val="nil"/>
            </w:tcBorders>
            <w:hideMark/>
          </w:tcPr>
          <w:p w14:paraId="280AD05C"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17, 18</w:t>
            </w:r>
          </w:p>
        </w:tc>
        <w:tc>
          <w:tcPr>
            <w:tcW w:w="770" w:type="pct"/>
            <w:tcBorders>
              <w:top w:val="nil"/>
              <w:left w:val="nil"/>
              <w:bottom w:val="nil"/>
              <w:right w:val="nil"/>
            </w:tcBorders>
            <w:hideMark/>
          </w:tcPr>
          <w:p w14:paraId="41E81CB5"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932" w:type="pct"/>
            <w:tcBorders>
              <w:top w:val="nil"/>
              <w:left w:val="nil"/>
              <w:bottom w:val="nil"/>
              <w:right w:val="nil"/>
            </w:tcBorders>
            <w:hideMark/>
          </w:tcPr>
          <w:p w14:paraId="00A229F1"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893064" w14:paraId="67BEB60D"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6248EECB"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22FDBF69"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737" w:type="pct"/>
            <w:tcBorders>
              <w:left w:val="nil"/>
              <w:right w:val="nil"/>
            </w:tcBorders>
            <w:hideMark/>
          </w:tcPr>
          <w:p w14:paraId="7BA4D491"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9</w:t>
            </w:r>
          </w:p>
        </w:tc>
        <w:tc>
          <w:tcPr>
            <w:tcW w:w="770" w:type="pct"/>
            <w:tcBorders>
              <w:left w:val="nil"/>
              <w:right w:val="nil"/>
            </w:tcBorders>
            <w:hideMark/>
          </w:tcPr>
          <w:p w14:paraId="7D7BAC11"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932" w:type="pct"/>
            <w:tcBorders>
              <w:left w:val="nil"/>
              <w:right w:val="nil"/>
            </w:tcBorders>
            <w:hideMark/>
          </w:tcPr>
          <w:p w14:paraId="0C850FE0"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893064" w14:paraId="04D95237"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2F5AEBAA"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4E0F9DFE"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737" w:type="pct"/>
            <w:tcBorders>
              <w:top w:val="nil"/>
              <w:left w:val="nil"/>
              <w:bottom w:val="nil"/>
              <w:right w:val="nil"/>
            </w:tcBorders>
            <w:hideMark/>
          </w:tcPr>
          <w:p w14:paraId="482CECD1"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27</w:t>
            </w:r>
          </w:p>
        </w:tc>
        <w:tc>
          <w:tcPr>
            <w:tcW w:w="770" w:type="pct"/>
            <w:tcBorders>
              <w:top w:val="nil"/>
              <w:left w:val="nil"/>
              <w:bottom w:val="nil"/>
              <w:right w:val="nil"/>
            </w:tcBorders>
            <w:hideMark/>
          </w:tcPr>
          <w:p w14:paraId="7E85FC11"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932" w:type="pct"/>
            <w:tcBorders>
              <w:top w:val="nil"/>
              <w:left w:val="nil"/>
              <w:bottom w:val="nil"/>
              <w:right w:val="nil"/>
            </w:tcBorders>
            <w:hideMark/>
          </w:tcPr>
          <w:p w14:paraId="752418D3"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893064" w14:paraId="22A7117F"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left w:val="nil"/>
              <w:right w:val="nil"/>
            </w:tcBorders>
            <w:hideMark/>
          </w:tcPr>
          <w:p w14:paraId="2033A953" w14:textId="77777777" w:rsidR="00893064" w:rsidRDefault="00893064">
            <w:pPr>
              <w:pStyle w:val="Body"/>
              <w:rPr>
                <w:rFonts w:cs="Times New Roman"/>
                <w:sz w:val="22"/>
                <w:szCs w:val="22"/>
              </w:rPr>
            </w:pPr>
            <w:proofErr w:type="spellStart"/>
            <w:r>
              <w:rPr>
                <w:rFonts w:cs="Times New Roman"/>
                <w:sz w:val="22"/>
                <w:szCs w:val="22"/>
              </w:rPr>
              <w:t>Lokern</w:t>
            </w:r>
            <w:proofErr w:type="spellEnd"/>
          </w:p>
        </w:tc>
        <w:tc>
          <w:tcPr>
            <w:tcW w:w="1040" w:type="pct"/>
            <w:vMerge w:val="restart"/>
            <w:tcBorders>
              <w:left w:val="nil"/>
              <w:right w:val="nil"/>
            </w:tcBorders>
            <w:hideMark/>
          </w:tcPr>
          <w:p w14:paraId="78F3A87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present</w:t>
            </w:r>
          </w:p>
        </w:tc>
        <w:tc>
          <w:tcPr>
            <w:tcW w:w="807" w:type="pct"/>
            <w:tcBorders>
              <w:left w:val="nil"/>
              <w:right w:val="nil"/>
            </w:tcBorders>
            <w:hideMark/>
          </w:tcPr>
          <w:p w14:paraId="36930333"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737" w:type="pct"/>
            <w:tcBorders>
              <w:left w:val="nil"/>
              <w:right w:val="nil"/>
            </w:tcBorders>
            <w:hideMark/>
          </w:tcPr>
          <w:p w14:paraId="40EE7BE4"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15</w:t>
            </w:r>
          </w:p>
        </w:tc>
        <w:tc>
          <w:tcPr>
            <w:tcW w:w="770" w:type="pct"/>
            <w:tcBorders>
              <w:left w:val="nil"/>
              <w:right w:val="nil"/>
            </w:tcBorders>
            <w:hideMark/>
          </w:tcPr>
          <w:p w14:paraId="1813B4CB"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932" w:type="pct"/>
            <w:tcBorders>
              <w:left w:val="nil"/>
              <w:right w:val="nil"/>
            </w:tcBorders>
            <w:hideMark/>
          </w:tcPr>
          <w:p w14:paraId="470B96DA"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893064" w14:paraId="5872913E"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single" w:sz="4" w:space="0" w:color="7F7F7F" w:themeColor="text1" w:themeTint="80"/>
              <w:left w:val="nil"/>
              <w:bottom w:val="single" w:sz="4" w:space="0" w:color="7F7F7F" w:themeColor="text1" w:themeTint="80"/>
              <w:right w:val="nil"/>
            </w:tcBorders>
            <w:vAlign w:val="center"/>
            <w:hideMark/>
          </w:tcPr>
          <w:p w14:paraId="6C0068D6"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66C2CA0F"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737" w:type="pct"/>
            <w:tcBorders>
              <w:top w:val="nil"/>
              <w:left w:val="nil"/>
              <w:bottom w:val="nil"/>
              <w:right w:val="nil"/>
            </w:tcBorders>
            <w:hideMark/>
          </w:tcPr>
          <w:p w14:paraId="59CE8614"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4, 5</w:t>
            </w:r>
          </w:p>
        </w:tc>
        <w:tc>
          <w:tcPr>
            <w:tcW w:w="770" w:type="pct"/>
            <w:tcBorders>
              <w:top w:val="nil"/>
              <w:left w:val="nil"/>
              <w:bottom w:val="nil"/>
              <w:right w:val="nil"/>
            </w:tcBorders>
            <w:hideMark/>
          </w:tcPr>
          <w:p w14:paraId="62FA84EE"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932" w:type="pct"/>
            <w:tcBorders>
              <w:top w:val="nil"/>
              <w:left w:val="nil"/>
              <w:bottom w:val="nil"/>
              <w:right w:val="nil"/>
            </w:tcBorders>
            <w:hideMark/>
          </w:tcPr>
          <w:p w14:paraId="3FCA8C3B"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893064" w14:paraId="49BFE52A"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left w:val="nil"/>
              <w:right w:val="nil"/>
            </w:tcBorders>
            <w:vAlign w:val="center"/>
            <w:hideMark/>
          </w:tcPr>
          <w:p w14:paraId="73E01309"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764748B6"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737" w:type="pct"/>
            <w:tcBorders>
              <w:left w:val="nil"/>
              <w:right w:val="nil"/>
            </w:tcBorders>
            <w:hideMark/>
          </w:tcPr>
          <w:p w14:paraId="27BD657B"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26</w:t>
            </w:r>
          </w:p>
        </w:tc>
        <w:tc>
          <w:tcPr>
            <w:tcW w:w="770" w:type="pct"/>
            <w:tcBorders>
              <w:left w:val="nil"/>
              <w:right w:val="nil"/>
            </w:tcBorders>
            <w:hideMark/>
          </w:tcPr>
          <w:p w14:paraId="27EAE0CC"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932" w:type="pct"/>
            <w:tcBorders>
              <w:left w:val="nil"/>
              <w:right w:val="nil"/>
            </w:tcBorders>
            <w:hideMark/>
          </w:tcPr>
          <w:p w14:paraId="78BEC607"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893064" w14:paraId="2502E660"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top w:val="nil"/>
              <w:left w:val="nil"/>
              <w:bottom w:val="nil"/>
              <w:right w:val="nil"/>
            </w:tcBorders>
            <w:hideMark/>
          </w:tcPr>
          <w:p w14:paraId="61C76861" w14:textId="77777777" w:rsidR="00893064" w:rsidRDefault="00893064">
            <w:pPr>
              <w:pStyle w:val="Body"/>
              <w:rPr>
                <w:rFonts w:cs="Times New Roman"/>
                <w:sz w:val="22"/>
                <w:szCs w:val="22"/>
              </w:rPr>
            </w:pPr>
            <w:proofErr w:type="spellStart"/>
            <w:r>
              <w:rPr>
                <w:rFonts w:cs="Times New Roman"/>
                <w:sz w:val="22"/>
                <w:szCs w:val="22"/>
              </w:rPr>
              <w:t>PaPl</w:t>
            </w:r>
            <w:proofErr w:type="spellEnd"/>
          </w:p>
        </w:tc>
        <w:tc>
          <w:tcPr>
            <w:tcW w:w="1040" w:type="pct"/>
            <w:vMerge w:val="restart"/>
            <w:tcBorders>
              <w:top w:val="nil"/>
              <w:left w:val="nil"/>
              <w:bottom w:val="nil"/>
              <w:right w:val="nil"/>
            </w:tcBorders>
            <w:hideMark/>
          </w:tcPr>
          <w:p w14:paraId="39FC2F33"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present</w:t>
            </w:r>
          </w:p>
        </w:tc>
        <w:tc>
          <w:tcPr>
            <w:tcW w:w="807" w:type="pct"/>
            <w:tcBorders>
              <w:top w:val="nil"/>
              <w:left w:val="nil"/>
              <w:bottom w:val="nil"/>
              <w:right w:val="nil"/>
            </w:tcBorders>
            <w:hideMark/>
          </w:tcPr>
          <w:p w14:paraId="1AAB88D4"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737" w:type="pct"/>
            <w:tcBorders>
              <w:top w:val="nil"/>
              <w:left w:val="nil"/>
              <w:bottom w:val="nil"/>
              <w:right w:val="nil"/>
            </w:tcBorders>
            <w:hideMark/>
          </w:tcPr>
          <w:p w14:paraId="41ACE390"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27</w:t>
            </w:r>
          </w:p>
        </w:tc>
        <w:tc>
          <w:tcPr>
            <w:tcW w:w="770" w:type="pct"/>
            <w:tcBorders>
              <w:top w:val="nil"/>
              <w:left w:val="nil"/>
              <w:bottom w:val="nil"/>
              <w:right w:val="nil"/>
            </w:tcBorders>
            <w:hideMark/>
          </w:tcPr>
          <w:p w14:paraId="20A2EE25"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932" w:type="pct"/>
            <w:tcBorders>
              <w:top w:val="nil"/>
              <w:left w:val="nil"/>
              <w:bottom w:val="nil"/>
              <w:right w:val="nil"/>
            </w:tcBorders>
            <w:hideMark/>
          </w:tcPr>
          <w:p w14:paraId="2596CB53"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893064" w14:paraId="104D1124"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4B4908D1"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4BE41AF5"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737" w:type="pct"/>
            <w:tcBorders>
              <w:left w:val="nil"/>
              <w:right w:val="nil"/>
            </w:tcBorders>
            <w:hideMark/>
          </w:tcPr>
          <w:p w14:paraId="08EB0B77"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14</w:t>
            </w:r>
          </w:p>
        </w:tc>
        <w:tc>
          <w:tcPr>
            <w:tcW w:w="770" w:type="pct"/>
            <w:tcBorders>
              <w:left w:val="nil"/>
              <w:right w:val="nil"/>
            </w:tcBorders>
            <w:hideMark/>
          </w:tcPr>
          <w:p w14:paraId="3C237B45"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932" w:type="pct"/>
            <w:tcBorders>
              <w:left w:val="nil"/>
              <w:right w:val="nil"/>
            </w:tcBorders>
            <w:hideMark/>
          </w:tcPr>
          <w:p w14:paraId="383CD1E5"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893064" w14:paraId="121D4CF1"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01C44538"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61A0212D"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737" w:type="pct"/>
            <w:tcBorders>
              <w:top w:val="nil"/>
              <w:left w:val="nil"/>
              <w:bottom w:val="nil"/>
              <w:right w:val="nil"/>
            </w:tcBorders>
            <w:hideMark/>
          </w:tcPr>
          <w:p w14:paraId="57259F2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770" w:type="pct"/>
            <w:tcBorders>
              <w:top w:val="nil"/>
              <w:left w:val="nil"/>
              <w:bottom w:val="nil"/>
              <w:right w:val="nil"/>
            </w:tcBorders>
            <w:hideMark/>
          </w:tcPr>
          <w:p w14:paraId="595789E9"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932" w:type="pct"/>
            <w:tcBorders>
              <w:top w:val="nil"/>
              <w:left w:val="nil"/>
              <w:bottom w:val="nil"/>
              <w:right w:val="nil"/>
            </w:tcBorders>
            <w:hideMark/>
          </w:tcPr>
          <w:p w14:paraId="0E529B52"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893064" w14:paraId="0A705F2B"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left w:val="nil"/>
              <w:right w:val="nil"/>
            </w:tcBorders>
            <w:hideMark/>
          </w:tcPr>
          <w:p w14:paraId="091D7D37" w14:textId="77777777" w:rsidR="00893064" w:rsidRDefault="00893064">
            <w:pPr>
              <w:pStyle w:val="Body"/>
              <w:rPr>
                <w:rFonts w:cs="Times New Roman"/>
                <w:sz w:val="22"/>
                <w:szCs w:val="22"/>
              </w:rPr>
            </w:pPr>
            <w:proofErr w:type="spellStart"/>
            <w:r>
              <w:rPr>
                <w:rFonts w:cs="Times New Roman"/>
                <w:sz w:val="22"/>
                <w:szCs w:val="22"/>
              </w:rPr>
              <w:t>Aven</w:t>
            </w:r>
            <w:proofErr w:type="spellEnd"/>
            <w:r>
              <w:rPr>
                <w:rFonts w:cs="Times New Roman"/>
                <w:sz w:val="22"/>
                <w:szCs w:val="22"/>
              </w:rPr>
              <w:t xml:space="preserve"> </w:t>
            </w:r>
          </w:p>
        </w:tc>
        <w:tc>
          <w:tcPr>
            <w:tcW w:w="1040" w:type="pct"/>
            <w:vMerge w:val="restart"/>
            <w:tcBorders>
              <w:left w:val="nil"/>
              <w:right w:val="nil"/>
            </w:tcBorders>
            <w:hideMark/>
          </w:tcPr>
          <w:p w14:paraId="4B595B4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absent</w:t>
            </w:r>
          </w:p>
        </w:tc>
        <w:tc>
          <w:tcPr>
            <w:tcW w:w="807" w:type="pct"/>
            <w:tcBorders>
              <w:left w:val="nil"/>
              <w:right w:val="nil"/>
            </w:tcBorders>
            <w:hideMark/>
          </w:tcPr>
          <w:p w14:paraId="3E0FAAC1"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737" w:type="pct"/>
            <w:tcBorders>
              <w:left w:val="nil"/>
              <w:right w:val="nil"/>
            </w:tcBorders>
            <w:hideMark/>
          </w:tcPr>
          <w:p w14:paraId="7A16808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22</w:t>
            </w:r>
          </w:p>
        </w:tc>
        <w:tc>
          <w:tcPr>
            <w:tcW w:w="770" w:type="pct"/>
            <w:tcBorders>
              <w:left w:val="nil"/>
              <w:right w:val="nil"/>
            </w:tcBorders>
            <w:hideMark/>
          </w:tcPr>
          <w:p w14:paraId="4C4DDA1E"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932" w:type="pct"/>
            <w:tcBorders>
              <w:left w:val="nil"/>
              <w:right w:val="nil"/>
            </w:tcBorders>
            <w:hideMark/>
          </w:tcPr>
          <w:p w14:paraId="61B57C59"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893064" w14:paraId="674F241A"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single" w:sz="4" w:space="0" w:color="7F7F7F" w:themeColor="text1" w:themeTint="80"/>
              <w:left w:val="nil"/>
              <w:bottom w:val="single" w:sz="4" w:space="0" w:color="7F7F7F" w:themeColor="text1" w:themeTint="80"/>
              <w:right w:val="nil"/>
            </w:tcBorders>
            <w:vAlign w:val="center"/>
            <w:hideMark/>
          </w:tcPr>
          <w:p w14:paraId="4FA7725C"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65DB1726"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737" w:type="pct"/>
            <w:tcBorders>
              <w:top w:val="nil"/>
              <w:left w:val="nil"/>
              <w:bottom w:val="nil"/>
              <w:right w:val="nil"/>
            </w:tcBorders>
            <w:hideMark/>
          </w:tcPr>
          <w:p w14:paraId="211403F1"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10, 11</w:t>
            </w:r>
          </w:p>
        </w:tc>
        <w:tc>
          <w:tcPr>
            <w:tcW w:w="770" w:type="pct"/>
            <w:tcBorders>
              <w:top w:val="nil"/>
              <w:left w:val="nil"/>
              <w:bottom w:val="nil"/>
              <w:right w:val="nil"/>
            </w:tcBorders>
            <w:hideMark/>
          </w:tcPr>
          <w:p w14:paraId="17E8070D"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932" w:type="pct"/>
            <w:tcBorders>
              <w:top w:val="nil"/>
              <w:left w:val="nil"/>
              <w:bottom w:val="nil"/>
              <w:right w:val="nil"/>
            </w:tcBorders>
            <w:hideMark/>
          </w:tcPr>
          <w:p w14:paraId="3B6330AD"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893064" w14:paraId="162074EB"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left w:val="nil"/>
              <w:right w:val="nil"/>
            </w:tcBorders>
            <w:vAlign w:val="center"/>
            <w:hideMark/>
          </w:tcPr>
          <w:p w14:paraId="577FD82D"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5E951AC0"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737" w:type="pct"/>
            <w:tcBorders>
              <w:left w:val="nil"/>
              <w:right w:val="nil"/>
            </w:tcBorders>
            <w:hideMark/>
          </w:tcPr>
          <w:p w14:paraId="193020E1"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7, 9</w:t>
            </w:r>
          </w:p>
        </w:tc>
        <w:tc>
          <w:tcPr>
            <w:tcW w:w="770" w:type="pct"/>
            <w:tcBorders>
              <w:left w:val="nil"/>
              <w:right w:val="nil"/>
            </w:tcBorders>
            <w:hideMark/>
          </w:tcPr>
          <w:p w14:paraId="666A0525"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932" w:type="pct"/>
            <w:tcBorders>
              <w:left w:val="nil"/>
              <w:right w:val="nil"/>
            </w:tcBorders>
            <w:hideMark/>
          </w:tcPr>
          <w:p w14:paraId="0C543922"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893064" w14:paraId="022DC2F8"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top w:val="nil"/>
              <w:left w:val="nil"/>
              <w:bottom w:val="nil"/>
              <w:right w:val="nil"/>
            </w:tcBorders>
            <w:hideMark/>
          </w:tcPr>
          <w:p w14:paraId="76320B3F" w14:textId="77777777" w:rsidR="00893064" w:rsidRDefault="00893064">
            <w:pPr>
              <w:pStyle w:val="Body"/>
              <w:rPr>
                <w:rFonts w:cs="Times New Roman"/>
                <w:sz w:val="22"/>
                <w:szCs w:val="22"/>
              </w:rPr>
            </w:pPr>
            <w:r>
              <w:rPr>
                <w:rFonts w:cs="Times New Roman"/>
                <w:sz w:val="22"/>
                <w:szCs w:val="22"/>
              </w:rPr>
              <w:t>Mov</w:t>
            </w:r>
          </w:p>
        </w:tc>
        <w:tc>
          <w:tcPr>
            <w:tcW w:w="1040" w:type="pct"/>
            <w:vMerge w:val="restart"/>
            <w:tcBorders>
              <w:top w:val="nil"/>
              <w:left w:val="nil"/>
              <w:bottom w:val="nil"/>
              <w:right w:val="nil"/>
            </w:tcBorders>
            <w:hideMark/>
          </w:tcPr>
          <w:p w14:paraId="78E672B5"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absent</w:t>
            </w:r>
          </w:p>
        </w:tc>
        <w:tc>
          <w:tcPr>
            <w:tcW w:w="807" w:type="pct"/>
            <w:tcBorders>
              <w:top w:val="nil"/>
              <w:left w:val="nil"/>
              <w:bottom w:val="nil"/>
              <w:right w:val="nil"/>
            </w:tcBorders>
            <w:hideMark/>
          </w:tcPr>
          <w:p w14:paraId="3BCB8FA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737" w:type="pct"/>
            <w:tcBorders>
              <w:top w:val="nil"/>
              <w:left w:val="nil"/>
              <w:bottom w:val="nil"/>
              <w:right w:val="nil"/>
            </w:tcBorders>
            <w:hideMark/>
          </w:tcPr>
          <w:p w14:paraId="0B52C3ED"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29</w:t>
            </w:r>
          </w:p>
        </w:tc>
        <w:tc>
          <w:tcPr>
            <w:tcW w:w="770" w:type="pct"/>
            <w:tcBorders>
              <w:top w:val="nil"/>
              <w:left w:val="nil"/>
              <w:bottom w:val="nil"/>
              <w:right w:val="nil"/>
            </w:tcBorders>
            <w:hideMark/>
          </w:tcPr>
          <w:p w14:paraId="01330ECD"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932" w:type="pct"/>
            <w:tcBorders>
              <w:top w:val="nil"/>
              <w:left w:val="nil"/>
              <w:bottom w:val="nil"/>
              <w:right w:val="nil"/>
            </w:tcBorders>
            <w:hideMark/>
          </w:tcPr>
          <w:p w14:paraId="1ECB8EB0"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893064" w14:paraId="09AB9DE0"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1F5C1BF8"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2BA9C509"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737" w:type="pct"/>
            <w:tcBorders>
              <w:left w:val="nil"/>
              <w:right w:val="nil"/>
            </w:tcBorders>
            <w:hideMark/>
          </w:tcPr>
          <w:p w14:paraId="2AF8B47D"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14</w:t>
            </w:r>
          </w:p>
        </w:tc>
        <w:tc>
          <w:tcPr>
            <w:tcW w:w="770" w:type="pct"/>
            <w:tcBorders>
              <w:left w:val="nil"/>
              <w:right w:val="nil"/>
            </w:tcBorders>
            <w:hideMark/>
          </w:tcPr>
          <w:p w14:paraId="2230E2CF"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932" w:type="pct"/>
            <w:tcBorders>
              <w:left w:val="nil"/>
              <w:right w:val="nil"/>
            </w:tcBorders>
            <w:hideMark/>
          </w:tcPr>
          <w:p w14:paraId="4879F4A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893064" w14:paraId="6895F076"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nil"/>
              <w:right w:val="nil"/>
            </w:tcBorders>
            <w:vAlign w:val="center"/>
            <w:hideMark/>
          </w:tcPr>
          <w:p w14:paraId="456B2500"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3A7739D5"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737" w:type="pct"/>
            <w:tcBorders>
              <w:top w:val="nil"/>
              <w:left w:val="nil"/>
              <w:bottom w:val="nil"/>
              <w:right w:val="nil"/>
            </w:tcBorders>
            <w:hideMark/>
          </w:tcPr>
          <w:p w14:paraId="0AF26923"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14</w:t>
            </w:r>
          </w:p>
        </w:tc>
        <w:tc>
          <w:tcPr>
            <w:tcW w:w="770" w:type="pct"/>
            <w:tcBorders>
              <w:top w:val="nil"/>
              <w:left w:val="nil"/>
              <w:bottom w:val="nil"/>
              <w:right w:val="nil"/>
            </w:tcBorders>
            <w:hideMark/>
          </w:tcPr>
          <w:p w14:paraId="10B82581"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932" w:type="pct"/>
            <w:tcBorders>
              <w:top w:val="nil"/>
              <w:left w:val="nil"/>
              <w:bottom w:val="nil"/>
              <w:right w:val="nil"/>
            </w:tcBorders>
            <w:hideMark/>
          </w:tcPr>
          <w:p w14:paraId="03838BC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893064" w14:paraId="339F4E8E" w14:textId="77777777" w:rsidTr="008930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vMerge w:val="restart"/>
            <w:tcBorders>
              <w:left w:val="nil"/>
              <w:right w:val="nil"/>
            </w:tcBorders>
            <w:hideMark/>
          </w:tcPr>
          <w:p w14:paraId="5B36CE49" w14:textId="77777777" w:rsidR="00893064" w:rsidRDefault="00893064">
            <w:pPr>
              <w:pStyle w:val="Body"/>
              <w:rPr>
                <w:rFonts w:cs="Times New Roman"/>
                <w:sz w:val="22"/>
                <w:szCs w:val="22"/>
              </w:rPr>
            </w:pPr>
            <w:proofErr w:type="spellStart"/>
            <w:r>
              <w:rPr>
                <w:rFonts w:cs="Times New Roman"/>
                <w:sz w:val="22"/>
                <w:szCs w:val="22"/>
              </w:rPr>
              <w:t>SiCr</w:t>
            </w:r>
            <w:proofErr w:type="spellEnd"/>
          </w:p>
        </w:tc>
        <w:tc>
          <w:tcPr>
            <w:tcW w:w="1040" w:type="pct"/>
            <w:vMerge w:val="restart"/>
            <w:tcBorders>
              <w:left w:val="nil"/>
              <w:right w:val="nil"/>
            </w:tcBorders>
            <w:hideMark/>
          </w:tcPr>
          <w:p w14:paraId="6094A42E"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absent</w:t>
            </w:r>
          </w:p>
        </w:tc>
        <w:tc>
          <w:tcPr>
            <w:tcW w:w="807" w:type="pct"/>
            <w:tcBorders>
              <w:left w:val="nil"/>
              <w:right w:val="nil"/>
            </w:tcBorders>
            <w:hideMark/>
          </w:tcPr>
          <w:p w14:paraId="416B5480"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737" w:type="pct"/>
            <w:tcBorders>
              <w:left w:val="nil"/>
              <w:right w:val="nil"/>
            </w:tcBorders>
            <w:hideMark/>
          </w:tcPr>
          <w:p w14:paraId="4D95798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22</w:t>
            </w:r>
          </w:p>
        </w:tc>
        <w:tc>
          <w:tcPr>
            <w:tcW w:w="770" w:type="pct"/>
            <w:tcBorders>
              <w:left w:val="nil"/>
              <w:right w:val="nil"/>
            </w:tcBorders>
            <w:hideMark/>
          </w:tcPr>
          <w:p w14:paraId="7A6437BC"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932" w:type="pct"/>
            <w:tcBorders>
              <w:left w:val="nil"/>
              <w:right w:val="nil"/>
            </w:tcBorders>
            <w:hideMark/>
          </w:tcPr>
          <w:p w14:paraId="71BB25A0"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893064" w14:paraId="42503414" w14:textId="77777777" w:rsidTr="00893064">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top w:val="single" w:sz="4" w:space="0" w:color="7F7F7F" w:themeColor="text1" w:themeTint="80"/>
              <w:left w:val="nil"/>
              <w:bottom w:val="single" w:sz="4" w:space="0" w:color="7F7F7F" w:themeColor="text1" w:themeTint="80"/>
              <w:right w:val="nil"/>
            </w:tcBorders>
            <w:vAlign w:val="center"/>
            <w:hideMark/>
          </w:tcPr>
          <w:p w14:paraId="5E4CDFAE" w14:textId="77777777" w:rsidR="00893064" w:rsidRDefault="00893064">
            <w:pPr>
              <w:cnfStyle w:val="000000000000" w:firstRow="0" w:lastRow="0" w:firstColumn="0" w:lastColumn="0" w:oddVBand="0" w:evenVBand="0" w:oddHBand="0"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nil"/>
              <w:right w:val="nil"/>
            </w:tcBorders>
            <w:hideMark/>
          </w:tcPr>
          <w:p w14:paraId="462E1045"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737" w:type="pct"/>
            <w:tcBorders>
              <w:top w:val="nil"/>
              <w:left w:val="nil"/>
              <w:bottom w:val="nil"/>
              <w:right w:val="nil"/>
            </w:tcBorders>
            <w:hideMark/>
          </w:tcPr>
          <w:p w14:paraId="7033083F"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13</w:t>
            </w:r>
          </w:p>
        </w:tc>
        <w:tc>
          <w:tcPr>
            <w:tcW w:w="770" w:type="pct"/>
            <w:tcBorders>
              <w:top w:val="nil"/>
              <w:left w:val="nil"/>
              <w:bottom w:val="nil"/>
              <w:right w:val="nil"/>
            </w:tcBorders>
            <w:hideMark/>
          </w:tcPr>
          <w:p w14:paraId="70D0494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932" w:type="pct"/>
            <w:tcBorders>
              <w:top w:val="nil"/>
              <w:left w:val="nil"/>
              <w:bottom w:val="nil"/>
              <w:right w:val="nil"/>
            </w:tcBorders>
            <w:hideMark/>
          </w:tcPr>
          <w:p w14:paraId="01981452"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893064" w14:paraId="3F009E34" w14:textId="77777777" w:rsidTr="00893064">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893064" w:rsidRDefault="00893064">
            <w:pPr>
              <w:rPr>
                <w:color w:val="000000"/>
                <w:sz w:val="22"/>
                <w:szCs w:val="22"/>
                <w:u w:color="000000"/>
                <w:lang w:val="en-US"/>
                <w14:textOutline w14:w="0" w14:cap="flat" w14:cmpd="sng" w14:algn="ctr">
                  <w14:noFill/>
                  <w14:prstDash w14:val="solid"/>
                  <w14:bevel/>
                </w14:textOutline>
              </w:rPr>
            </w:pPr>
          </w:p>
        </w:tc>
        <w:tc>
          <w:tcPr>
            <w:tcW w:w="0" w:type="auto"/>
            <w:vMerge/>
            <w:tcBorders>
              <w:left w:val="nil"/>
              <w:right w:val="nil"/>
            </w:tcBorders>
            <w:vAlign w:val="center"/>
            <w:hideMark/>
          </w:tcPr>
          <w:p w14:paraId="5C5A3DF8" w14:textId="77777777" w:rsidR="00893064" w:rsidRDefault="00893064">
            <w:pPr>
              <w:cnfStyle w:val="000000100000" w:firstRow="0" w:lastRow="0" w:firstColumn="0" w:lastColumn="0" w:oddVBand="0" w:evenVBand="0" w:oddHBand="1" w:evenHBand="0" w:firstRowFirstColumn="0" w:firstRowLastColumn="0" w:lastRowFirstColumn="0" w:lastRowLastColumn="0"/>
              <w:rPr>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0D084A75"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737" w:type="pct"/>
            <w:tcBorders>
              <w:left w:val="nil"/>
              <w:right w:val="nil"/>
            </w:tcBorders>
            <w:hideMark/>
          </w:tcPr>
          <w:p w14:paraId="121D2B8B"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14, 16</w:t>
            </w:r>
          </w:p>
        </w:tc>
        <w:tc>
          <w:tcPr>
            <w:tcW w:w="770" w:type="pct"/>
            <w:tcBorders>
              <w:left w:val="nil"/>
              <w:right w:val="nil"/>
            </w:tcBorders>
            <w:hideMark/>
          </w:tcPr>
          <w:p w14:paraId="041C4074"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932" w:type="pct"/>
            <w:tcBorders>
              <w:left w:val="nil"/>
              <w:right w:val="nil"/>
            </w:tcBorders>
            <w:hideMark/>
          </w:tcPr>
          <w:p w14:paraId="4AE14428"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893064" w14:paraId="5F5FC5F9" w14:textId="77777777" w:rsidTr="00893064">
        <w:trPr>
          <w:trHeight w:val="158"/>
        </w:trPr>
        <w:tc>
          <w:tcPr>
            <w:cnfStyle w:val="001000000000" w:firstRow="0" w:lastRow="0" w:firstColumn="1" w:lastColumn="0" w:oddVBand="0" w:evenVBand="0" w:oddHBand="0" w:evenHBand="0" w:firstRowFirstColumn="0" w:firstRowLastColumn="0" w:lastRowFirstColumn="0" w:lastRowLastColumn="0"/>
            <w:tcW w:w="714" w:type="pct"/>
            <w:vMerge w:val="restart"/>
            <w:tcBorders>
              <w:top w:val="nil"/>
              <w:left w:val="nil"/>
              <w:bottom w:val="single" w:sz="4" w:space="0" w:color="7F7F7F" w:themeColor="text1" w:themeTint="80"/>
              <w:right w:val="nil"/>
            </w:tcBorders>
            <w:hideMark/>
          </w:tcPr>
          <w:p w14:paraId="15C20B68" w14:textId="77777777" w:rsidR="00893064" w:rsidRDefault="00893064">
            <w:pPr>
              <w:pStyle w:val="Body"/>
              <w:rPr>
                <w:sz w:val="22"/>
                <w:szCs w:val="22"/>
              </w:rPr>
            </w:pPr>
            <w:r>
              <w:rPr>
                <w:sz w:val="22"/>
                <w:szCs w:val="22"/>
              </w:rPr>
              <w:t>Coal</w:t>
            </w:r>
          </w:p>
        </w:tc>
        <w:tc>
          <w:tcPr>
            <w:tcW w:w="1040" w:type="pct"/>
            <w:vMerge w:val="restart"/>
            <w:tcBorders>
              <w:top w:val="nil"/>
              <w:left w:val="nil"/>
              <w:bottom w:val="single" w:sz="4" w:space="0" w:color="7F7F7F" w:themeColor="text1" w:themeTint="80"/>
              <w:right w:val="nil"/>
            </w:tcBorders>
            <w:hideMark/>
          </w:tcPr>
          <w:p w14:paraId="503C5871"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absent</w:t>
            </w:r>
          </w:p>
        </w:tc>
        <w:tc>
          <w:tcPr>
            <w:tcW w:w="807" w:type="pct"/>
            <w:tcBorders>
              <w:top w:val="nil"/>
              <w:left w:val="nil"/>
              <w:bottom w:val="nil"/>
              <w:right w:val="nil"/>
            </w:tcBorders>
            <w:hideMark/>
          </w:tcPr>
          <w:p w14:paraId="3619C1B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737" w:type="pct"/>
            <w:tcBorders>
              <w:top w:val="nil"/>
              <w:left w:val="nil"/>
              <w:bottom w:val="nil"/>
              <w:right w:val="nil"/>
            </w:tcBorders>
            <w:hideMark/>
          </w:tcPr>
          <w:p w14:paraId="15295B15"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19</w:t>
            </w:r>
          </w:p>
        </w:tc>
        <w:tc>
          <w:tcPr>
            <w:tcW w:w="770" w:type="pct"/>
            <w:tcBorders>
              <w:top w:val="nil"/>
              <w:left w:val="nil"/>
              <w:bottom w:val="nil"/>
              <w:right w:val="nil"/>
            </w:tcBorders>
            <w:hideMark/>
          </w:tcPr>
          <w:p w14:paraId="6E97E0AF"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932" w:type="pct"/>
            <w:tcBorders>
              <w:top w:val="nil"/>
              <w:left w:val="nil"/>
              <w:bottom w:val="nil"/>
              <w:right w:val="nil"/>
            </w:tcBorders>
            <w:hideMark/>
          </w:tcPr>
          <w:p w14:paraId="53939248"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893064" w14:paraId="55C9BD0D" w14:textId="77777777" w:rsidTr="00893064">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893064" w:rsidRDefault="00893064">
            <w:pPr>
              <w:rPr>
                <w:rFonts w:cs="Arial Unicode MS"/>
                <w:color w:val="000000"/>
                <w:sz w:val="22"/>
                <w:szCs w:val="22"/>
                <w:u w:color="000000"/>
                <w:lang w:val="en-US"/>
                <w14:textOutline w14:w="0" w14:cap="flat" w14:cmpd="sng" w14:algn="ctr">
                  <w14:noFill/>
                  <w14:prstDash w14:val="solid"/>
                  <w14:bevel/>
                </w14:textOutline>
              </w:rPr>
            </w:pPr>
          </w:p>
        </w:tc>
        <w:tc>
          <w:tcPr>
            <w:tcW w:w="0" w:type="auto"/>
            <w:vMerge/>
            <w:tcBorders>
              <w:top w:val="nil"/>
              <w:left w:val="nil"/>
              <w:right w:val="nil"/>
            </w:tcBorders>
            <w:vAlign w:val="center"/>
            <w:hideMark/>
          </w:tcPr>
          <w:p w14:paraId="7FAECA19" w14:textId="77777777" w:rsidR="00893064" w:rsidRDefault="00893064">
            <w:pPr>
              <w:cnfStyle w:val="000000100000" w:firstRow="0" w:lastRow="0" w:firstColumn="0" w:lastColumn="0" w:oddVBand="0" w:evenVBand="0" w:oddHBand="1" w:evenHBand="0" w:firstRowFirstColumn="0" w:firstRowLastColumn="0" w:lastRowFirstColumn="0" w:lastRowLastColumn="0"/>
              <w:rPr>
                <w:rFonts w:cs="Arial Unicode MS"/>
                <w:color w:val="000000"/>
                <w:sz w:val="22"/>
                <w:szCs w:val="22"/>
                <w:u w:color="000000"/>
                <w:lang w:val="en-US"/>
                <w14:textOutline w14:w="0" w14:cap="flat" w14:cmpd="sng" w14:algn="ctr">
                  <w14:noFill/>
                  <w14:prstDash w14:val="solid"/>
                  <w14:bevel/>
                </w14:textOutline>
              </w:rPr>
            </w:pPr>
          </w:p>
        </w:tc>
        <w:tc>
          <w:tcPr>
            <w:tcW w:w="807" w:type="pct"/>
            <w:tcBorders>
              <w:left w:val="nil"/>
              <w:right w:val="nil"/>
            </w:tcBorders>
            <w:hideMark/>
          </w:tcPr>
          <w:p w14:paraId="6F8C1A8A"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737" w:type="pct"/>
            <w:tcBorders>
              <w:left w:val="nil"/>
              <w:right w:val="nil"/>
            </w:tcBorders>
            <w:hideMark/>
          </w:tcPr>
          <w:p w14:paraId="6CE30AE7"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10</w:t>
            </w:r>
          </w:p>
        </w:tc>
        <w:tc>
          <w:tcPr>
            <w:tcW w:w="770" w:type="pct"/>
            <w:tcBorders>
              <w:left w:val="nil"/>
              <w:right w:val="nil"/>
            </w:tcBorders>
            <w:hideMark/>
          </w:tcPr>
          <w:p w14:paraId="5D2639FA"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932" w:type="pct"/>
            <w:tcBorders>
              <w:left w:val="nil"/>
              <w:right w:val="nil"/>
            </w:tcBorders>
            <w:hideMark/>
          </w:tcPr>
          <w:p w14:paraId="1E8B019E" w14:textId="77777777" w:rsidR="00893064" w:rsidRDefault="00893064">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893064" w14:paraId="2CFB2CB9" w14:textId="77777777" w:rsidTr="00893064">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893064" w:rsidRDefault="00893064">
            <w:pPr>
              <w:rPr>
                <w:rFonts w:cs="Arial Unicode MS"/>
                <w:color w:val="000000"/>
                <w:sz w:val="22"/>
                <w:szCs w:val="22"/>
                <w:u w:color="000000"/>
                <w:lang w:val="en-US"/>
                <w14:textOutline w14:w="0" w14:cap="flat" w14:cmpd="sng" w14:algn="ctr">
                  <w14:noFill/>
                  <w14:prstDash w14:val="solid"/>
                  <w14:bevel/>
                </w14:textOutline>
              </w:rPr>
            </w:pPr>
          </w:p>
        </w:tc>
        <w:tc>
          <w:tcPr>
            <w:tcW w:w="0" w:type="auto"/>
            <w:vMerge/>
            <w:tcBorders>
              <w:top w:val="nil"/>
              <w:left w:val="nil"/>
              <w:bottom w:val="single" w:sz="4" w:space="0" w:color="7F7F7F" w:themeColor="text1" w:themeTint="80"/>
              <w:right w:val="nil"/>
            </w:tcBorders>
            <w:vAlign w:val="center"/>
            <w:hideMark/>
          </w:tcPr>
          <w:p w14:paraId="6F8274F3" w14:textId="77777777" w:rsidR="00893064" w:rsidRDefault="00893064">
            <w:pPr>
              <w:cnfStyle w:val="000000000000" w:firstRow="0" w:lastRow="0" w:firstColumn="0" w:lastColumn="0" w:oddVBand="0" w:evenVBand="0" w:oddHBand="0" w:evenHBand="0" w:firstRowFirstColumn="0" w:firstRowLastColumn="0" w:lastRowFirstColumn="0" w:lastRowLastColumn="0"/>
              <w:rPr>
                <w:rFonts w:cs="Arial Unicode MS"/>
                <w:color w:val="000000"/>
                <w:sz w:val="22"/>
                <w:szCs w:val="22"/>
                <w:u w:color="000000"/>
                <w:lang w:val="en-US"/>
                <w14:textOutline w14:w="0" w14:cap="flat" w14:cmpd="sng" w14:algn="ctr">
                  <w14:noFill/>
                  <w14:prstDash w14:val="solid"/>
                  <w14:bevel/>
                </w14:textOutline>
              </w:rPr>
            </w:pPr>
          </w:p>
        </w:tc>
        <w:tc>
          <w:tcPr>
            <w:tcW w:w="807" w:type="pct"/>
            <w:tcBorders>
              <w:top w:val="nil"/>
              <w:left w:val="nil"/>
              <w:bottom w:val="single" w:sz="4" w:space="0" w:color="7F7F7F" w:themeColor="text1" w:themeTint="80"/>
              <w:right w:val="nil"/>
            </w:tcBorders>
            <w:hideMark/>
          </w:tcPr>
          <w:p w14:paraId="7ACD7EBE"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737" w:type="pct"/>
            <w:tcBorders>
              <w:top w:val="nil"/>
              <w:left w:val="nil"/>
              <w:bottom w:val="single" w:sz="4" w:space="0" w:color="7F7F7F" w:themeColor="text1" w:themeTint="80"/>
              <w:right w:val="nil"/>
            </w:tcBorders>
            <w:hideMark/>
          </w:tcPr>
          <w:p w14:paraId="38843197"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7</w:t>
            </w:r>
          </w:p>
        </w:tc>
        <w:tc>
          <w:tcPr>
            <w:tcW w:w="770" w:type="pct"/>
            <w:tcBorders>
              <w:top w:val="nil"/>
              <w:left w:val="nil"/>
              <w:bottom w:val="single" w:sz="4" w:space="0" w:color="7F7F7F" w:themeColor="text1" w:themeTint="80"/>
              <w:right w:val="nil"/>
            </w:tcBorders>
            <w:hideMark/>
          </w:tcPr>
          <w:p w14:paraId="426F3D5B"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932" w:type="pct"/>
            <w:tcBorders>
              <w:top w:val="nil"/>
              <w:left w:val="nil"/>
              <w:bottom w:val="single" w:sz="4" w:space="0" w:color="7F7F7F" w:themeColor="text1" w:themeTint="80"/>
              <w:right w:val="nil"/>
            </w:tcBorders>
            <w:hideMark/>
          </w:tcPr>
          <w:p w14:paraId="40919B2F" w14:textId="77777777" w:rsidR="00893064" w:rsidRDefault="00893064">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01503C3C" w14:textId="4DF95758" w:rsidR="0012666A" w:rsidRDefault="0012666A">
      <w:pPr>
        <w:rPr>
          <w:lang w:val="en-US"/>
        </w:rPr>
      </w:pPr>
      <w:r w:rsidRPr="0012666A">
        <w:rPr>
          <w:noProof/>
          <w:lang w:val="en-US"/>
        </w:rPr>
        <w:lastRenderedPageBreak/>
        <w:drawing>
          <wp:inline distT="0" distB="0" distL="0" distR="0" wp14:anchorId="4A4821EB" wp14:editId="5D1C28BB">
            <wp:extent cx="4619625" cy="6020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693" cy="6026295"/>
                    </a:xfrm>
                    <a:prstGeom prst="rect">
                      <a:avLst/>
                    </a:prstGeom>
                  </pic:spPr>
                </pic:pic>
              </a:graphicData>
            </a:graphic>
          </wp:inline>
        </w:drawing>
      </w:r>
    </w:p>
    <w:p w14:paraId="7198A39B" w14:textId="69AAF76D" w:rsidR="0012666A" w:rsidRDefault="0012666A">
      <w:pPr>
        <w:rPr>
          <w:lang w:val="en-US"/>
        </w:rPr>
      </w:pPr>
      <w:r>
        <w:rPr>
          <w:lang w:val="en-US"/>
        </w:rPr>
        <w:t>Figure 1: A map of the nine study areas.</w:t>
      </w:r>
    </w:p>
    <w:p w14:paraId="5C4CC4BE" w14:textId="082493C1" w:rsidR="00747280" w:rsidRDefault="00747280">
      <w:pPr>
        <w:rPr>
          <w:lang w:val="en-US"/>
        </w:rPr>
      </w:pPr>
    </w:p>
    <w:p w14:paraId="7E4507B6" w14:textId="3945BE97" w:rsidR="00747280" w:rsidRDefault="00747280">
      <w:pPr>
        <w:rPr>
          <w:lang w:val="en-US"/>
        </w:rPr>
      </w:pPr>
    </w:p>
    <w:p w14:paraId="43AD68DE" w14:textId="6E9CE776" w:rsidR="00747280" w:rsidRDefault="00747280">
      <w:pPr>
        <w:rPr>
          <w:lang w:val="en-US"/>
        </w:rPr>
      </w:pPr>
    </w:p>
    <w:p w14:paraId="14687967" w14:textId="07062EAD" w:rsidR="00747280" w:rsidRDefault="00747280">
      <w:pPr>
        <w:rPr>
          <w:lang w:val="en-US"/>
        </w:rPr>
      </w:pPr>
    </w:p>
    <w:p w14:paraId="1339568D" w14:textId="19BA1F70" w:rsidR="00747280" w:rsidRDefault="00747280">
      <w:pPr>
        <w:rPr>
          <w:lang w:val="en-US"/>
        </w:rPr>
      </w:pPr>
    </w:p>
    <w:p w14:paraId="1454D8B7" w14:textId="160AB3D5" w:rsidR="00747280" w:rsidRDefault="00747280">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2"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USGS EROS Archive - Vegetation Monitoring - EROS Visible Infrared Imaging Radiometer Suite (</w:t>
      </w:r>
      <w:proofErr w:type="spellStart"/>
      <w:r w:rsidRPr="00120C16">
        <w:rPr>
          <w:lang w:val="en-US"/>
        </w:rPr>
        <w:t>eVIIRS</w:t>
      </w:r>
      <w:proofErr w:type="spellEnd"/>
      <w:r w:rsidRPr="00120C16">
        <w:rPr>
          <w:lang w:val="en-US"/>
        </w:rPr>
        <w:t xml:space="preserve">) </w:t>
      </w:r>
      <w:r w:rsidR="00494690">
        <w:rPr>
          <w:lang w:val="en-US"/>
        </w:rPr>
        <w:t xml:space="preserve">, </w:t>
      </w:r>
      <w:r w:rsidR="00494690" w:rsidRPr="00494690">
        <w:rPr>
          <w:lang w:val="en-US"/>
        </w:rPr>
        <w:t>https://doi.org/10.5066/P9Q3B2A7</w:t>
      </w:r>
    </w:p>
    <w:p w14:paraId="5FB650C9" w14:textId="77777777" w:rsidR="00120C16" w:rsidRDefault="00120C16">
      <w:pPr>
        <w:rPr>
          <w:lang w:val="en-US"/>
        </w:rPr>
      </w:pPr>
    </w:p>
    <w:sectPr w:rsidR="00120C16">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6286B" w14:textId="77777777" w:rsidR="00A52A7D" w:rsidRDefault="00A52A7D" w:rsidP="002A1989">
      <w:pPr>
        <w:spacing w:after="0" w:line="240" w:lineRule="auto"/>
      </w:pPr>
      <w:r>
        <w:separator/>
      </w:r>
    </w:p>
  </w:endnote>
  <w:endnote w:type="continuationSeparator" w:id="0">
    <w:p w14:paraId="51AE7FEC" w14:textId="77777777" w:rsidR="00A52A7D" w:rsidRDefault="00A52A7D"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8611D" w14:textId="77777777" w:rsidR="00A52A7D" w:rsidRDefault="00A52A7D" w:rsidP="002A1989">
      <w:pPr>
        <w:spacing w:after="0" w:line="240" w:lineRule="auto"/>
      </w:pPr>
      <w:r>
        <w:separator/>
      </w:r>
    </w:p>
  </w:footnote>
  <w:footnote w:type="continuationSeparator" w:id="0">
    <w:p w14:paraId="727E4632" w14:textId="77777777" w:rsidR="00A52A7D" w:rsidRDefault="00A52A7D"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NKwFAIESvPktAAAA"/>
  </w:docVars>
  <w:rsids>
    <w:rsidRoot w:val="00F85AF7"/>
    <w:rsid w:val="00003052"/>
    <w:rsid w:val="00035080"/>
    <w:rsid w:val="00066D7D"/>
    <w:rsid w:val="00070F4D"/>
    <w:rsid w:val="000A4340"/>
    <w:rsid w:val="00120C16"/>
    <w:rsid w:val="0012666A"/>
    <w:rsid w:val="001433BF"/>
    <w:rsid w:val="00146C90"/>
    <w:rsid w:val="001473F2"/>
    <w:rsid w:val="001B6B3A"/>
    <w:rsid w:val="002139DF"/>
    <w:rsid w:val="00295EE0"/>
    <w:rsid w:val="002A1989"/>
    <w:rsid w:val="002D4D56"/>
    <w:rsid w:val="00345AFA"/>
    <w:rsid w:val="0035183A"/>
    <w:rsid w:val="0039702A"/>
    <w:rsid w:val="003D0436"/>
    <w:rsid w:val="00442457"/>
    <w:rsid w:val="00442C69"/>
    <w:rsid w:val="00484D2A"/>
    <w:rsid w:val="00494690"/>
    <w:rsid w:val="004C16D3"/>
    <w:rsid w:val="004D3EA1"/>
    <w:rsid w:val="00555A1E"/>
    <w:rsid w:val="00576809"/>
    <w:rsid w:val="005B36AF"/>
    <w:rsid w:val="005D050A"/>
    <w:rsid w:val="00603CF9"/>
    <w:rsid w:val="00640664"/>
    <w:rsid w:val="006518EF"/>
    <w:rsid w:val="00665E4D"/>
    <w:rsid w:val="006939FB"/>
    <w:rsid w:val="00694DE4"/>
    <w:rsid w:val="007378C4"/>
    <w:rsid w:val="00747280"/>
    <w:rsid w:val="00752AD1"/>
    <w:rsid w:val="007776F9"/>
    <w:rsid w:val="007F32DB"/>
    <w:rsid w:val="00893064"/>
    <w:rsid w:val="00895768"/>
    <w:rsid w:val="008A3C50"/>
    <w:rsid w:val="00901D4D"/>
    <w:rsid w:val="00912C98"/>
    <w:rsid w:val="00923ED2"/>
    <w:rsid w:val="00944C51"/>
    <w:rsid w:val="009B0E1A"/>
    <w:rsid w:val="009C4CE4"/>
    <w:rsid w:val="00A47B10"/>
    <w:rsid w:val="00A52A7D"/>
    <w:rsid w:val="00A64042"/>
    <w:rsid w:val="00A81B25"/>
    <w:rsid w:val="00AE14DF"/>
    <w:rsid w:val="00B35238"/>
    <w:rsid w:val="00B46279"/>
    <w:rsid w:val="00B809EC"/>
    <w:rsid w:val="00B8449F"/>
    <w:rsid w:val="00B87334"/>
    <w:rsid w:val="00C309C9"/>
    <w:rsid w:val="00C33FC4"/>
    <w:rsid w:val="00C5011E"/>
    <w:rsid w:val="00CB40A2"/>
    <w:rsid w:val="00CC309E"/>
    <w:rsid w:val="00D30482"/>
    <w:rsid w:val="00D4352E"/>
    <w:rsid w:val="00D55054"/>
    <w:rsid w:val="00D96A34"/>
    <w:rsid w:val="00DC1C3D"/>
    <w:rsid w:val="00E14562"/>
    <w:rsid w:val="00E31454"/>
    <w:rsid w:val="00E65DF6"/>
    <w:rsid w:val="00E92187"/>
    <w:rsid w:val="00ED1EA0"/>
    <w:rsid w:val="00F058E6"/>
    <w:rsid w:val="00F221FA"/>
    <w:rsid w:val="00F5200F"/>
    <w:rsid w:val="00F85AF7"/>
    <w:rsid w:val="00FA1B2D"/>
    <w:rsid w:val="00FA5380"/>
    <w:rsid w:val="00FA6331"/>
    <w:rsid w:val="00FE09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ds.cr.usgs.gov/queue/orderlist/BulkDownload/20220822_104216/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15</Pages>
  <Words>9200</Words>
  <Characters>52442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76</cp:revision>
  <dcterms:created xsi:type="dcterms:W3CDTF">2022-08-11T17:28:00Z</dcterms:created>
  <dcterms:modified xsi:type="dcterms:W3CDTF">2022-09-28T21:45:00Z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id="MS2hpjEY"/&gt;&lt;style id="http://www.zotero.org/styles/ecology" hasBibliography="1" bibliographyStyleHasBeenSet="0"/&gt;&lt;prefs&gt;&lt;pref name="fieldType" value="Field"/&gt;&lt;/prefs&gt;&lt;/data&gt;</vt:lpwstr>
  </property>
</Properties>
</file>