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1B2011">
      <w:r>
        <w:t>CH2 Chunk removals</w:t>
      </w:r>
    </w:p>
    <w:p w:rsidR="00DC1B43" w:rsidRDefault="00DC1B43" w:rsidP="00DC1B43">
      <w:r>
        <w:t>Weather data</w:t>
      </w:r>
    </w:p>
    <w:p w:rsidR="00DC1B43" w:rsidRDefault="00DC1B43" w:rsidP="00DC1B43">
      <w:r>
        <w:t>A Campbell weather station (www.wrcc.dri.edu/ucnrs) in the adjacent Granite Cove provided hourly site-level environmental data. Data logged between 10 am and 5:00 pm were used to correspond with study timings. The mean of hourly wind speed (m/s), mean temperature (ºC) and mean solar radiation were calculated for that time period daily.</w:t>
      </w:r>
    </w:p>
    <w:p w:rsidR="001B2011" w:rsidRDefault="001B2011">
      <w:r w:rsidRPr="001B2011">
        <w:t xml:space="preserve">Heterospecific pollen were identified using a reference collection created of 38 species from surrounding sites in 2017 and 2018. This reference collection was photographed using </w:t>
      </w:r>
      <w:proofErr w:type="spellStart"/>
      <w:r w:rsidRPr="001B2011">
        <w:t>Lumenera</w:t>
      </w:r>
      <w:proofErr w:type="spellEnd"/>
      <w:r w:rsidRPr="001B2011">
        <w:t xml:space="preserve"> microscope camera at 100 x and 400x and the size of grains were measured using Infinity Analyze to aid identification. The digitized reference collection was uploaded to global pollen project (DOI) and the slides are in </w:t>
      </w:r>
      <w:proofErr w:type="spellStart"/>
      <w:r w:rsidRPr="001B2011">
        <w:t>Lortie</w:t>
      </w:r>
      <w:proofErr w:type="spellEnd"/>
      <w:r w:rsidRPr="001B2011">
        <w:t xml:space="preserve"> Lab at York University.</w:t>
      </w:r>
    </w:p>
    <w:p w:rsidR="00AF2DB1" w:rsidRPr="00053AAF" w:rsidRDefault="00053AAF" w:rsidP="00053AAF">
      <w:r w:rsidRPr="00053AAF">
        <w:t>Spring time flowering is often triggered by rainfall in the winter (</w:t>
      </w:r>
      <w:proofErr w:type="spellStart"/>
      <w:r w:rsidRPr="00053AAF">
        <w:t>Beatley</w:t>
      </w:r>
      <w:proofErr w:type="spellEnd"/>
      <w:r w:rsidRPr="00053AAF">
        <w:t>, 1974).</w:t>
      </w:r>
    </w:p>
    <w:p w:rsidR="00AF2DB1" w:rsidRDefault="00AF2DB1">
      <w:r w:rsidRPr="00AF2DB1">
        <w:t>Interactions for pollinators between plants forms a continuum from competition to facilitation (</w:t>
      </w:r>
      <w:proofErr w:type="spellStart"/>
      <w:r w:rsidRPr="00AF2DB1">
        <w:t>Ratchke</w:t>
      </w:r>
      <w:proofErr w:type="spellEnd"/>
      <w:r w:rsidRPr="00AF2DB1">
        <w:t>, 1983). During the flowering period of the focal plant it may not be possible to separate interactions for pollinators from those that do not require co-blooming. On the competition side, it may not be possible to separate competition due to parasitizing pollinator visits versus interference.</w:t>
      </w:r>
    </w:p>
    <w:p w:rsidR="00503370" w:rsidRDefault="00503370"/>
    <w:p w:rsidR="00503370" w:rsidRDefault="00503370" w:rsidP="00503370">
      <w:r w:rsidRPr="00503370">
        <w:t>Chung et al removed the flowers from Rosa multiflora (2014), but found no effect on bee visitation rates to co-blooming annuals. While one study has tested for mechanistic differences (Jacobsen), this is a test for sequential mutualism. This is particularly true in arid ecosystems where facilitation of shared pollinators can be particularly important in deserts because harsh environmental conditions can lead to large spatial variation in floral abundances and pollinator populations (</w:t>
      </w:r>
      <w:proofErr w:type="spellStart"/>
      <w:r w:rsidRPr="00503370">
        <w:t>Rathcke</w:t>
      </w:r>
      <w:proofErr w:type="spellEnd"/>
      <w:r w:rsidRPr="00503370">
        <w:t>, 1983).</w:t>
      </w:r>
    </w:p>
    <w:p w:rsidR="004F4434" w:rsidRDefault="004F4434" w:rsidP="00503370"/>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4F4434" w:rsidRDefault="004F4434" w:rsidP="004F4434">
      <w:r>
        <w:t xml:space="preserve">Mean plant visits per hour. This is just the mean number of potential foraging bouts. ± the standard deviation. </w:t>
      </w:r>
    </w:p>
    <w:tbl>
      <w:tblPr>
        <w:tblStyle w:val="TableGrid"/>
        <w:tblW w:w="0" w:type="auto"/>
        <w:tblLook w:val="04A0" w:firstRow="1" w:lastRow="0" w:firstColumn="1" w:lastColumn="0" w:noHBand="0" w:noVBand="1"/>
      </w:tblPr>
      <w:tblGrid>
        <w:gridCol w:w="3116"/>
        <w:gridCol w:w="3117"/>
        <w:gridCol w:w="3117"/>
      </w:tblGrid>
      <w:tr w:rsidR="004F4434" w:rsidTr="00BA3C49">
        <w:tc>
          <w:tcPr>
            <w:tcW w:w="3116" w:type="dxa"/>
          </w:tcPr>
          <w:p w:rsidR="004F4434" w:rsidRDefault="004F4434" w:rsidP="00BA3C49"/>
        </w:tc>
        <w:tc>
          <w:tcPr>
            <w:tcW w:w="3117" w:type="dxa"/>
          </w:tcPr>
          <w:p w:rsidR="004F4434" w:rsidRDefault="004F4434" w:rsidP="00BA3C49">
            <w:r>
              <w:t>Open</w:t>
            </w:r>
          </w:p>
        </w:tc>
        <w:tc>
          <w:tcPr>
            <w:tcW w:w="3117" w:type="dxa"/>
          </w:tcPr>
          <w:p w:rsidR="004F4434" w:rsidRDefault="004F4434" w:rsidP="00BA3C49">
            <w:r>
              <w:t>Shrub</w:t>
            </w:r>
          </w:p>
        </w:tc>
      </w:tr>
      <w:tr w:rsidR="004F4434" w:rsidTr="00BA3C49">
        <w:tc>
          <w:tcPr>
            <w:tcW w:w="3116" w:type="dxa"/>
          </w:tcPr>
          <w:p w:rsidR="004F4434" w:rsidRDefault="004F4434" w:rsidP="00BA3C49">
            <w:r>
              <w:t>Pre-blooming</w:t>
            </w:r>
          </w:p>
        </w:tc>
        <w:tc>
          <w:tcPr>
            <w:tcW w:w="3117" w:type="dxa"/>
          </w:tcPr>
          <w:p w:rsidR="004F4434" w:rsidRDefault="004F4434" w:rsidP="00BA3C49">
            <w:r w:rsidRPr="000C15B1">
              <w:t>4.2955249</w:t>
            </w:r>
            <w:r>
              <w:t xml:space="preserve"> ± </w:t>
            </w:r>
            <w:r w:rsidRPr="006024B6">
              <w:t>4.621614</w:t>
            </w:r>
          </w:p>
        </w:tc>
        <w:tc>
          <w:tcPr>
            <w:tcW w:w="3117" w:type="dxa"/>
          </w:tcPr>
          <w:p w:rsidR="004F4434" w:rsidRDefault="004F4434" w:rsidP="00BA3C49">
            <w:r w:rsidRPr="000C15B1">
              <w:t>2.9976793</w:t>
            </w:r>
            <w:r>
              <w:t xml:space="preserve"> ± </w:t>
            </w:r>
            <w:r w:rsidRPr="006024B6">
              <w:t>3.134733</w:t>
            </w:r>
          </w:p>
        </w:tc>
      </w:tr>
      <w:tr w:rsidR="004F4434" w:rsidTr="00BA3C49">
        <w:tc>
          <w:tcPr>
            <w:tcW w:w="3116" w:type="dxa"/>
          </w:tcPr>
          <w:p w:rsidR="004F4434" w:rsidRDefault="004F4434" w:rsidP="00BA3C49">
            <w:r>
              <w:t>Blooming</w:t>
            </w:r>
          </w:p>
        </w:tc>
        <w:tc>
          <w:tcPr>
            <w:tcW w:w="3117" w:type="dxa"/>
          </w:tcPr>
          <w:p w:rsidR="004F4434" w:rsidRDefault="004F4434" w:rsidP="00BA3C49">
            <w:r w:rsidRPr="000C15B1">
              <w:t>1.2526164</w:t>
            </w:r>
            <w:r>
              <w:t xml:space="preserve"> ± </w:t>
            </w:r>
            <w:r w:rsidRPr="0067289D">
              <w:t>1.376179</w:t>
            </w:r>
          </w:p>
        </w:tc>
        <w:tc>
          <w:tcPr>
            <w:tcW w:w="3117" w:type="dxa"/>
          </w:tcPr>
          <w:p w:rsidR="004F4434" w:rsidRDefault="004F4434" w:rsidP="00BA3C49">
            <w:r w:rsidRPr="000C15B1">
              <w:t>0.9458532</w:t>
            </w:r>
            <w:r>
              <w:t xml:space="preserve"> ± </w:t>
            </w:r>
            <w:r w:rsidRPr="006024B6">
              <w:t>1.271302</w:t>
            </w:r>
          </w:p>
        </w:tc>
      </w:tr>
    </w:tbl>
    <w:p w:rsidR="004F4434" w:rsidRDefault="004F4434" w:rsidP="004F4434"/>
    <w:p w:rsidR="004F4434" w:rsidRDefault="004F4434" w:rsidP="004F4434">
      <w:r>
        <w:t xml:space="preserve">Mean number of flowers visited per hour. ± standard deviation. </w:t>
      </w:r>
    </w:p>
    <w:tbl>
      <w:tblPr>
        <w:tblStyle w:val="TableGrid"/>
        <w:tblW w:w="0" w:type="auto"/>
        <w:tblLook w:val="04A0" w:firstRow="1" w:lastRow="0" w:firstColumn="1" w:lastColumn="0" w:noHBand="0" w:noVBand="1"/>
      </w:tblPr>
      <w:tblGrid>
        <w:gridCol w:w="3116"/>
        <w:gridCol w:w="3117"/>
        <w:gridCol w:w="3117"/>
      </w:tblGrid>
      <w:tr w:rsidR="004F4434" w:rsidTr="00BA3C49">
        <w:tc>
          <w:tcPr>
            <w:tcW w:w="3116" w:type="dxa"/>
          </w:tcPr>
          <w:p w:rsidR="004F4434" w:rsidRDefault="004F4434" w:rsidP="00BA3C49"/>
        </w:tc>
        <w:tc>
          <w:tcPr>
            <w:tcW w:w="3117" w:type="dxa"/>
          </w:tcPr>
          <w:p w:rsidR="004F4434" w:rsidRDefault="004F4434" w:rsidP="00BA3C49">
            <w:r>
              <w:t>Open</w:t>
            </w:r>
          </w:p>
        </w:tc>
        <w:tc>
          <w:tcPr>
            <w:tcW w:w="3117" w:type="dxa"/>
          </w:tcPr>
          <w:p w:rsidR="004F4434" w:rsidRDefault="004F4434" w:rsidP="00BA3C49">
            <w:r>
              <w:t>Shrub</w:t>
            </w:r>
          </w:p>
        </w:tc>
      </w:tr>
      <w:tr w:rsidR="004F4434" w:rsidTr="00BA3C49">
        <w:tc>
          <w:tcPr>
            <w:tcW w:w="3116" w:type="dxa"/>
          </w:tcPr>
          <w:p w:rsidR="004F4434" w:rsidRDefault="004F4434" w:rsidP="00BA3C49">
            <w:r>
              <w:t>Pre-blooming</w:t>
            </w:r>
          </w:p>
        </w:tc>
        <w:tc>
          <w:tcPr>
            <w:tcW w:w="3117" w:type="dxa"/>
          </w:tcPr>
          <w:p w:rsidR="004F4434" w:rsidRDefault="004F4434" w:rsidP="00BA3C49">
            <w:r w:rsidRPr="00D14DCE">
              <w:t>5.758404</w:t>
            </w:r>
            <w:r>
              <w:t xml:space="preserve"> ± </w:t>
            </w:r>
            <w:r w:rsidRPr="00D14DCE">
              <w:t>7.547992</w:t>
            </w:r>
          </w:p>
        </w:tc>
        <w:tc>
          <w:tcPr>
            <w:tcW w:w="3117" w:type="dxa"/>
          </w:tcPr>
          <w:p w:rsidR="004F4434" w:rsidRDefault="004F4434" w:rsidP="00BA3C49">
            <w:r w:rsidRPr="00D14DCE">
              <w:t>3.776575</w:t>
            </w:r>
            <w:r>
              <w:t xml:space="preserve"> ± </w:t>
            </w:r>
            <w:r w:rsidRPr="00D14DCE">
              <w:t>4.742340</w:t>
            </w:r>
          </w:p>
        </w:tc>
      </w:tr>
      <w:tr w:rsidR="004F4434" w:rsidTr="00BA3C49">
        <w:tc>
          <w:tcPr>
            <w:tcW w:w="3116" w:type="dxa"/>
          </w:tcPr>
          <w:p w:rsidR="004F4434" w:rsidRDefault="004F4434" w:rsidP="00BA3C49">
            <w:r>
              <w:t>Blooming</w:t>
            </w:r>
          </w:p>
        </w:tc>
        <w:tc>
          <w:tcPr>
            <w:tcW w:w="3117" w:type="dxa"/>
          </w:tcPr>
          <w:p w:rsidR="004F4434" w:rsidRDefault="004F4434" w:rsidP="00BA3C49">
            <w:r w:rsidRPr="00D14DCE">
              <w:t>1.722185</w:t>
            </w:r>
            <w:r>
              <w:t xml:space="preserve"> ± </w:t>
            </w:r>
            <w:r w:rsidRPr="00D14DCE">
              <w:t>2.218946</w:t>
            </w:r>
          </w:p>
        </w:tc>
        <w:tc>
          <w:tcPr>
            <w:tcW w:w="3117" w:type="dxa"/>
          </w:tcPr>
          <w:p w:rsidR="004F4434" w:rsidRDefault="004F4434" w:rsidP="00BA3C49">
            <w:r w:rsidRPr="00D14DCE">
              <w:t>1.268643</w:t>
            </w:r>
            <w:r>
              <w:t xml:space="preserve"> ± </w:t>
            </w:r>
            <w:r w:rsidRPr="00D14DCE">
              <w:t>2.047149</w:t>
            </w:r>
          </w:p>
        </w:tc>
      </w:tr>
    </w:tbl>
    <w:p w:rsidR="004F4434" w:rsidRDefault="004F4434" w:rsidP="004F4434"/>
    <w:p w:rsidR="00D22089" w:rsidRDefault="00D22089" w:rsidP="00D22089"/>
    <w:p w:rsidR="00D22089" w:rsidRDefault="00D22089" w:rsidP="00D22089">
      <w:r>
        <w:t>Stealing pollinators is parasitism.</w:t>
      </w:r>
    </w:p>
    <w:p w:rsidR="00D22089" w:rsidRDefault="00D22089" w:rsidP="00D22089">
      <w:r>
        <w:t>Conclusions:</w:t>
      </w:r>
    </w:p>
    <w:p w:rsidR="00D22089" w:rsidRDefault="00D22089" w:rsidP="00D22089"/>
    <w:p w:rsidR="00D22089" w:rsidRDefault="00D22089" w:rsidP="00D22089">
      <w:r>
        <w:t xml:space="preserve">Conversely, Michener (cite) says </w:t>
      </w:r>
      <w:proofErr w:type="spellStart"/>
      <w:r>
        <w:t>synchorization</w:t>
      </w:r>
      <w:proofErr w:type="spellEnd"/>
      <w:r>
        <w:t xml:space="preserve"> of floral phenologies should </w:t>
      </w:r>
      <w:proofErr w:type="spellStart"/>
      <w:r>
        <w:t>increased</w:t>
      </w:r>
      <w:proofErr w:type="spellEnd"/>
      <w:r>
        <w:t xml:space="preserve"> specialization. The desert is home to many bee specialists. </w:t>
      </w:r>
    </w:p>
    <w:p w:rsidR="00D22089" w:rsidRDefault="00D22089" w:rsidP="00D22089"/>
    <w:p w:rsidR="004F4434" w:rsidRDefault="00D22089" w:rsidP="00D22089">
      <w:r>
        <w:t xml:space="preserve">Ambrosia </w:t>
      </w:r>
      <w:proofErr w:type="spellStart"/>
      <w:r>
        <w:t>dumosa</w:t>
      </w:r>
      <w:proofErr w:type="spellEnd"/>
      <w:r>
        <w:t xml:space="preserve"> increased seed set in annuals, however it is not possible to know if this was due to pollinator visits or a more direct sort of facilitation.</w:t>
      </w:r>
    </w:p>
    <w:p w:rsidR="00202DE7" w:rsidRDefault="00202DE7" w:rsidP="00202DE7">
      <w:r w:rsidRPr="00202DE7">
        <w:t>Among honeybees, color is not always the key factor in flower constancy (</w:t>
      </w:r>
      <w:proofErr w:type="spellStart"/>
      <w:r w:rsidRPr="00202DE7">
        <w:t>Greggers</w:t>
      </w:r>
      <w:proofErr w:type="spellEnd"/>
      <w:r w:rsidRPr="00202DE7">
        <w:t xml:space="preserve"> and </w:t>
      </w:r>
      <w:proofErr w:type="spellStart"/>
      <w:r w:rsidRPr="00202DE7">
        <w:t>Menzel</w:t>
      </w:r>
      <w:proofErr w:type="spellEnd"/>
      <w:r w:rsidRPr="00202DE7">
        <w:t xml:space="preserve"> 1993). Pollinator visitation to other shrubs was not measured, however there was no influence of non Larrea shrub density on M. glabrata visitation. Oil specialist </w:t>
      </w:r>
      <w:proofErr w:type="spellStart"/>
      <w:r w:rsidRPr="00202DE7">
        <w:t>Centris</w:t>
      </w:r>
      <w:proofErr w:type="spellEnd"/>
      <w:r w:rsidRPr="00202DE7">
        <w:t xml:space="preserve"> bees were the second most frequent visitor to Larrea, but never visited Malacothrix.</w:t>
      </w:r>
    </w:p>
    <w:p w:rsidR="00CA7B0A" w:rsidRDefault="00CA7B0A" w:rsidP="00202DE7"/>
    <w:p w:rsidR="00CA7B0A" w:rsidRDefault="00CA7B0A" w:rsidP="00CA7B0A"/>
    <w:p w:rsidR="00CA7B0A" w:rsidRDefault="00CA7B0A" w:rsidP="00CA7B0A">
      <w:r>
        <w:t>Phenological shifts interact with ontogenies to determine net outcomes (Yang and Rudolf, 2010).</w:t>
      </w:r>
    </w:p>
    <w:p w:rsidR="00CA7B0A" w:rsidRDefault="00CA7B0A" w:rsidP="00CA7B0A">
      <w:r>
        <w:t xml:space="preserve">Manipulation experiments have found competition between sequential bloomers (Campbell and </w:t>
      </w:r>
      <w:proofErr w:type="spellStart"/>
      <w:r>
        <w:t>Motten</w:t>
      </w:r>
      <w:proofErr w:type="spellEnd"/>
      <w:r>
        <w:t>, 1985).</w:t>
      </w:r>
    </w:p>
    <w:p w:rsidR="00CA7B0A" w:rsidRPr="00202DE7" w:rsidRDefault="00CA7B0A" w:rsidP="00CA7B0A">
      <w:proofErr w:type="spellStart"/>
      <w:r>
        <w:t>Megandrena</w:t>
      </w:r>
      <w:proofErr w:type="spellEnd"/>
      <w:r>
        <w:t xml:space="preserve"> </w:t>
      </w:r>
      <w:proofErr w:type="spellStart"/>
      <w:r>
        <w:t>encelia</w:t>
      </w:r>
      <w:proofErr w:type="spellEnd"/>
      <w:r>
        <w:t xml:space="preserve"> (Hymenoptera: </w:t>
      </w:r>
      <w:proofErr w:type="spellStart"/>
      <w:r>
        <w:t>Andrenidae</w:t>
      </w:r>
      <w:proofErr w:type="spellEnd"/>
      <w:r>
        <w:t xml:space="preserve">) and </w:t>
      </w:r>
      <w:proofErr w:type="spellStart"/>
      <w:r>
        <w:t>Hesperapis</w:t>
      </w:r>
      <w:proofErr w:type="spellEnd"/>
      <w:r>
        <w:t xml:space="preserve"> </w:t>
      </w:r>
      <w:proofErr w:type="spellStart"/>
      <w:r>
        <w:t>larrae</w:t>
      </w:r>
      <w:proofErr w:type="spellEnd"/>
      <w:r>
        <w:t xml:space="preserve"> (Hymenoptera: </w:t>
      </w:r>
      <w:proofErr w:type="spellStart"/>
      <w:r>
        <w:t>Melittidae</w:t>
      </w:r>
      <w:proofErr w:type="spellEnd"/>
      <w:r>
        <w:t xml:space="preserve">) are both locally </w:t>
      </w:r>
      <w:proofErr w:type="spellStart"/>
      <w:r>
        <w:t>oligolectic</w:t>
      </w:r>
      <w:proofErr w:type="spellEnd"/>
      <w:r>
        <w:t xml:space="preserve">, visiting L. tridentata exclusively as long it is present (Hurd Jr and </w:t>
      </w:r>
      <w:proofErr w:type="spellStart"/>
      <w:r>
        <w:t>Linsley</w:t>
      </w:r>
      <w:proofErr w:type="spellEnd"/>
      <w:r>
        <w:t>, 1975).</w:t>
      </w:r>
      <w:bookmarkStart w:id="0" w:name="_GoBack"/>
      <w:bookmarkEnd w:id="0"/>
    </w:p>
    <w:sectPr w:rsidR="00CA7B0A" w:rsidRPr="0020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altName w:val="Menlo Regular"/>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011"/>
    <w:rsid w:val="00053AAF"/>
    <w:rsid w:val="001B2011"/>
    <w:rsid w:val="00202DE7"/>
    <w:rsid w:val="00314984"/>
    <w:rsid w:val="004F4434"/>
    <w:rsid w:val="00503370"/>
    <w:rsid w:val="00AF2DB1"/>
    <w:rsid w:val="00CA7B0A"/>
    <w:rsid w:val="00D22089"/>
    <w:rsid w:val="00DC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8A6E"/>
  <w15:chartTrackingRefBased/>
  <w15:docId w15:val="{F62DFD28-6E68-49F3-A769-A6A19E5E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F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4434"/>
    <w:rPr>
      <w:rFonts w:ascii="Courier New" w:eastAsia="Times New Roman" w:hAnsi="Courier New" w:cs="Courier New"/>
      <w:sz w:val="20"/>
      <w:szCs w:val="20"/>
    </w:rPr>
  </w:style>
  <w:style w:type="character" w:customStyle="1" w:styleId="gnkrckgcgsb">
    <w:name w:val="gnkrckgcgsb"/>
    <w:basedOn w:val="DefaultParagraphFont"/>
    <w:rsid w:val="004F4434"/>
  </w:style>
  <w:style w:type="table" w:styleId="TableGrid">
    <w:name w:val="Table Grid"/>
    <w:basedOn w:val="TableNormal"/>
    <w:uiPriority w:val="39"/>
    <w:rsid w:val="004F4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9</cp:revision>
  <dcterms:created xsi:type="dcterms:W3CDTF">2018-07-23T18:30:00Z</dcterms:created>
  <dcterms:modified xsi:type="dcterms:W3CDTF">2018-09-21T23:30:00Z</dcterms:modified>
</cp:coreProperties>
</file>