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984" w:rsidRDefault="00BE5D85">
      <w:r>
        <w:t>Appendix. Data tables for Chapter 2</w:t>
      </w:r>
    </w:p>
    <w:p w:rsidR="00BE5D85" w:rsidRDefault="00BE5D85">
      <w:r>
        <w:t>Table 1. Visitation rates for flying visitors, standardized in different ways. Mean ± SD/SE (range)</w:t>
      </w:r>
      <w:r w:rsidR="00C714F0">
        <w:t>. n = 235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079"/>
        <w:gridCol w:w="1105"/>
        <w:gridCol w:w="1023"/>
        <w:gridCol w:w="1350"/>
        <w:gridCol w:w="1128"/>
        <w:gridCol w:w="1425"/>
        <w:gridCol w:w="1206"/>
        <w:gridCol w:w="1350"/>
        <w:gridCol w:w="1404"/>
      </w:tblGrid>
      <w:tr w:rsidR="00BA6A99" w:rsidTr="001C4701">
        <w:tc>
          <w:tcPr>
            <w:tcW w:w="1079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023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425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404" w:type="dxa"/>
          </w:tcPr>
          <w:p w:rsidR="00BE5D85" w:rsidRPr="00BE5D85" w:rsidRDefault="00BE5D85">
            <w:pPr>
              <w:rPr>
                <w:sz w:val="20"/>
                <w:szCs w:val="20"/>
              </w:rPr>
            </w:pP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023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25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06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E5D85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404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3.00</w:t>
            </w:r>
            <w:r w:rsidR="001C4701">
              <w:rPr>
                <w:sz w:val="20"/>
                <w:szCs w:val="20"/>
              </w:rPr>
              <w:t xml:space="preserve"> ± 3.13/0.41</w:t>
            </w:r>
            <w:r w:rsidR="00E90424">
              <w:rPr>
                <w:sz w:val="20"/>
                <w:szCs w:val="20"/>
              </w:rPr>
              <w:t xml:space="preserve"> (0 – 19.62)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3.78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4.74/0.62 (0 – 31.40)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0.35 ± 0.32/0.04 (0 – 1.66)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0.43 ± 0.47/0.06 (0 – 2.61)</w:t>
            </w:r>
          </w:p>
        </w:tc>
        <w:tc>
          <w:tcPr>
            <w:tcW w:w="1425" w:type="dxa"/>
          </w:tcPr>
          <w:p w:rsidR="00847EB1" w:rsidRDefault="00847EB1" w:rsidP="00847EB1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4.29</w:t>
            </w:r>
            <w:r w:rsidR="001C470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r w:rsidR="001C4701">
              <w:t>± 4.62/0.61</w:t>
            </w:r>
            <w:r w:rsidR="00E90424">
              <w:t xml:space="preserve"> (0 – 20.10)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5.76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7.55/</w:t>
            </w:r>
            <w:r w:rsidR="00BA6A99">
              <w:rPr>
                <w:sz w:val="20"/>
                <w:szCs w:val="20"/>
              </w:rPr>
              <w:t>1.00 (0 - 40.21)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0.50 ± 0.58/0.08 (0 – 3.35)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0.67 ± 1.01/0.13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E5D85" w:rsidRPr="00BE5D85" w:rsidRDefault="00847EB1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0.95</w:t>
            </w:r>
            <w:r w:rsidR="001C4701">
              <w:rPr>
                <w:sz w:val="20"/>
                <w:szCs w:val="20"/>
              </w:rPr>
              <w:t xml:space="preserve"> ± 1.27/0.16</w:t>
            </w:r>
            <w:r w:rsidR="00E90424">
              <w:rPr>
                <w:sz w:val="20"/>
                <w:szCs w:val="20"/>
              </w:rPr>
              <w:t xml:space="preserve"> (0 – 5.80)</w:t>
            </w:r>
          </w:p>
        </w:tc>
        <w:tc>
          <w:tcPr>
            <w:tcW w:w="1023" w:type="dxa"/>
          </w:tcPr>
          <w:p w:rsidR="00BE5D85" w:rsidRPr="00BE5D85" w:rsidRDefault="00B02A9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1.27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2.05/0.26 (0 – 9.37)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0.10 ± 0.13/0.02 (0 – 0.64)</w:t>
            </w:r>
          </w:p>
        </w:tc>
        <w:tc>
          <w:tcPr>
            <w:tcW w:w="1128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0.20/0.03 (0 – 1.02)</w:t>
            </w:r>
          </w:p>
        </w:tc>
        <w:tc>
          <w:tcPr>
            <w:tcW w:w="1425" w:type="dxa"/>
          </w:tcPr>
          <w:p w:rsidR="00847EB1" w:rsidRPr="00847EB1" w:rsidRDefault="00847EB1" w:rsidP="00847E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05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847EB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1.25</w:t>
            </w:r>
            <w:r w:rsidR="001C4701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r w:rsidR="001C4701">
              <w:rPr>
                <w:sz w:val="20"/>
                <w:szCs w:val="20"/>
              </w:rPr>
              <w:t>± 1.38/0.18</w:t>
            </w:r>
            <w:r w:rsidR="00E90424">
              <w:rPr>
                <w:sz w:val="20"/>
                <w:szCs w:val="20"/>
              </w:rPr>
              <w:t xml:space="preserve"> (0 – 5.49)</w:t>
            </w:r>
          </w:p>
          <w:p w:rsidR="00BE5D85" w:rsidRPr="00BE5D85" w:rsidRDefault="00BE5D85" w:rsidP="00BE5D85">
            <w:pPr>
              <w:rPr>
                <w:sz w:val="20"/>
                <w:szCs w:val="20"/>
              </w:rPr>
            </w:pPr>
          </w:p>
        </w:tc>
        <w:tc>
          <w:tcPr>
            <w:tcW w:w="1206" w:type="dxa"/>
          </w:tcPr>
          <w:p w:rsidR="00BE5D85" w:rsidRPr="00BE5D85" w:rsidRDefault="003A3F72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1.72</w:t>
            </w:r>
            <w:r w:rsidR="00BA6A99">
              <w:rPr>
                <w:sz w:val="20"/>
                <w:szCs w:val="20"/>
              </w:rPr>
              <w:t xml:space="preserve"> </w:t>
            </w:r>
            <w:r w:rsidR="00B02A93"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 </w:t>
            </w:r>
            <w:r w:rsidR="00B02A93">
              <w:rPr>
                <w:sz w:val="20"/>
                <w:szCs w:val="20"/>
              </w:rPr>
              <w:t>2.22/</w:t>
            </w:r>
            <w:r w:rsidR="00BA6A99">
              <w:rPr>
                <w:sz w:val="20"/>
                <w:szCs w:val="20"/>
              </w:rPr>
              <w:t>0.29 (0 – 11.49)</w:t>
            </w:r>
          </w:p>
        </w:tc>
        <w:tc>
          <w:tcPr>
            <w:tcW w:w="1350" w:type="dxa"/>
          </w:tcPr>
          <w:p w:rsidR="00BE5D85" w:rsidRPr="00BE5D85" w:rsidRDefault="000C7CB9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0.13 ± 0.14/0.02 (0 – 0.69)</w:t>
            </w:r>
          </w:p>
        </w:tc>
        <w:tc>
          <w:tcPr>
            <w:tcW w:w="1404" w:type="dxa"/>
          </w:tcPr>
          <w:p w:rsidR="00BE5D85" w:rsidRPr="00BE5D85" w:rsidRDefault="00243490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0.16 ± 0.20/0.03 (0 – 0.77)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1.96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2.59/0.23 (0 – 19.62)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2.51 ± 3.84/0.35 (0 – 31.40)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0.22 ± 0.28/0.03 (0 – 1.66)</w:t>
            </w:r>
          </w:p>
        </w:tc>
        <w:tc>
          <w:tcPr>
            <w:tcW w:w="1128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0.28 ± 0.39/0.04 (0 – 2.61)</w:t>
            </w:r>
          </w:p>
        </w:tc>
        <w:tc>
          <w:tcPr>
            <w:tcW w:w="1425" w:type="dxa"/>
          </w:tcPr>
          <w:p w:rsidR="00BE5D85" w:rsidRPr="00BE5D85" w:rsidRDefault="00E90424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2.75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3.70/0.34 (0 – 20.10)</w:t>
            </w:r>
          </w:p>
        </w:tc>
        <w:tc>
          <w:tcPr>
            <w:tcW w:w="1206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3.71 ± 5.86/0.54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0.46/0.04 (0 – 3.35)</w:t>
            </w:r>
          </w:p>
        </w:tc>
        <w:tc>
          <w:tcPr>
            <w:tcW w:w="1404" w:type="dxa"/>
          </w:tcPr>
          <w:p w:rsidR="00BE5D85" w:rsidRPr="00BE5D85" w:rsidRDefault="000E3A63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0.41 ± 0.76/0.07 (0 – 6.70)</w:t>
            </w:r>
          </w:p>
        </w:tc>
      </w:tr>
      <w:tr w:rsidR="00BA6A99" w:rsidTr="001C4701">
        <w:tc>
          <w:tcPr>
            <w:tcW w:w="1079" w:type="dxa"/>
          </w:tcPr>
          <w:p w:rsidR="00BE5D85" w:rsidRPr="00BE5D85" w:rsidRDefault="00BE5D85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3.64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3.97/0.37 (0 - 20.10)</w:t>
            </w:r>
          </w:p>
        </w:tc>
        <w:tc>
          <w:tcPr>
            <w:tcW w:w="1023" w:type="dxa"/>
          </w:tcPr>
          <w:p w:rsidR="00BE5D85" w:rsidRPr="00BE5D85" w:rsidRDefault="00D62F5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Pre: 4.75 ± </w:t>
            </w:r>
            <w:r w:rsidR="00754D4B">
              <w:rPr>
                <w:sz w:val="20"/>
                <w:szCs w:val="20"/>
              </w:rPr>
              <w:t>6.33/0.59 (0 – 40.21)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0.42 ± 0.47/0 .04 (0 - 3.35)</w:t>
            </w:r>
          </w:p>
        </w:tc>
        <w:tc>
          <w:tcPr>
            <w:tcW w:w="1128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0.55 ± 0.79/0.07 (0 – 6.70)</w:t>
            </w:r>
          </w:p>
        </w:tc>
        <w:tc>
          <w:tcPr>
            <w:tcW w:w="1425" w:type="dxa"/>
          </w:tcPr>
          <w:p w:rsidR="00BE5D85" w:rsidRPr="00BE5D85" w:rsidRDefault="0071118F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D62F5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1.10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±</w:t>
            </w:r>
            <w:r w:rsidR="00BA6A99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1.33/0.12 (0 – 5.80)</w:t>
            </w:r>
          </w:p>
        </w:tc>
        <w:tc>
          <w:tcPr>
            <w:tcW w:w="1206" w:type="dxa"/>
          </w:tcPr>
          <w:p w:rsidR="00BE5D85" w:rsidRPr="00BE5D85" w:rsidRDefault="00754D4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1.49 ± 2.14/ 0.20 (0 – 11.49)</w:t>
            </w:r>
          </w:p>
        </w:tc>
        <w:tc>
          <w:tcPr>
            <w:tcW w:w="1350" w:type="dxa"/>
          </w:tcPr>
          <w:p w:rsidR="00BE5D85" w:rsidRPr="00BE5D85" w:rsidRDefault="00182DF8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0.11 ± 0.14/0.01 (0 – 0.69)</w:t>
            </w:r>
          </w:p>
        </w:tc>
        <w:tc>
          <w:tcPr>
            <w:tcW w:w="1404" w:type="dxa"/>
          </w:tcPr>
          <w:p w:rsidR="00BE5D85" w:rsidRPr="00BE5D85" w:rsidRDefault="001676DB" w:rsidP="00BE5D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 0.15 ± 0.20/0.02 (0 – 1.02)</w:t>
            </w:r>
          </w:p>
        </w:tc>
      </w:tr>
    </w:tbl>
    <w:p w:rsidR="00BE5D85" w:rsidRDefault="00BE5D85"/>
    <w:p w:rsidR="00BC6F01" w:rsidRDefault="00BC6F01" w:rsidP="00BC6F01">
      <w:r>
        <w:t>Table 2. Visitation rates for all visitors, standardized in different ways. Total visits/Mean ± SD/SE (range)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977"/>
        <w:gridCol w:w="1105"/>
        <w:gridCol w:w="1217"/>
        <w:gridCol w:w="1350"/>
        <w:gridCol w:w="1128"/>
        <w:gridCol w:w="1220"/>
        <w:gridCol w:w="1363"/>
        <w:gridCol w:w="1350"/>
        <w:gridCol w:w="1360"/>
      </w:tblGrid>
      <w:tr w:rsidR="00A45408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Shrub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</w:tr>
      <w:tr w:rsidR="00030DA7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</w:p>
        </w:tc>
        <w:tc>
          <w:tcPr>
            <w:tcW w:w="1105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21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128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22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Visits/hour</w:t>
            </w:r>
          </w:p>
        </w:tc>
        <w:tc>
          <w:tcPr>
            <w:tcW w:w="1363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Fl</w:t>
            </w:r>
            <w:proofErr w:type="spellEnd"/>
            <w:r w:rsidR="00BC6F01"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5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 w:rsidRPr="00BE5D85">
              <w:rPr>
                <w:sz w:val="20"/>
                <w:szCs w:val="20"/>
              </w:rPr>
              <w:t>Visits/</w:t>
            </w:r>
            <w:proofErr w:type="spellStart"/>
            <w:r w:rsidRPr="00BE5D85">
              <w:rPr>
                <w:sz w:val="20"/>
                <w:szCs w:val="20"/>
              </w:rPr>
              <w:t>flr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  <w:tc>
          <w:tcPr>
            <w:tcW w:w="1360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proofErr w:type="spellStart"/>
            <w:r w:rsidRPr="00BE5D85">
              <w:rPr>
                <w:sz w:val="20"/>
                <w:szCs w:val="20"/>
              </w:rPr>
              <w:t>Flrs</w:t>
            </w:r>
            <w:proofErr w:type="spellEnd"/>
            <w:r w:rsidRPr="00BE5D85">
              <w:rPr>
                <w:sz w:val="20"/>
                <w:szCs w:val="20"/>
              </w:rPr>
              <w:t>/</w:t>
            </w:r>
            <w:proofErr w:type="spellStart"/>
            <w:r w:rsidRPr="00BE5D85">
              <w:rPr>
                <w:sz w:val="20"/>
                <w:szCs w:val="20"/>
              </w:rPr>
              <w:t>fl</w:t>
            </w:r>
            <w:proofErr w:type="spellEnd"/>
            <w:r w:rsidRPr="00BE5D85">
              <w:rPr>
                <w:sz w:val="20"/>
                <w:szCs w:val="20"/>
              </w:rPr>
              <w:t>/hour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4.47 ± 3.52/0.46 (0 – 20.61)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5.27 ± 4.87/0.63 (0 – 32.38)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0.54 ± 0.43/0.06 (0 – 2.14)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0.63 ± 0.53/0.017 (0 – 2.70)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6.34 ± 5.94/0.79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23.97)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7.84 ± 8.31/1.10 (0 – 43.93)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0.73 ± 0.73/0.10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0.91 ± 1.11/0.15 (0 – 7.32) 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  <w:tc>
          <w:tcPr>
            <w:tcW w:w="1105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2.07 ± 2.98/0.38 (0 – 16.69)</w:t>
            </w:r>
          </w:p>
        </w:tc>
        <w:tc>
          <w:tcPr>
            <w:tcW w:w="1217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2.40 ± 3.49/0.45 (0 – 16.69)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0.21 ± 0.33/0.04 (0 – 2.09)</w:t>
            </w:r>
          </w:p>
        </w:tc>
        <w:tc>
          <w:tcPr>
            <w:tcW w:w="1128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0.24 ± 0.38/0.05 (0 – 2.07)</w:t>
            </w:r>
          </w:p>
        </w:tc>
        <w:tc>
          <w:tcPr>
            <w:tcW w:w="1220" w:type="dxa"/>
          </w:tcPr>
          <w:p w:rsidR="00BC6F01" w:rsidRPr="00BE5D85" w:rsidRDefault="00D0456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2.61 ± 3.19/0.42 (0 </w:t>
            </w:r>
            <w:r w:rsidR="008A37E4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</w:t>
            </w:r>
            <w:r w:rsidR="008A37E4">
              <w:rPr>
                <w:sz w:val="20"/>
                <w:szCs w:val="20"/>
              </w:rPr>
              <w:t>17.85)</w:t>
            </w:r>
          </w:p>
        </w:tc>
        <w:tc>
          <w:tcPr>
            <w:tcW w:w="1363" w:type="dxa"/>
          </w:tcPr>
          <w:p w:rsidR="00BC6F01" w:rsidRPr="00BE5D85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3.25 ± 3.88/0.50 (0 – 17.85)</w:t>
            </w:r>
          </w:p>
        </w:tc>
        <w:tc>
          <w:tcPr>
            <w:tcW w:w="1350" w:type="dxa"/>
          </w:tcPr>
          <w:p w:rsidR="00BC6F01" w:rsidRPr="00BE5D85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0.26 ± 0.36/0.05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0.31 ± 0.40/0.05 (0 – 2.23)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(pre + post)</w:t>
            </w:r>
          </w:p>
        </w:tc>
        <w:tc>
          <w:tcPr>
            <w:tcW w:w="1105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 xml:space="preserve">3.26 ± 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3.46/0.32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 20.61)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17" w:type="dxa"/>
          </w:tcPr>
          <w:p w:rsidR="00BC6F01" w:rsidRPr="00C43ADD" w:rsidRDefault="00A45408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3.82 ± 4.45/0.41 (0 – 32.38)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0.37 ± 0.42/0.04 (0 – 2.14)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0.43 ± 0.49/0.05 (0 – 2.67)</w:t>
            </w:r>
          </w:p>
        </w:tc>
        <w:tc>
          <w:tcPr>
            <w:tcW w:w="1220" w:type="dxa"/>
          </w:tcPr>
          <w:p w:rsidR="00C43ADD" w:rsidRPr="00C43ADD" w:rsidRDefault="00C43ADD" w:rsidP="00C43ADD">
            <w:pPr>
              <w:pStyle w:val="HTMLPreformatted"/>
              <w:shd w:val="clear" w:color="auto" w:fill="FFFFFF"/>
              <w:wordWrap w:val="0"/>
              <w:spacing w:line="205" w:lineRule="atLeast"/>
              <w:rPr>
                <w:rFonts w:asciiTheme="minorHAnsi" w:hAnsiTheme="minorHAnsi" w:cstheme="minorHAnsi"/>
                <w:color w:val="000000"/>
              </w:rPr>
            </w:pPr>
            <w:r w:rsidRPr="00C43ADD">
              <w:rPr>
                <w:rFonts w:asciiTheme="minorHAnsi" w:hAnsiTheme="minorHAnsi" w:cstheme="minorHAnsi"/>
              </w:rPr>
              <w:t>4.45 ± 5.08/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0.47 (0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–</w:t>
            </w:r>
            <w:r w:rsidRPr="00C43ADD"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gnkrckgcgsb"/>
                <w:rFonts w:asciiTheme="minorHAnsi" w:hAnsiTheme="minorHAnsi" w:cstheme="minorHAnsi"/>
                <w:color w:val="000000"/>
                <w:bdr w:val="none" w:sz="0" w:space="0" w:color="auto" w:frame="1"/>
              </w:rPr>
              <w:t>23.97)</w:t>
            </w:r>
          </w:p>
          <w:p w:rsidR="00BC6F01" w:rsidRPr="00C43ADD" w:rsidRDefault="00BC6F01" w:rsidP="005665C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63" w:type="dxa"/>
          </w:tcPr>
          <w:p w:rsidR="00BC6F01" w:rsidRPr="00C43ADD" w:rsidRDefault="00A45408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5.50 ± 6.82/0.63(0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0.49 ± 0.62/0.06 (0 – 3.97)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0.61 ± 0.87/0.08 (0 – 7.32)</w:t>
            </w:r>
          </w:p>
        </w:tc>
      </w:tr>
      <w:tr w:rsidR="00FE7542" w:rsidTr="00FE7542">
        <w:tc>
          <w:tcPr>
            <w:tcW w:w="977" w:type="dxa"/>
          </w:tcPr>
          <w:p w:rsidR="00BC6F01" w:rsidRPr="00BE5D85" w:rsidRDefault="00BC6F0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(shrub + open)</w:t>
            </w:r>
          </w:p>
        </w:tc>
        <w:tc>
          <w:tcPr>
            <w:tcW w:w="1105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5.39 ± 4.93/0.49 (0 – 23.97)</w:t>
            </w:r>
          </w:p>
        </w:tc>
        <w:tc>
          <w:tcPr>
            <w:tcW w:w="1217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6.53 ± 6.87/0.64 (0 – 43.93)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0.63 ± 0.60/0.06 (0 – 3.97)</w:t>
            </w:r>
          </w:p>
        </w:tc>
        <w:tc>
          <w:tcPr>
            <w:tcW w:w="1128" w:type="dxa"/>
          </w:tcPr>
          <w:p w:rsidR="00BC6F01" w:rsidRPr="00C43ADD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</w:t>
            </w:r>
            <w:r w:rsidR="00785E1F">
              <w:rPr>
                <w:sz w:val="20"/>
                <w:szCs w:val="20"/>
              </w:rPr>
              <w:t xml:space="preserve"> 0.77 ± 0.87/0.08 (0 – 7.32)</w:t>
            </w:r>
          </w:p>
        </w:tc>
        <w:tc>
          <w:tcPr>
            <w:tcW w:w="1220" w:type="dxa"/>
          </w:tcPr>
          <w:p w:rsidR="00BC6F01" w:rsidRPr="00C43ADD" w:rsidRDefault="00C43ADD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 2.34 ± 3.08/0.28 (0 – 17.85)</w:t>
            </w:r>
          </w:p>
        </w:tc>
        <w:tc>
          <w:tcPr>
            <w:tcW w:w="1363" w:type="dxa"/>
          </w:tcPr>
          <w:p w:rsidR="00BC6F01" w:rsidRPr="00C43ADD" w:rsidRDefault="00030DA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2.82 ± 3.69/0.34 (0 – 17.85)</w:t>
            </w:r>
          </w:p>
        </w:tc>
        <w:tc>
          <w:tcPr>
            <w:tcW w:w="1350" w:type="dxa"/>
          </w:tcPr>
          <w:p w:rsidR="00BC6F01" w:rsidRPr="00C43ADD" w:rsidRDefault="00893647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Pre: 0.24 ± 0.35/0.03 (0 – 2.23)</w:t>
            </w:r>
          </w:p>
        </w:tc>
        <w:tc>
          <w:tcPr>
            <w:tcW w:w="1360" w:type="dxa"/>
          </w:tcPr>
          <w:p w:rsidR="00BC6F01" w:rsidRPr="00BE5D85" w:rsidRDefault="00692F71" w:rsidP="005665C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Post:</w:t>
            </w:r>
            <w:r w:rsidR="00785E1F">
              <w:rPr>
                <w:sz w:val="20"/>
                <w:szCs w:val="20"/>
              </w:rPr>
              <w:t xml:space="preserve"> 0.28 ± 0.39/0.04 (0 – 2.23)</w:t>
            </w:r>
          </w:p>
        </w:tc>
      </w:tr>
    </w:tbl>
    <w:p w:rsidR="00BC6F01" w:rsidRDefault="00BC6F01" w:rsidP="00BC6F01"/>
    <w:p w:rsidR="00092B82" w:rsidRDefault="00092B82"/>
    <w:p w:rsidR="00092B82" w:rsidRDefault="00092B82"/>
    <w:p w:rsidR="00092B82" w:rsidRDefault="00092B82"/>
    <w:p w:rsidR="00092B82" w:rsidRDefault="00092B82"/>
    <w:p w:rsidR="00092B82" w:rsidRDefault="00092B82"/>
    <w:p w:rsidR="00BC6F01" w:rsidRDefault="005E6201">
      <w:r>
        <w:lastRenderedPageBreak/>
        <w:t>Table 3: Number of flowers in pots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3"/>
        <w:gridCol w:w="1150"/>
        <w:gridCol w:w="1116"/>
        <w:gridCol w:w="1116"/>
        <w:gridCol w:w="1116"/>
        <w:gridCol w:w="960"/>
        <w:gridCol w:w="960"/>
      </w:tblGrid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treatment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flowering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mean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proofErr w:type="spellStart"/>
            <w:r w:rsidRPr="00092B82">
              <w:t>sd</w:t>
            </w:r>
            <w:proofErr w:type="spellEnd"/>
          </w:p>
        </w:tc>
        <w:tc>
          <w:tcPr>
            <w:tcW w:w="1116" w:type="dxa"/>
            <w:noWrap/>
            <w:hideMark/>
          </w:tcPr>
          <w:p w:rsidR="00092B82" w:rsidRPr="00092B82" w:rsidRDefault="00092B82">
            <w:r w:rsidRPr="00092B82">
              <w:t>se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min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>
            <w:r w:rsidRPr="00092B82">
              <w:t>max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10.49153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3.212974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0.418294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open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9.508772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2.77825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0.367988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18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bloom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10.48333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3.186261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0.411345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6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21</w:t>
            </w:r>
          </w:p>
        </w:tc>
      </w:tr>
      <w:tr w:rsidR="00092B82" w:rsidRPr="00092B82" w:rsidTr="00092B82">
        <w:trPr>
          <w:trHeight w:val="300"/>
        </w:trPr>
        <w:tc>
          <w:tcPr>
            <w:tcW w:w="1123" w:type="dxa"/>
            <w:noWrap/>
            <w:hideMark/>
          </w:tcPr>
          <w:p w:rsidR="00092B82" w:rsidRPr="00092B82" w:rsidRDefault="00092B82">
            <w:r w:rsidRPr="00092B82">
              <w:t>shrub</w:t>
            </w:r>
          </w:p>
        </w:tc>
        <w:tc>
          <w:tcPr>
            <w:tcW w:w="1150" w:type="dxa"/>
            <w:noWrap/>
            <w:hideMark/>
          </w:tcPr>
          <w:p w:rsidR="00092B82" w:rsidRPr="00092B82" w:rsidRDefault="00092B82">
            <w:r w:rsidRPr="00092B82">
              <w:t>pre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9.338983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2.623568</w:t>
            </w:r>
          </w:p>
        </w:tc>
        <w:tc>
          <w:tcPr>
            <w:tcW w:w="1116" w:type="dxa"/>
            <w:noWrap/>
            <w:hideMark/>
          </w:tcPr>
          <w:p w:rsidR="00092B82" w:rsidRPr="00092B82" w:rsidRDefault="00092B82" w:rsidP="00092B82">
            <w:r w:rsidRPr="00092B82">
              <w:t>0.341559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5</w:t>
            </w:r>
          </w:p>
        </w:tc>
        <w:tc>
          <w:tcPr>
            <w:tcW w:w="960" w:type="dxa"/>
            <w:noWrap/>
            <w:hideMark/>
          </w:tcPr>
          <w:p w:rsidR="00092B82" w:rsidRPr="00092B82" w:rsidRDefault="00092B82" w:rsidP="00092B82">
            <w:r w:rsidRPr="00092B82">
              <w:t>16</w:t>
            </w:r>
          </w:p>
        </w:tc>
      </w:tr>
    </w:tbl>
    <w:p w:rsidR="005E6201" w:rsidRDefault="005E6201" w:rsidP="00092B82"/>
    <w:p w:rsidR="001C6B0D" w:rsidRDefault="001C6B0D" w:rsidP="00092B82">
      <w:r>
        <w:t>Table 4: Shrub sizes (cm)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1C6B0D" w:rsidTr="001C6B0D"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Pr="00092B82" w:rsidRDefault="001C6B0D" w:rsidP="001C6B0D">
            <w:r w:rsidRPr="00092B82">
              <w:t>mean</w:t>
            </w:r>
          </w:p>
        </w:tc>
        <w:tc>
          <w:tcPr>
            <w:tcW w:w="1558" w:type="dxa"/>
          </w:tcPr>
          <w:p w:rsidR="001C6B0D" w:rsidRPr="00092B82" w:rsidRDefault="001C6B0D" w:rsidP="001C6B0D">
            <w:proofErr w:type="spellStart"/>
            <w:r w:rsidRPr="00092B82">
              <w:t>sd</w:t>
            </w:r>
            <w:proofErr w:type="spellEnd"/>
          </w:p>
        </w:tc>
        <w:tc>
          <w:tcPr>
            <w:tcW w:w="1558" w:type="dxa"/>
          </w:tcPr>
          <w:p w:rsidR="001C6B0D" w:rsidRPr="00092B82" w:rsidRDefault="001C6B0D" w:rsidP="001C6B0D">
            <w:r w:rsidRPr="00092B82">
              <w:t>se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min</w:t>
            </w:r>
          </w:p>
        </w:tc>
        <w:tc>
          <w:tcPr>
            <w:tcW w:w="1559" w:type="dxa"/>
          </w:tcPr>
          <w:p w:rsidR="001C6B0D" w:rsidRPr="00092B82" w:rsidRDefault="001C6B0D" w:rsidP="001C6B0D">
            <w:r w:rsidRPr="00092B82">
              <w:t>max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Width</w:t>
            </w:r>
          </w:p>
        </w:tc>
        <w:tc>
          <w:tcPr>
            <w:tcW w:w="1558" w:type="dxa"/>
          </w:tcPr>
          <w:p w:rsidR="001C6B0D" w:rsidRDefault="001C6B0D" w:rsidP="001C6B0D">
            <w:r>
              <w:t>336.67</w:t>
            </w:r>
          </w:p>
        </w:tc>
        <w:tc>
          <w:tcPr>
            <w:tcW w:w="1558" w:type="dxa"/>
          </w:tcPr>
          <w:p w:rsidR="001C6B0D" w:rsidRDefault="001C6B0D" w:rsidP="001C6B0D">
            <w:r>
              <w:t>103.09</w:t>
            </w:r>
          </w:p>
        </w:tc>
        <w:tc>
          <w:tcPr>
            <w:tcW w:w="1558" w:type="dxa"/>
          </w:tcPr>
          <w:p w:rsidR="001C6B0D" w:rsidRDefault="001C6B0D" w:rsidP="001C6B0D">
            <w:r>
              <w:t>Na right now</w:t>
            </w:r>
          </w:p>
        </w:tc>
        <w:tc>
          <w:tcPr>
            <w:tcW w:w="1559" w:type="dxa"/>
          </w:tcPr>
          <w:p w:rsidR="001C6B0D" w:rsidRDefault="001C6B0D" w:rsidP="001C6B0D">
            <w:r>
              <w:t>148</w:t>
            </w:r>
          </w:p>
        </w:tc>
        <w:tc>
          <w:tcPr>
            <w:tcW w:w="1559" w:type="dxa"/>
          </w:tcPr>
          <w:p w:rsidR="001C6B0D" w:rsidRDefault="001C6B0D" w:rsidP="001C6B0D">
            <w:r>
              <w:t>552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Height</w:t>
            </w:r>
          </w:p>
        </w:tc>
        <w:tc>
          <w:tcPr>
            <w:tcW w:w="1558" w:type="dxa"/>
          </w:tcPr>
          <w:p w:rsidR="001C6B0D" w:rsidRDefault="001C6B0D" w:rsidP="001C6B0D">
            <w:r>
              <w:t>209.46</w:t>
            </w:r>
          </w:p>
        </w:tc>
        <w:tc>
          <w:tcPr>
            <w:tcW w:w="1558" w:type="dxa"/>
          </w:tcPr>
          <w:p w:rsidR="001C6B0D" w:rsidRDefault="001C6B0D" w:rsidP="001C6B0D">
            <w:r>
              <w:t>45.39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>
            <w:r>
              <w:t>115</w:t>
            </w:r>
          </w:p>
        </w:tc>
        <w:tc>
          <w:tcPr>
            <w:tcW w:w="1559" w:type="dxa"/>
          </w:tcPr>
          <w:p w:rsidR="001C6B0D" w:rsidRDefault="001C6B0D" w:rsidP="001C6B0D">
            <w:r>
              <w:t>340</w:t>
            </w:r>
          </w:p>
        </w:tc>
      </w:tr>
      <w:tr w:rsidR="001C6B0D" w:rsidTr="001C6B0D">
        <w:tc>
          <w:tcPr>
            <w:tcW w:w="1558" w:type="dxa"/>
          </w:tcPr>
          <w:p w:rsidR="001C6B0D" w:rsidRDefault="001C6B0D" w:rsidP="001C6B0D">
            <w:r>
              <w:t>Volume</w:t>
            </w:r>
          </w:p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8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  <w:tc>
          <w:tcPr>
            <w:tcW w:w="1559" w:type="dxa"/>
          </w:tcPr>
          <w:p w:rsidR="001C6B0D" w:rsidRDefault="001C6B0D" w:rsidP="001C6B0D"/>
        </w:tc>
      </w:tr>
    </w:tbl>
    <w:p w:rsidR="001C6B0D" w:rsidRDefault="001C6B0D" w:rsidP="00092B82"/>
    <w:p w:rsidR="00247A54" w:rsidRDefault="00247A54" w:rsidP="00092B82"/>
    <w:p w:rsidR="00247A54" w:rsidRDefault="00247A54" w:rsidP="00092B82"/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601A76" w:rsidRDefault="00601A76" w:rsidP="00C8243A">
      <w:pPr>
        <w:pStyle w:val="HTMLPreformatted"/>
        <w:shd w:val="clear" w:color="auto" w:fill="FFFFFF"/>
        <w:wordWrap w:val="0"/>
        <w:spacing w:line="20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sectPr w:rsidR="00601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D85"/>
    <w:rsid w:val="0002037C"/>
    <w:rsid w:val="00024930"/>
    <w:rsid w:val="00027AE8"/>
    <w:rsid w:val="00030DA7"/>
    <w:rsid w:val="00080CC5"/>
    <w:rsid w:val="00092B82"/>
    <w:rsid w:val="000C7CB9"/>
    <w:rsid w:val="000D32BD"/>
    <w:rsid w:val="000E3A63"/>
    <w:rsid w:val="000F566F"/>
    <w:rsid w:val="001161ED"/>
    <w:rsid w:val="0012514A"/>
    <w:rsid w:val="001676DB"/>
    <w:rsid w:val="00182DF8"/>
    <w:rsid w:val="00186E1F"/>
    <w:rsid w:val="001C4701"/>
    <w:rsid w:val="001C6B0D"/>
    <w:rsid w:val="001E1FAA"/>
    <w:rsid w:val="00220327"/>
    <w:rsid w:val="00243490"/>
    <w:rsid w:val="00247A54"/>
    <w:rsid w:val="00265B11"/>
    <w:rsid w:val="002A1CE3"/>
    <w:rsid w:val="00314984"/>
    <w:rsid w:val="0033065A"/>
    <w:rsid w:val="003A3F72"/>
    <w:rsid w:val="003E2BF7"/>
    <w:rsid w:val="004115F6"/>
    <w:rsid w:val="00511A72"/>
    <w:rsid w:val="0051203A"/>
    <w:rsid w:val="0051536B"/>
    <w:rsid w:val="005665C0"/>
    <w:rsid w:val="005D6F9F"/>
    <w:rsid w:val="005E6201"/>
    <w:rsid w:val="00601A76"/>
    <w:rsid w:val="00644FC9"/>
    <w:rsid w:val="00692F71"/>
    <w:rsid w:val="006C0F74"/>
    <w:rsid w:val="0071118F"/>
    <w:rsid w:val="00714B91"/>
    <w:rsid w:val="00750A85"/>
    <w:rsid w:val="00754D4B"/>
    <w:rsid w:val="00785E1F"/>
    <w:rsid w:val="00813927"/>
    <w:rsid w:val="00846161"/>
    <w:rsid w:val="00847EB1"/>
    <w:rsid w:val="00893647"/>
    <w:rsid w:val="008A37E4"/>
    <w:rsid w:val="009057A7"/>
    <w:rsid w:val="009128DF"/>
    <w:rsid w:val="009571DA"/>
    <w:rsid w:val="009720C6"/>
    <w:rsid w:val="009C2C35"/>
    <w:rsid w:val="009F5E65"/>
    <w:rsid w:val="00A45408"/>
    <w:rsid w:val="00B02A93"/>
    <w:rsid w:val="00B52908"/>
    <w:rsid w:val="00B800C3"/>
    <w:rsid w:val="00BA34FE"/>
    <w:rsid w:val="00BA6A99"/>
    <w:rsid w:val="00BC6F01"/>
    <w:rsid w:val="00BD2E0D"/>
    <w:rsid w:val="00BE5D85"/>
    <w:rsid w:val="00BF0441"/>
    <w:rsid w:val="00BF31D6"/>
    <w:rsid w:val="00C43ADD"/>
    <w:rsid w:val="00C714F0"/>
    <w:rsid w:val="00C8243A"/>
    <w:rsid w:val="00C83E8C"/>
    <w:rsid w:val="00CA714A"/>
    <w:rsid w:val="00D04567"/>
    <w:rsid w:val="00D62F5F"/>
    <w:rsid w:val="00DA4195"/>
    <w:rsid w:val="00E05334"/>
    <w:rsid w:val="00E366B5"/>
    <w:rsid w:val="00E54B82"/>
    <w:rsid w:val="00E90424"/>
    <w:rsid w:val="00EA34E5"/>
    <w:rsid w:val="00EC5927"/>
    <w:rsid w:val="00F51661"/>
    <w:rsid w:val="00F678EE"/>
    <w:rsid w:val="00F84775"/>
    <w:rsid w:val="00FE0927"/>
    <w:rsid w:val="00FE610B"/>
    <w:rsid w:val="00FE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F9E4"/>
  <w15:chartTrackingRefBased/>
  <w15:docId w15:val="{B002E900-E133-45B9-9FA9-454706BA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5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47E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7EB1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847EB1"/>
  </w:style>
  <w:style w:type="paragraph" w:styleId="ListParagraph">
    <w:name w:val="List Paragraph"/>
    <w:basedOn w:val="Normal"/>
    <w:uiPriority w:val="34"/>
    <w:qFormat/>
    <w:rsid w:val="00BA6A99"/>
    <w:pPr>
      <w:ind w:left="720"/>
      <w:contextualSpacing/>
    </w:pPr>
  </w:style>
  <w:style w:type="character" w:customStyle="1" w:styleId="gnkrckgcmsb">
    <w:name w:val="gnkrckgcmsb"/>
    <w:basedOn w:val="DefaultParagraphFont"/>
    <w:rsid w:val="00714B91"/>
  </w:style>
  <w:style w:type="character" w:customStyle="1" w:styleId="gnkrckgcmrb">
    <w:name w:val="gnkrckgcmrb"/>
    <w:basedOn w:val="DefaultParagraphFont"/>
    <w:rsid w:val="00714B91"/>
  </w:style>
  <w:style w:type="character" w:customStyle="1" w:styleId="gnkrckgcasb">
    <w:name w:val="gnkrckgcasb"/>
    <w:basedOn w:val="DefaultParagraphFont"/>
    <w:rsid w:val="003E2BF7"/>
  </w:style>
  <w:style w:type="paragraph" w:styleId="NormalWeb">
    <w:name w:val="Normal (Web)"/>
    <w:basedOn w:val="Normal"/>
    <w:uiPriority w:val="99"/>
    <w:semiHidden/>
    <w:unhideWhenUsed/>
    <w:rsid w:val="00511A72"/>
    <w:pPr>
      <w:spacing w:before="100" w:beforeAutospacing="1" w:after="100" w:afterAutospacing="1" w:line="240" w:lineRule="auto"/>
    </w:pPr>
    <w:rPr>
      <w:rFonts w:eastAsia="Times New Roman"/>
    </w:rPr>
  </w:style>
  <w:style w:type="table" w:customStyle="1" w:styleId="LightShading1">
    <w:name w:val="Light Shading1"/>
    <w:basedOn w:val="TableNormal"/>
    <w:uiPriority w:val="60"/>
    <w:rsid w:val="009720C6"/>
    <w:pPr>
      <w:spacing w:after="0" w:line="240" w:lineRule="auto"/>
    </w:pPr>
    <w:rPr>
      <w:rFonts w:asciiTheme="minorHAnsi" w:hAnsiTheme="minorHAnsi" w:cstheme="minorBidi"/>
      <w:color w:val="000000" w:themeColor="text1" w:themeShade="BF"/>
      <w:sz w:val="22"/>
      <w:szCs w:val="22"/>
      <w:lang w:val="en-CA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9720C6"/>
    <w:pPr>
      <w:spacing w:after="0" w:line="240" w:lineRule="auto"/>
    </w:pPr>
  </w:style>
  <w:style w:type="table" w:styleId="PlainTable2">
    <w:name w:val="Plain Table 2"/>
    <w:basedOn w:val="TableNormal"/>
    <w:uiPriority w:val="42"/>
    <w:rsid w:val="0081392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4359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796">
              <w:marLeft w:val="75"/>
              <w:marRight w:val="15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1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1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2</cp:revision>
  <dcterms:created xsi:type="dcterms:W3CDTF">2018-08-10T01:00:00Z</dcterms:created>
  <dcterms:modified xsi:type="dcterms:W3CDTF">2018-08-10T01:00:00Z</dcterms:modified>
</cp:coreProperties>
</file>