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440D99" w:rsidRPr="00440D99">
        <w:rPr>
          <w:sz w:val="28"/>
          <w:szCs w:val="28"/>
        </w:rPr>
        <w:t>A manipulative test for pollination facilitation by cr</w:t>
      </w:r>
      <w:r w:rsidR="00440D99">
        <w:rPr>
          <w:sz w:val="28"/>
          <w:szCs w:val="28"/>
        </w:rPr>
        <w:t>eosote bush (Larrea tridentata)</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FE799E" w:rsidRDefault="00FE799E" w:rsidP="00FE799E">
      <w:bookmarkStart w:id="0" w:name="_GoBack"/>
      <w:bookmarkEnd w:id="0"/>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3B10A7">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3B10A7">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9" w:tooltip="McIntire, 2014 #17" w:history="1">
        <w:r w:rsidR="003B10A7">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3B10A7">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3B10A7">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PjwvYXV0aG9ycz48L2NvbnRyaWJ1dG9ycz48dGl0bGVzPjx0aXRsZT5Qb3NpdGl2ZSBJbnRlcmFj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3A3F0D">
        <w:instrText xml:space="preserve"> ADDIN EN.CITE </w:instrText>
      </w:r>
      <w:r w:rsidR="003A3F0D">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PjwvYXV0aG9ycz48L2NvbnRyaWJ1dG9ycz48dGl0bGVzPjx0aXRsZT5Qb3NpdGl2ZSBJbnRlcmFj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3A3F0D">
        <w:instrText xml:space="preserve"> ADDIN EN.CITE.DATA </w:instrText>
      </w:r>
      <w:r w:rsidR="003A3F0D">
        <w:fldChar w:fldCharType="end"/>
      </w:r>
      <w:r w:rsidR="000F77F5">
        <w:fldChar w:fldCharType="separate"/>
      </w:r>
      <w:r w:rsidR="003A3F0D">
        <w:rPr>
          <w:noProof/>
        </w:rPr>
        <w:t>(</w:t>
      </w:r>
      <w:hyperlink w:anchor="_ENREF_5" w:tooltip="Bertness, 1994 #129" w:history="1">
        <w:r w:rsidR="003B10A7">
          <w:rPr>
            <w:noProof/>
          </w:rPr>
          <w:t>Bertness and Callaway, 1994</w:t>
        </w:r>
      </w:hyperlink>
      <w:r w:rsidR="003A3F0D">
        <w:rPr>
          <w:noProof/>
        </w:rPr>
        <w:t xml:space="preserve">; </w:t>
      </w:r>
      <w:hyperlink w:anchor="_ENREF_13" w:tooltip="Callaway, 1997 #3" w:history="1">
        <w:r w:rsidR="003B10A7">
          <w:rPr>
            <w:noProof/>
          </w:rPr>
          <w:t>Callaway and Walker, 1997b</w:t>
        </w:r>
      </w:hyperlink>
      <w:r w:rsidR="003A3F0D">
        <w:rPr>
          <w:noProof/>
        </w:rPr>
        <w:t xml:space="preserve">; </w:t>
      </w:r>
      <w:hyperlink w:anchor="_ENREF_37" w:tooltip="Holzapfel, 1999 #18" w:history="1">
        <w:r w:rsidR="003B10A7">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dXRob3JzPjwvY29udHJpYnV0b3JzPjx0aXRsZXM+PHRpdGxlPlBvc2l0aXZlIEludGVyYWN0aW9u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0F77F5">
        <w:instrText xml:space="preserve"> ADDIN EN.CITE </w:instrTex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dXRob3JzPjwvY29udHJpYnV0b3JzPjx0aXRsZXM+PHRpdGxlPlBvc2l0aXZlIEludGVyYWN0aW9u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0F77F5">
        <w:instrText xml:space="preserve"> ADDIN EN.CITE.DATA </w:instrText>
      </w:r>
      <w:r w:rsidR="000F77F5">
        <w:fldChar w:fldCharType="end"/>
      </w:r>
      <w:r w:rsidR="000F77F5">
        <w:fldChar w:fldCharType="separate"/>
      </w:r>
      <w:r w:rsidR="000F77F5">
        <w:rPr>
          <w:noProof/>
        </w:rPr>
        <w:t>(</w:t>
      </w:r>
      <w:hyperlink w:anchor="_ENREF_5" w:tooltip="Bertness, 1994 #129" w:history="1">
        <w:r w:rsidR="003B10A7">
          <w:rPr>
            <w:noProof/>
          </w:rPr>
          <w:t>Bertness and Callaway, 1994</w:t>
        </w:r>
      </w:hyperlink>
      <w:r w:rsidR="000F77F5">
        <w:rPr>
          <w:noProof/>
        </w:rPr>
        <w:t xml:space="preserve">; </w:t>
      </w:r>
      <w:hyperlink w:anchor="_ENREF_75" w:tooltip="Schafer, 2012 #2" w:history="1">
        <w:r w:rsidR="003B10A7">
          <w:rPr>
            <w:noProof/>
          </w:rPr>
          <w:t>Schafer et al., 2012</w:t>
        </w:r>
      </w:hyperlink>
      <w:r w:rsidR="000F77F5">
        <w:rPr>
          <w:noProof/>
        </w:rPr>
        <w:t xml:space="preserve">; </w:t>
      </w:r>
      <w:hyperlink w:anchor="_ENREF_84" w:tooltip="Tielbörger, 2000 #20" w:history="1">
        <w:r w:rsidR="003B10A7">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3B10A7">
          <w:rPr>
            <w:noProof/>
          </w:rPr>
          <w:t>Brooker et al., 2008</w:t>
        </w:r>
      </w:hyperlink>
      <w:r w:rsidR="004911BF">
        <w:rPr>
          <w:noProof/>
        </w:rPr>
        <w:t xml:space="preserve">; </w:t>
      </w:r>
      <w:hyperlink w:anchor="_ENREF_87" w:tooltip="Valiente‐Banuet, 2007 #23" w:history="1">
        <w:r w:rsidR="003B10A7">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3B10A7">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3B10A7">
          <w:rPr>
            <w:noProof/>
          </w:rPr>
          <w:t>Callaway and Pennings, 2000</w:t>
        </w:r>
      </w:hyperlink>
      <w:r w:rsidR="003A3F0D">
        <w:rPr>
          <w:noProof/>
        </w:rPr>
        <w:t xml:space="preserve">; </w:t>
      </w:r>
      <w:hyperlink w:anchor="_ENREF_13" w:tooltip="Callaway, 1997 #3" w:history="1">
        <w:r w:rsidR="003B10A7">
          <w:rPr>
            <w:noProof/>
          </w:rPr>
          <w:t>Callaway and Walker, 1997b</w:t>
        </w:r>
      </w:hyperlink>
      <w:r w:rsidR="003A3F0D">
        <w:rPr>
          <w:noProof/>
        </w:rPr>
        <w:t xml:space="preserve">; </w:t>
      </w:r>
      <w:hyperlink w:anchor="_ENREF_93" w:tooltip="Wootton, 1994 #146" w:history="1">
        <w:r w:rsidR="003B10A7">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5" w:tooltip="Pyke, 1984 #28" w:history="1">
        <w:r w:rsidR="003B10A7">
          <w:rPr>
            <w:noProof/>
          </w:rPr>
          <w:t>Pyke, 1984</w:t>
        </w:r>
      </w:hyperlink>
      <w:r w:rsidR="00961A99">
        <w:rPr>
          <w:noProof/>
        </w:rPr>
        <w:t xml:space="preserve">; </w:t>
      </w:r>
      <w:hyperlink w:anchor="_ENREF_66" w:tooltip="Pyke, 1977 #27" w:history="1">
        <w:r w:rsidR="003B10A7">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benefit from combining 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6" w:tooltip="Schemske, 1981 #228" w:history="1">
        <w:r w:rsidR="003B10A7">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3B10A7">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5" w:tooltip="Laverty, 1992 #108" w:history="1">
        <w:r w:rsidR="003B10A7">
          <w:rPr>
            <w:noProof/>
          </w:rPr>
          <w:t>Laverty, 1992</w:t>
        </w:r>
      </w:hyperlink>
      <w:r w:rsidR="009154D5">
        <w:rPr>
          <w:noProof/>
        </w:rPr>
        <w:t xml:space="preserve">; </w:t>
      </w:r>
      <w:hyperlink w:anchor="_ENREF_83" w:tooltip="Thomson, 1978 #72" w:history="1">
        <w:r w:rsidR="003B10A7">
          <w:rPr>
            <w:noProof/>
          </w:rPr>
          <w:t>Thomson, 1978</w:t>
        </w:r>
      </w:hyperlink>
      <w:r w:rsidR="009154D5">
        <w:rPr>
          <w:noProof/>
        </w:rPr>
        <w:t>)</w:t>
      </w:r>
      <w:r w:rsidR="009154D5">
        <w:fldChar w:fldCharType="end"/>
      </w:r>
      <w:r w:rsidR="009154D5">
        <w:t xml:space="preserve">. </w:t>
      </w:r>
      <w:r w:rsidR="00530ED9">
        <w:t>The</w:t>
      </w:r>
      <w:r w:rsidR="00FF6D5F">
        <w:t xml:space="preserve"> </w:t>
      </w:r>
      <w:r w:rsidR="00530ED9">
        <w:t>comparatively large size of</w:t>
      </w:r>
      <w:r w:rsidR="00FF6D5F">
        <w:t xml:space="preserve"> shrubs</w:t>
      </w:r>
      <w:r w:rsidR="00530ED9">
        <w:t xml:space="preserve"> to annuals</w:t>
      </w:r>
      <w:r w:rsidR="00FF6D5F">
        <w:t xml:space="preserve"> </w:t>
      </w:r>
      <w:r w:rsidR="002D48C8">
        <w:t>makes them salient features</w:t>
      </w:r>
      <w:r w:rsidR="00530ED9">
        <w:t xml:space="preserve"> of desert scrub ecosystems. This, combined with their </w:t>
      </w:r>
      <w:r w:rsidR="002D48C8">
        <w:t xml:space="preserve">structural complexity </w:t>
      </w:r>
      <w:r w:rsidR="00497DCE">
        <w:t>suggests that</w:t>
      </w:r>
      <w:r w:rsidR="00BD0BDE">
        <w:t xml:space="preserve"> </w:t>
      </w:r>
      <w:r w:rsidR="002D48C8">
        <w:t>non-co-blooming pathways of interacti</w:t>
      </w:r>
      <w:r w:rsidR="00294B2F">
        <w:t>ons are likely prominent in desert</w:t>
      </w:r>
      <w:r w:rsidR="002D48C8">
        <w:t xml:space="preserve"> system</w:t>
      </w:r>
      <w:r w:rsidR="00294B2F">
        <w:t>s</w:t>
      </w:r>
      <w:r w:rsidR="002D48C8">
        <w:t>.</w:t>
      </w:r>
      <w:r w:rsidR="00F914AA">
        <w:t xml:space="preserve"> </w:t>
      </w:r>
      <w:r w:rsidR="00BD0BDE">
        <w:t>For example, a shrub could facilitate its understory if it offers</w:t>
      </w:r>
      <w:r w:rsidR="001332DA">
        <w:t xml:space="preserve"> she</w:t>
      </w:r>
      <w:r w:rsidR="00BD0BDE">
        <w:t>lter or habitat for pollinators</w:t>
      </w:r>
      <w:r w:rsidR="00285C9B">
        <w:t xml:space="preserve"> </w:t>
      </w:r>
      <w:r w:rsidR="009154D5">
        <w:fldChar w:fldCharType="begin"/>
      </w:r>
      <w:r w:rsidR="009154D5">
        <w:instrText xml:space="preserve"> ADDIN EN.CITE &lt;EndNote&gt;&lt;Cite&gt;&lt;Author&gt;Hansen&lt;/Author&gt;&lt;Year&gt;2007&lt;/Year&gt;&lt;RecNum&gt;173&lt;/RecNum&gt;&lt;DisplayText&gt;(Hansen et al., 2007)&lt;/DisplayText&gt;&lt;record&gt;&lt;rec-number&gt;173&lt;/rec-number&gt;&lt;foreign-keys&gt;&lt;key app="EN" db-id="efxxxd2elfvxfde05eev9swq9zv0dswrxzp2"&gt;173&lt;/key&gt;&lt;/foreign-keys&gt;&lt;ref-type name="Journal Article"&gt;17&lt;/ref-type&gt;&lt;contributors&gt;&lt;authors&gt;&lt;author&gt;Hansen, Dennis M&lt;/author&gt;&lt;author&gt;Kiesbüy, Heine C&lt;/author&gt;&lt;author&gt;Jones, Carl G&lt;/author&gt;&lt;author&gt;Müller, Christine B&lt;/author&gt;&lt;/authors&gt;&lt;/contributors&gt;&lt;titles&gt;&lt;title&gt;Positive indirect interactions between neighboring plant species via a lizard pollinator&lt;/title&gt;&lt;secondary-title&gt;The American Naturalist&lt;/secondary-title&gt;&lt;/titles&gt;&lt;periodical&gt;&lt;full-title&gt;The American Naturalist&lt;/full-title&gt;&lt;/periodical&gt;&lt;pages&gt;534-542&lt;/pages&gt;&lt;volume&gt;169&lt;/volume&gt;&lt;number&gt;4&lt;/number&gt;&lt;dates&gt;&lt;year&gt;2007&lt;/year&gt;&lt;/dates&gt;&lt;isbn&gt;0003-0147&lt;/isbn&gt;&lt;urls&gt;&lt;/urls&gt;&lt;/record&gt;&lt;/Cite&gt;&lt;/EndNote&gt;</w:instrText>
      </w:r>
      <w:r w:rsidR="009154D5">
        <w:fldChar w:fldCharType="separate"/>
      </w:r>
      <w:r w:rsidR="009154D5">
        <w:rPr>
          <w:noProof/>
        </w:rPr>
        <w:t>(</w:t>
      </w:r>
      <w:hyperlink w:anchor="_ENREF_34" w:tooltip="Hansen, 2007 #173" w:history="1">
        <w:r w:rsidR="003B10A7">
          <w:rPr>
            <w:noProof/>
          </w:rPr>
          <w:t>Hansen et al., 2007</w:t>
        </w:r>
      </w:hyperlink>
      <w:r w:rsidR="009154D5">
        <w:rPr>
          <w:noProof/>
        </w:rPr>
        <w:t>)</w:t>
      </w:r>
      <w:r w:rsidR="009154D5">
        <w:fldChar w:fldCharType="end"/>
      </w:r>
      <w:r w:rsidR="009154D5">
        <w:t xml:space="preserve">. </w:t>
      </w:r>
      <w:r w:rsidR="00BD0BDE">
        <w:t>Conversely, s</w:t>
      </w:r>
      <w:r w:rsidR="00F914AA">
        <w:t xml:space="preserve">hrubs may </w:t>
      </w:r>
      <w:r w:rsidR="00285C9B">
        <w:t>interfere with the pollination of their understory.</w:t>
      </w:r>
      <w:r w:rsidR="00F914AA">
        <w:t xml:space="preserve"> </w:t>
      </w:r>
      <w:r w:rsidR="00285C9B">
        <w:t xml:space="preserve">Shading by the shrub </w:t>
      </w:r>
      <w:r w:rsidR="00285C9B" w:rsidRPr="00285C9B">
        <w:rPr>
          <w:i/>
        </w:rPr>
        <w:t>Lonicera</w:t>
      </w:r>
      <w:r w:rsidR="00285C9B">
        <w:t xml:space="preserve"> decreased </w:t>
      </w:r>
      <w:r w:rsidR="00294B2F">
        <w:t xml:space="preserve">pollinator </w:t>
      </w:r>
      <w:r w:rsidR="00285C9B">
        <w:t>visitation and pollen deposition to annuals g</w:t>
      </w:r>
      <w:r w:rsidR="003D6EAB">
        <w:t xml:space="preserve">rowing beneath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50" w:tooltip="McKinney, 2010 #229" w:history="1">
        <w:r w:rsidR="003B10A7">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3" w:tooltip="Proctor, 2012 #31" w:history="1">
        <w:r w:rsidR="003B10A7">
          <w:rPr>
            <w:noProof/>
          </w:rPr>
          <w:t>Proctor et al., 2012</w:t>
        </w:r>
      </w:hyperlink>
      <w:r w:rsidR="009154D5">
        <w:rPr>
          <w:noProof/>
        </w:rPr>
        <w:t xml:space="preserve">; </w:t>
      </w:r>
      <w:hyperlink w:anchor="_ENREF_91" w:tooltip="Walters, 1996 #30" w:history="1">
        <w:r w:rsidR="003B10A7">
          <w:rPr>
            <w:noProof/>
          </w:rPr>
          <w:t>Walters and Stiles, 1996</w:t>
        </w:r>
      </w:hyperlink>
      <w:r w:rsidR="009154D5">
        <w:rPr>
          <w:noProof/>
        </w:rPr>
        <w:t>)</w:t>
      </w:r>
      <w:r w:rsidR="009154D5">
        <w:fldChar w:fldCharType="end"/>
      </w:r>
      <w:r w:rsidR="00C04BF1">
        <w:t>.</w:t>
      </w:r>
      <w:r w:rsidR="000F2B2E">
        <w:t xml:space="preserve"> Alternatively, annuals growing under shrubs could be obscured from foraging pollinators. </w:t>
      </w:r>
      <w:r w:rsidR="00F914AA">
        <w:t>Therefore,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4" w:tooltip="Saul-Gershenz, 2012 #230" w:history="1">
        <w:r w:rsidR="003B10A7">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1" w:tooltip="Rundel, 2005 #231" w:history="1">
        <w:r w:rsidR="003B10A7">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be positive for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9" w:tooltip="Roll, 1997 #232" w:history="1">
        <w:r w:rsidR="003B10A7">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w:t>
      </w:r>
      <w:r w:rsidR="00A04F3A">
        <w:lastRenderedPageBreak/>
        <w:t xml:space="preserve">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3B10A7">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2" w:tooltip="Pellmyr, 2003 #235" w:history="1">
        <w:r w:rsidR="003B10A7">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3B10A7">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3B10A7">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3B10A7">
          <w:rPr>
            <w:noProof/>
          </w:rPr>
          <w:t>Chacoff et al., 2012</w:t>
        </w:r>
      </w:hyperlink>
      <w:r w:rsidR="005A3F10">
        <w:rPr>
          <w:noProof/>
        </w:rPr>
        <w:t>)</w:t>
      </w:r>
      <w:r w:rsidR="005A3F10">
        <w:fldChar w:fldCharType="end"/>
      </w:r>
      <w:r w:rsidR="00901050">
        <w:t>.</w:t>
      </w:r>
      <w:r w:rsidR="00EF6005">
        <w:t xml:space="preserve"> Few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9" w:tooltip="Simpson, 1987 #237" w:history="1">
        <w:r w:rsidR="003B10A7">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6" w:tooltip="Holland, 2002 #33" w:history="1">
        <w:r w:rsidR="003B10A7">
          <w:rPr>
            <w:noProof/>
          </w:rPr>
          <w:t>Holland and Fleming, 2002</w:t>
        </w:r>
      </w:hyperlink>
      <w:r w:rsidR="00EF6005">
        <w:rPr>
          <w:noProof/>
        </w:rPr>
        <w:t>)</w:t>
      </w:r>
      <w:r w:rsidR="00EF6005">
        <w:fldChar w:fldCharType="end"/>
      </w:r>
      <w:r w:rsidR="00EF6005">
        <w:t xml:space="preserve">. </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Pr="008171DA"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3B10A7">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3B10A7">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8" w:tooltip="Vasek, 1980 #240" w:history="1">
        <w:r w:rsidR="003B10A7">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4" w:tooltip="Minckley, 1999 #241" w:history="1">
        <w:r w:rsidR="003B10A7">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3B10A7">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w:t>
      </w:r>
      <w:r w:rsidR="008171DA">
        <w:t xml:space="preserve">(12 mm) </w:t>
      </w:r>
      <w:r w:rsidR="00AA3928">
        <w:t>to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3B10A7">
          <w:rPr>
            <w:noProof/>
          </w:rPr>
          <w:t>Bowers and Dimmitt, 1994</w:t>
        </w:r>
      </w:hyperlink>
      <w:r w:rsidR="00820FFD">
        <w:rPr>
          <w:noProof/>
        </w:rPr>
        <w:t>)</w:t>
      </w:r>
      <w:r w:rsidR="00820FFD">
        <w:fldChar w:fldCharType="end"/>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8" w:tooltip="Simpson, 1977 #245" w:history="1">
        <w:r w:rsidR="003B10A7">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4" w:tooltip="Yeaton, 1978 #15" w:history="1">
        <w:r w:rsidR="003B10A7">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80" w:tooltip="Suzán, 1994 #16" w:history="1">
        <w:r w:rsidR="003B10A7">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5" w:tooltip="Schafer, 2012 #2" w:history="1">
        <w:r w:rsidR="003B10A7">
          <w:rPr>
            <w:noProof/>
          </w:rPr>
          <w:t>Schafer et al., 2012</w:t>
        </w:r>
      </w:hyperlink>
      <w:r w:rsidR="00820FFD">
        <w:rPr>
          <w:noProof/>
        </w:rPr>
        <w:t>)</w:t>
      </w:r>
      <w:r w:rsidR="00820FFD">
        <w:fldChar w:fldCharType="end"/>
      </w:r>
      <w:r w:rsidR="008171DA">
        <w:t xml:space="preserve">, but </w:t>
      </w:r>
      <w:r>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6" w:tooltip="Mahall, 1991 #244" w:history="1">
        <w:r w:rsidR="003B10A7">
          <w:rPr>
            <w:noProof/>
          </w:rPr>
          <w:t>Mahall and Callaway, 1991</w:t>
        </w:r>
      </w:hyperlink>
      <w:r w:rsidR="00820FFD">
        <w:rPr>
          <w:noProof/>
        </w:rPr>
        <w:t xml:space="preserve">, </w:t>
      </w:r>
      <w:hyperlink w:anchor="_ENREF_47" w:tooltip="Mahall, 1992 #1" w:history="1">
        <w:r w:rsidR="003B10A7">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3B10A7">
          <w:rPr>
            <w:noProof/>
          </w:rPr>
          <w:t>Bruno et al., 2003</w:t>
        </w:r>
      </w:hyperlink>
      <w:r w:rsidR="003A3F0D">
        <w:rPr>
          <w:noProof/>
        </w:rPr>
        <w:t xml:space="preserve">; </w:t>
      </w:r>
      <w:hyperlink w:anchor="_ENREF_12" w:tooltip="Callaway, 1997 #132" w:history="1">
        <w:r w:rsidR="003B10A7">
          <w:rPr>
            <w:noProof/>
          </w:rPr>
          <w:t>Callaway and Walker, 1997a</w:t>
        </w:r>
      </w:hyperlink>
      <w:r w:rsidR="003A3F0D">
        <w:rPr>
          <w:noProof/>
        </w:rPr>
        <w:t xml:space="preserve">; </w:t>
      </w:r>
      <w:hyperlink w:anchor="_ENREF_64" w:tooltip="Pugnaire, 1996 #19" w:history="1">
        <w:r w:rsidR="003B10A7">
          <w:rPr>
            <w:noProof/>
          </w:rPr>
          <w:t>Pugnaire et al., 1996</w:t>
        </w:r>
      </w:hyperlink>
      <w:r w:rsidR="003A3F0D">
        <w:rPr>
          <w:noProof/>
        </w:rPr>
        <w:t xml:space="preserve">; </w:t>
      </w:r>
      <w:hyperlink w:anchor="_ENREF_70" w:tooltip="Rousset, 2000 #246" w:history="1">
        <w:r w:rsidR="003B10A7">
          <w:rPr>
            <w:noProof/>
          </w:rPr>
          <w:t>Rousset and Lepart, 2000</w:t>
        </w:r>
      </w:hyperlink>
      <w:r w:rsidR="003A3F0D">
        <w:rPr>
          <w:noProof/>
        </w:rPr>
        <w:t xml:space="preserve">; </w:t>
      </w:r>
      <w:hyperlink w:anchor="_ENREF_86" w:tooltip="Valiente-Banuet, 1991 #143" w:history="1">
        <w:r w:rsidR="003B10A7">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3B10A7">
          <w:rPr>
            <w:noProof/>
          </w:rPr>
          <w:t>Goldberg et al., 2001</w:t>
        </w:r>
      </w:hyperlink>
      <w:r w:rsidR="00B73292">
        <w:rPr>
          <w:noProof/>
        </w:rPr>
        <w:t xml:space="preserve">; </w:t>
      </w:r>
      <w:hyperlink w:anchor="_ENREF_84" w:tooltip="Tielbörger, 2000 #20" w:history="1">
        <w:r w:rsidR="003B10A7">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1" w:tooltip="McPeek, 1998 #248" w:history="1">
        <w:r w:rsidR="003B10A7">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4" w:tooltip="Yeaton, 1978 #15" w:history="1">
        <w:r w:rsidR="003B10A7">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7" w:tooltip="Reid, 2012 #58" w:history="1">
        <w:r w:rsidR="003B10A7">
          <w:rPr>
            <w:noProof/>
          </w:rPr>
          <w:t>Reid and Lortie, 2012</w:t>
        </w:r>
      </w:hyperlink>
      <w:r w:rsidR="009C654E">
        <w:rPr>
          <w:noProof/>
        </w:rPr>
        <w:t xml:space="preserve">; </w:t>
      </w:r>
      <w:hyperlink w:anchor="_ENREF_73" w:tooltip="Ruttan, 2016 #249" w:history="1">
        <w:r w:rsidR="003B10A7">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1" w:tooltip="Jennings, 2001 #5" w:history="1">
        <w:r w:rsidR="003B10A7">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643D97">
        <w:t xml:space="preserve">it </w:t>
      </w:r>
      <w:r w:rsidR="00B55CE3">
        <w:t xml:space="preserve">large size </w:t>
      </w:r>
      <w:r w:rsidR="00643D97">
        <w:t xml:space="preserve">obscures them from pollinators, but </w:t>
      </w:r>
      <w:r w:rsidR="00B55CE3">
        <w:t>the interaction shifts to facilitation when</w:t>
      </w:r>
      <w:r w:rsidR="00643D97">
        <w:t xml:space="preserve"> </w:t>
      </w:r>
      <w:r w:rsidR="00B55CE3">
        <w:t>co-</w:t>
      </w:r>
      <w:r w:rsidR="00643D97">
        <w:t xml:space="preserve">blooming </w:t>
      </w:r>
      <w:r w:rsidR="00B55CE3">
        <w:t xml:space="preserve">because it </w:t>
      </w:r>
      <w:r w:rsidR="00643D97">
        <w:t xml:space="preserve">acts as a magnet </w:t>
      </w:r>
      <w:r w:rsidR="004B603E">
        <w:t xml:space="preserve">species </w:t>
      </w:r>
      <w:r w:rsidR="00B55CE3">
        <w:t xml:space="preserve">due to its </w:t>
      </w:r>
      <w:r w:rsidR="00B55CE3">
        <w:lastRenderedPageBreak/>
        <w:t>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3B10A7">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t>controlled way as an environmental indicator</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3B10A7">
          <w:rPr>
            <w:noProof/>
          </w:rPr>
          <w:t>Clements and Goldsmith, 1924</w:t>
        </w:r>
      </w:hyperlink>
      <w:r w:rsidR="006E41A1">
        <w:rPr>
          <w:noProof/>
        </w:rPr>
        <w:t>)</w:t>
      </w:r>
      <w:r w:rsidR="006E41A1">
        <w:fldChar w:fldCharType="end"/>
      </w:r>
      <w:r w:rsidR="00120D56">
        <w:t xml:space="preserve">. </w:t>
      </w:r>
      <w:r w:rsidR="008E4AF0">
        <w:t>W</w:t>
      </w:r>
      <w:r w:rsidR="006E41A1">
        <w:t>e used</w:t>
      </w:r>
      <w:r>
        <w:t xml:space="preserve"> </w:t>
      </w:r>
      <w:r w:rsidR="008E4AF0" w:rsidRPr="00F3485C">
        <w:rPr>
          <w:i/>
        </w:rPr>
        <w:t>Malacothrix glabrata</w:t>
      </w:r>
      <w:r w:rsidR="008E4AF0">
        <w:rPr>
          <w:i/>
        </w:rPr>
        <w:t xml:space="preserve"> </w:t>
      </w:r>
      <w:r w:rsidR="008E4AF0">
        <w:t>(Asteracae), desert dandelion 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7" w:tooltip="Morhardt, 2004 #255" w:history="1">
        <w:r w:rsidR="003B10A7">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2" w:tooltip="Rutowski, 1980 #6" w:history="1">
        <w:r w:rsidR="003B10A7">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90" w:tooltip="Wainwright, 1978 #9" w:history="1">
        <w:r w:rsidR="003B10A7">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3B10A7">
          <w:rPr>
            <w:noProof/>
          </w:rPr>
          <w:t>Cline and Audisio, 2010</w:t>
        </w:r>
      </w:hyperlink>
      <w:r w:rsidR="006E41A1">
        <w:rPr>
          <w:noProof/>
        </w:rPr>
        <w:t>)</w:t>
      </w:r>
      <w:r w:rsidR="006E41A1">
        <w:fldChar w:fldCharType="end"/>
      </w:r>
      <w:r w:rsidR="006E41A1">
        <w:t>.</w:t>
      </w:r>
      <w:r w:rsidR="007B2E1D">
        <w:t xml:space="preserve"> Some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3B10A7">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w:t>
      </w:r>
      <w:r w:rsidR="004F1A07">
        <w:lastRenderedPageBreak/>
        <w:t>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 xml:space="preserve">measure relative changes in interaction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3B10A7">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854283">
        <w:t xml:space="preserve"> when a flying visitors touche</w:t>
      </w:r>
      <w:r w:rsidR="00696D62">
        <w:t>d</w:t>
      </w:r>
      <w:r w:rsidR="00854283">
        <w:t xml:space="preserve"> a flower and ends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xml:space="preserve">, syrphid flies, bombylid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0E3E9E" w:rsidRPr="00E57C91" w:rsidRDefault="000E3E9E" w:rsidP="000E3E9E">
      <w:pPr>
        <w:rPr>
          <w:u w:val="single"/>
        </w:rPr>
      </w:pPr>
      <w:r>
        <w:rPr>
          <w:u w:val="single"/>
        </w:rPr>
        <w:t>Pollinator</w:t>
      </w:r>
      <w:r w:rsidRPr="00E57C91">
        <w:rPr>
          <w:u w:val="single"/>
        </w:rPr>
        <w:t xml:space="preserve"> visitation to </w:t>
      </w:r>
      <w:r w:rsidRPr="000E3E9E">
        <w:rPr>
          <w:i/>
          <w:u w:val="single"/>
        </w:rPr>
        <w:t>Larrea tridentata</w:t>
      </w:r>
    </w:p>
    <w:p w:rsidR="000E3E9E" w:rsidRDefault="000E3E9E" w:rsidP="004D3DEB">
      <w:r>
        <w:t xml:space="preserve">Pan traps are insufficient to quantify the pollinator guild of L. tridentata (Cane et al, 2000). To determine what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Observations were done on same focal shrubs, but on different days than pan traps or video trials. Due to the large size of the shrubs, it was not possible to accurately track flower visits per </w:t>
      </w:r>
      <w:r>
        <w:lastRenderedPageBreak/>
        <w:t xml:space="preserve">foraging bout, therefore only the frequency of foraging bouts was recorded. The identity and behaviour of the visitors was recorded and visitors were collected when possible to aid identification. </w:t>
      </w:r>
    </w:p>
    <w:p w:rsidR="0019001B" w:rsidRPr="009F59F6" w:rsidRDefault="003E48AD">
      <w:pPr>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7" w:tooltip="Reid, 2012 #58" w:history="1">
        <w:r w:rsidR="003B10A7">
          <w:rPr>
            <w:noProof/>
          </w:rPr>
          <w:t>Reid and Lortie, 2012</w:t>
        </w:r>
      </w:hyperlink>
      <w:r w:rsidR="007C502B">
        <w:rPr>
          <w:noProof/>
        </w:rPr>
        <w:t xml:space="preserve">; </w:t>
      </w:r>
      <w:hyperlink w:anchor="_ENREF_73" w:tooltip="Ruttan, 2016 #249" w:history="1">
        <w:r w:rsidR="003B10A7">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arrays of three pan traps were deployed in a triangular shape, slightly embedded in the ground to prevent blowing away. The pan traps were filled with water with a few drops of Dawn </w:t>
      </w:r>
      <w:r w:rsidR="00170E95" w:rsidRPr="00AE3D2D">
        <w:t>original dish detergent</w:t>
      </w:r>
      <w:r w:rsidR="00170E95">
        <w:t xml:space="preserve"> added, and set out for the time between 10 am and 5:30pm on sunny days only. </w:t>
      </w:r>
      <w:r w:rsidR="001C0D9F">
        <w:t xml:space="preserve">As a proxy for </w:t>
      </w:r>
      <w:r w:rsidR="0017450D">
        <w:t xml:space="preserve">annual </w:t>
      </w:r>
      <w:r w:rsidR="001C0D9F">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7C502B">
        <w:t xml:space="preserve">Annual species richness was also recorded.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3B10A7">
          <w:rPr>
            <w:noProof/>
          </w:rPr>
          <w:t>Ascher and Pickering, 2015</w:t>
        </w:r>
      </w:hyperlink>
      <w:r w:rsidR="007C502B">
        <w:rPr>
          <w:noProof/>
        </w:rPr>
        <w:t xml:space="preserve">; </w:t>
      </w:r>
      <w:hyperlink w:anchor="_ENREF_52" w:tooltip="Michener, 2000 #258" w:history="1">
        <w:r w:rsidR="003B10A7">
          <w:rPr>
            <w:noProof/>
          </w:rPr>
          <w:t>Michener, 2000</w:t>
        </w:r>
      </w:hyperlink>
      <w:r w:rsidR="007C502B">
        <w:rPr>
          <w:noProof/>
        </w:rPr>
        <w:t xml:space="preserve">; </w:t>
      </w:r>
      <w:hyperlink w:anchor="_ENREF_53" w:tooltip="Michener, 1994 #12" w:history="1">
        <w:r w:rsidR="003B10A7">
          <w:rPr>
            <w:noProof/>
          </w:rPr>
          <w:t>Michener et al., 1994</w:t>
        </w:r>
      </w:hyperlink>
      <w:r w:rsidR="007C502B">
        <w:rPr>
          <w:noProof/>
        </w:rPr>
        <w:t xml:space="preserve">; </w:t>
      </w:r>
      <w:hyperlink w:anchor="_ENREF_55" w:tooltip="Miranda, 2013 #259" w:history="1">
        <w:r w:rsidR="003B10A7">
          <w:rPr>
            <w:noProof/>
          </w:rPr>
          <w:t>Miranda et al., 2013</w:t>
        </w:r>
      </w:hyperlink>
      <w:r w:rsidR="007C502B">
        <w:rPr>
          <w:noProof/>
        </w:rPr>
        <w:t>)</w:t>
      </w:r>
      <w:r w:rsidR="007C502B">
        <w:fldChar w:fldCharType="end"/>
      </w:r>
      <w:r w:rsidR="007C502B">
        <w:t xml:space="preserve">. </w:t>
      </w:r>
      <w:r w:rsidR="00066537">
        <w:t>The</w:t>
      </w:r>
      <w:r w:rsidR="0068265E">
        <w:t xml:space="preserve"> </w:t>
      </w:r>
      <w:r w:rsidR="00372608">
        <w:t>majority of the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3B10A7">
          <w:rPr>
            <w:noProof/>
          </w:rPr>
          <w:t>Grissell and Schauff, 1990</w:t>
        </w:r>
      </w:hyperlink>
      <w:r w:rsidR="00C369D4">
        <w:rPr>
          <w:noProof/>
        </w:rPr>
        <w:t xml:space="preserve">; </w:t>
      </w:r>
      <w:hyperlink w:anchor="_ENREF_48" w:tooltip="Marshall, 2012 #262" w:history="1">
        <w:r w:rsidR="003B10A7">
          <w:rPr>
            <w:noProof/>
          </w:rPr>
          <w:t>Marshall, 2012</w:t>
        </w:r>
      </w:hyperlink>
      <w:r w:rsidR="00C369D4">
        <w:rPr>
          <w:noProof/>
        </w:rPr>
        <w:t xml:space="preserve">; </w:t>
      </w:r>
      <w:hyperlink w:anchor="_ENREF_82" w:tooltip="Teskey, 1981 #264" w:history="1">
        <w:r w:rsidR="003B10A7">
          <w:rPr>
            <w:noProof/>
          </w:rPr>
          <w:t>Teskey et al., 1981</w:t>
        </w:r>
      </w:hyperlink>
      <w:r w:rsidR="00C369D4">
        <w:rPr>
          <w:noProof/>
        </w:rPr>
        <w:t xml:space="preserve">; </w:t>
      </w:r>
      <w:hyperlink w:anchor="_ENREF_85" w:tooltip="Triplehorn, 2005 #260" w:history="1">
        <w:r w:rsidR="003B10A7">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1" w:tooltip="Oliver, 1993 #265" w:history="1">
        <w:r w:rsidR="003B10A7">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xml:space="preserve">, 2017 at eight </w:t>
      </w:r>
      <w:r w:rsidR="00745FD2">
        <w:lastRenderedPageBreak/>
        <w:t>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9934EB" w:rsidRDefault="0010779D" w:rsidP="009934EB">
      <w:r>
        <w:t xml:space="preserve">To </w:t>
      </w:r>
      <w:r w:rsidR="009934EB">
        <w:t xml:space="preserve">quantify how pollen deposition changes with proximity of </w:t>
      </w:r>
      <w:r w:rsidR="009934EB" w:rsidRPr="0010779D">
        <w:rPr>
          <w:i/>
        </w:rPr>
        <w:t>L. tridentata</w:t>
      </w:r>
      <w:r w:rsidR="009934EB">
        <w:t>,</w:t>
      </w:r>
      <w:r>
        <w:t xml:space="preserve"> over a period of three days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It wa</w:t>
      </w:r>
      <w:r>
        <w:t xml:space="preserve">s not possible to do this at the </w:t>
      </w:r>
      <w:r w:rsidR="009934EB">
        <w:t xml:space="preserve">main study site </w:t>
      </w:r>
      <w:r>
        <w:t xml:space="preserve">because it was not possible to ensure </w:t>
      </w:r>
      <w:r w:rsidRPr="0010779D">
        <w:rPr>
          <w:i/>
        </w:rPr>
        <w:t>M. glabrata</w:t>
      </w:r>
      <w:r>
        <w:t xml:space="preserve"> had not been previously pollinated</w:t>
      </w:r>
      <w:r w:rsidR="009934EB">
        <w:t xml:space="preserve">I collected three stigma from each of three flowers from one </w:t>
      </w:r>
      <w:r w:rsidR="009934EB" w:rsidRPr="0010779D">
        <w:rPr>
          <w:i/>
        </w:rPr>
        <w:t>M</w:t>
      </w:r>
      <w:r w:rsidRPr="0010779D">
        <w:rPr>
          <w:i/>
        </w:rPr>
        <w:t>. glabrata</w:t>
      </w:r>
      <w:r w:rsidR="009934EB">
        <w:t xml:space="preserve"> (nine stigmas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Distance</w:t>
      </w:r>
      <w:r w:rsidR="009934EB">
        <w:t xml:space="preserve"> to the nearest </w:t>
      </w:r>
      <w:r w:rsidR="009934EB" w:rsidRPr="0010779D">
        <w:rPr>
          <w:i/>
        </w:rPr>
        <w:t>L. tridentata</w:t>
      </w:r>
      <w:r>
        <w:t xml:space="preserve">, distance to the three nearest </w:t>
      </w:r>
      <w:r w:rsidRPr="0010779D">
        <w:rPr>
          <w:i/>
        </w:rPr>
        <w:t>M. glabrata</w:t>
      </w:r>
      <w:r w:rsidR="002905EA">
        <w:t xml:space="preserve"> neighbours were measured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3" w:tooltip="Kearns, 1993 #266" w:history="1">
        <w:r w:rsidR="003B10A7">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D00CEA" w:rsidRDefault="00CF11EB" w:rsidP="00D00CEA">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767ADD">
        <w:t xml:space="preserve">. </w:t>
      </w:r>
      <w:r w:rsidR="00685D90">
        <w:t>I used the number of foraging bouts (visits to plant) and the total number of flower</w:t>
      </w:r>
      <w:r w:rsidR="009C1DE1">
        <w:t>s visited as response variables.</w:t>
      </w:r>
      <w:r w:rsidR="00685D90">
        <w:t xml:space="preserve"> </w:t>
      </w:r>
      <w:r w:rsidR="00FF79E0">
        <w:t>To test for 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D00CEA">
        <w:t>Interactive, additive and intercept only</w:t>
      </w:r>
      <w:r w:rsidR="007567B4">
        <w:t xml:space="preserve"> models</w:t>
      </w:r>
      <w:r w:rsidR="00202548">
        <w:t xml:space="preserve"> were </w:t>
      </w:r>
      <w:r w:rsidR="00D00CEA">
        <w:t xml:space="preserve">compared by AIC and calculating likelihood ratio tests with a </w:t>
      </w:r>
      <w:r w:rsidR="00D00CEA" w:rsidRPr="00D00CEA">
        <w:t>χ2</w:t>
      </w:r>
      <w:r w:rsidR="00D00CEA">
        <w:t xml:space="preserve"> approximations.</w:t>
      </w:r>
    </w:p>
    <w:p w:rsidR="00E44E27" w:rsidRDefault="00400D11" w:rsidP="00AC2E2E">
      <w:pPr>
        <w:tabs>
          <w:tab w:val="left" w:pos="1335"/>
        </w:tabs>
      </w:pPr>
      <w:r>
        <w:t>To test for</w:t>
      </w:r>
      <w:r w:rsidR="00D00CEA">
        <w:t xml:space="preserve"> the</w:t>
      </w:r>
      <w:r>
        <w:t xml:space="preserve"> influence of </w:t>
      </w:r>
      <w:r w:rsidR="00D00CEA">
        <w:t>heterospecific blooming annuals and</w:t>
      </w:r>
      <w:r>
        <w:t xml:space="preserve"> shrubs, I added each covariate to </w:t>
      </w:r>
      <w:r w:rsidR="00025219">
        <w:t xml:space="preserve">each </w:t>
      </w:r>
      <w:r>
        <w:t>base model (micro</w:t>
      </w:r>
      <w:r w:rsidR="00D00CEA">
        <w:t xml:space="preserve">site + blooming + flowers.pot) and use likelihood ratio tests to determine if the </w:t>
      </w:r>
      <w:r>
        <w:t>variable significantly improved model fit</w:t>
      </w:r>
      <w:r w:rsidR="00D00CEA">
        <w:t xml:space="preserve">. </w:t>
      </w:r>
      <w:r w:rsidR="00E44E27">
        <w:t xml:space="preserve">To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E44E27">
        <w:t>,</w:t>
      </w:r>
      <w:r w:rsidR="00524D12">
        <w:t xml:space="preserve"> I fit quasipoisson GLMM (MASS, glmmPQL) to account for dispersion in the data</w:t>
      </w:r>
      <w:r w:rsidR="00D00CEA">
        <w:t>. I added an RTU by blooming interaction term to the base model</w:t>
      </w:r>
      <w:r w:rsidR="00025219">
        <w:t xml:space="preserve"> </w:t>
      </w:r>
      <w:r w:rsidR="00D00CEA">
        <w:t>and used l</w:t>
      </w:r>
      <w:r w:rsidR="00E44E27">
        <w:t>east-squares post hoc tests</w:t>
      </w:r>
      <w:r w:rsidR="00524D12">
        <w:t xml:space="preserve"> (lsmeans)</w:t>
      </w:r>
      <w:r w:rsidR="00E44E27">
        <w:t xml:space="preserve"> </w:t>
      </w:r>
      <w:r w:rsidR="00524D12">
        <w:t>on any significant interactions.</w:t>
      </w:r>
    </w:p>
    <w:p w:rsidR="00D00CEA" w:rsidRDefault="004268A8" w:rsidP="00AC2E2E">
      <w:pPr>
        <w:tabs>
          <w:tab w:val="left" w:pos="1335"/>
        </w:tabs>
      </w:pPr>
      <w:r>
        <w:lastRenderedPageBreak/>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t xml:space="preserve"> gamma GLMM </w:t>
      </w:r>
      <w:r w:rsidR="009D2353">
        <w:t>models</w:t>
      </w:r>
      <w:r w:rsidR="009E7102">
        <w:t xml:space="preserve"> (lme4)</w:t>
      </w:r>
      <w:r w:rsidR="009D2353">
        <w:t xml:space="preserve"> with </w:t>
      </w:r>
      <w:r w:rsidR="008B5642">
        <w:t>visit duration and</w:t>
      </w:r>
      <w:r w:rsidR="00767ADD">
        <w:t xml:space="preserve"> proportion of flowers visited per</w:t>
      </w:r>
      <w:r w:rsidR="00D00CEA">
        <w:t xml:space="preserve"> foraging bout</w:t>
      </w:r>
      <w:r w:rsidR="009D2353">
        <w:t xml:space="preserve"> as response variables</w:t>
      </w:r>
      <w:r w:rsidR="005F7698">
        <w:t xml:space="preserve">. </w:t>
      </w:r>
    </w:p>
    <w:p w:rsidR="004268A8" w:rsidRDefault="005F7698" w:rsidP="00AC2E2E">
      <w:pPr>
        <w:tabs>
          <w:tab w:val="left" w:pos="1335"/>
        </w:tabs>
      </w:pPr>
      <w:r>
        <w:t xml:space="preserve">As a post-hoc exploration, </w:t>
      </w:r>
      <w:r w:rsidR="00D00CEA">
        <w:t xml:space="preserve">I subsetted responses of solitary bees and ‘other’ RTUs to </w:t>
      </w:r>
      <w:r>
        <w:t>fit linear mixed models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9E7102">
        <w:t xml:space="preserve">lme4, glmer.nb) </w:t>
      </w:r>
      <w:r w:rsidR="00B647FA">
        <w:t>with rep ID as a random effect</w:t>
      </w:r>
      <w:r>
        <w:t xml:space="preserve">, and abundances, arthropod </w:t>
      </w:r>
      <w:r w:rsidR="009E7102">
        <w:t>species richness</w:t>
      </w:r>
      <w:r>
        <w:t>, percent annual cover, annual species richness and annual bloom density</w:t>
      </w:r>
      <w:r w:rsidR="009E7102">
        <w:t xml:space="preserve"> as response</w:t>
      </w:r>
      <w:r>
        <w:t>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F40F5F">
      <w:r>
        <w:t>I used a quasipoisson GLM (glm) wit</w:t>
      </w:r>
      <w:r w:rsidR="00031660">
        <w:t xml:space="preserve">h visitation rates as the response and </w:t>
      </w:r>
      <w:r>
        <w:t>flower number as predictors.</w:t>
      </w:r>
    </w:p>
    <w:p w:rsidR="00F861C6" w:rsidRPr="007C7338" w:rsidRDefault="0015677D">
      <w:pPr>
        <w:rPr>
          <w:u w:val="single"/>
        </w:rPr>
      </w:pPr>
      <w:r>
        <w:rPr>
          <w:u w:val="single"/>
        </w:rPr>
        <w:t>Ecological effects</w:t>
      </w:r>
    </w:p>
    <w:p w:rsid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3B10A7">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A43EEF" w:rsidRDefault="00A43EEF" w:rsidP="00202548"/>
    <w:p w:rsidR="00144DF1" w:rsidRDefault="00144DF1" w:rsidP="00202548"/>
    <w:p w:rsidR="00144DF1" w:rsidRPr="00052F27" w:rsidRDefault="00144DF1" w:rsidP="00202548"/>
    <w:p w:rsidR="007638E6" w:rsidRPr="00AE7363" w:rsidRDefault="007638E6">
      <w:pPr>
        <w:rPr>
          <w:b/>
        </w:rPr>
      </w:pPr>
      <w:r w:rsidRPr="00AE7363">
        <w:rPr>
          <w:b/>
        </w:rPr>
        <w:lastRenderedPageBreak/>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of heterospecific shrub blooming density on foraging bout frequency or total flowers visited. The was a significant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There was also a negative effect of L. tridentata blooming on M. glabrata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952F8"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significantly correlated (0.15, p = 0.01). </w:t>
      </w:r>
    </w:p>
    <w:p w:rsidR="00C952F8" w:rsidRDefault="00C952F8" w:rsidP="00C952F8">
      <w:pPr>
        <w:rPr>
          <w:u w:val="single"/>
        </w:rPr>
      </w:pPr>
    </w:p>
    <w:p w:rsidR="00C952F8" w:rsidRDefault="00C952F8" w:rsidP="00C952F8">
      <w:pPr>
        <w:rPr>
          <w:u w:val="single"/>
        </w:rPr>
      </w:pPr>
    </w:p>
    <w:p w:rsidR="00C7284D" w:rsidRDefault="00C7284D" w:rsidP="00C952F8">
      <w:pPr>
        <w:rPr>
          <w:u w:val="single"/>
        </w:rPr>
      </w:pPr>
    </w:p>
    <w:p w:rsidR="00C952F8" w:rsidRPr="006861EF" w:rsidRDefault="00C952F8" w:rsidP="00C952F8">
      <w:pPr>
        <w:rPr>
          <w:u w:val="single"/>
        </w:rPr>
      </w:pPr>
      <w:r w:rsidRPr="006861EF">
        <w:rPr>
          <w:u w:val="single"/>
        </w:rPr>
        <w:lastRenderedPageBreak/>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5D32A0" w:rsidP="00E90F5C">
      <w:r>
        <w:t>3400 arthropods spanning 1</w:t>
      </w:r>
      <w:r w:rsidR="007F133C">
        <w:t>2</w:t>
      </w:r>
      <w:r w:rsidR="00C952F8">
        <w:t>1</w:t>
      </w:r>
      <w:r>
        <w:t xml:space="preserve"> taxonomic groups</w:t>
      </w:r>
      <w:r w:rsidR="00C952F8">
        <w:t xml:space="preserve"> (Appendix B)</w:t>
      </w:r>
      <w:r>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51033" w:rsidRDefault="00D51033" w:rsidP="00D51033">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D51033" w:rsidRDefault="00D51033" w:rsidP="0004122F"/>
    <w:p w:rsidR="0069528F" w:rsidRDefault="0069528F" w:rsidP="0004122F"/>
    <w:p w:rsidR="0069528F" w:rsidRDefault="0069528F" w:rsidP="0004122F"/>
    <w:p w:rsidR="0069528F" w:rsidRDefault="0069528F" w:rsidP="0004122F"/>
    <w:p w:rsidR="00D6250C" w:rsidRPr="00D51033" w:rsidRDefault="00D6250C" w:rsidP="0004122F"/>
    <w:p w:rsidR="005A3B82" w:rsidRPr="00563FE2" w:rsidRDefault="005A3B82" w:rsidP="0004122F">
      <w:pPr>
        <w:rPr>
          <w:b/>
        </w:rPr>
      </w:pPr>
      <w:r w:rsidRPr="00563FE2">
        <w:rPr>
          <w:b/>
        </w:rPr>
        <w:lastRenderedPageBreak/>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9709E8">
        <w:t xml:space="preserve">There was an effect of facilitation 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5" w:tooltip="Laverty, 1992 #108" w:history="1">
        <w:r w:rsidR="003B10A7">
          <w:rPr>
            <w:noProof/>
          </w:rPr>
          <w:t>Laverty, 1992</w:t>
        </w:r>
      </w:hyperlink>
      <w:r w:rsidR="006D52D1">
        <w:rPr>
          <w:noProof/>
        </w:rPr>
        <w:t xml:space="preserve">; </w:t>
      </w:r>
      <w:hyperlink w:anchor="_ENREF_56" w:tooltip="Molina-Montenegro, 2008 #117" w:history="1">
        <w:r w:rsidR="003B10A7">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3B10A7">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3B10A7">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3B10A7">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8" w:tooltip="Robertson, 1999 #250" w:history="1">
        <w:r w:rsidR="003B10A7">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8" w:tooltip="Hurd Jr, 1975 #224" w:history="1">
        <w:r w:rsidR="003B10A7">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9" w:tooltip="Vockeroth, 1992 #268" w:history="1">
        <w:r w:rsidR="003B10A7">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2" w:tooltip="Jones, 1922 #269" w:history="1">
        <w:r w:rsidR="003B10A7">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1" w:tooltip="Terry, 2017 #37" w:history="1">
        <w:r w:rsidR="003B10A7">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5" w:tooltip="Henderson, 1982 #39" w:history="1">
        <w:r w:rsidR="003B10A7">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60" w:tooltip="Noma, 2008 #40" w:history="1">
        <w:r w:rsidR="003B10A7">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9" w:tooltip="Iler, 2013 #270" w:history="1">
        <w:r w:rsidR="003B10A7">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40" w:tooltip="Inouye, 2015 #38" w:history="1">
        <w:r w:rsidR="003B10A7">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8" w:tooltip="Morse, 1981 #36" w:history="1">
        <w:r w:rsidR="003B10A7">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3B10A7">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7" w:tooltip="Shavit, 2009 #272" w:history="1">
        <w:r w:rsidR="003B10A7">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3B10A7">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8" w:tooltip="Hurd Jr, 1975 #224" w:history="1">
        <w:r w:rsidR="003B10A7">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2" w:tooltip="Waser, 1986 #274" w:history="1">
        <w:r w:rsidR="003B10A7">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9" w:tooltip="Mosquin, 1971 #35" w:history="1">
        <w:r w:rsidR="003B10A7">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3B10A7">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4" w:tooltip="King, 2013 #276" w:history="1">
        <w:r w:rsidR="003B10A7">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3B10A7">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lastRenderedPageBreak/>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reproductive state suggest that they may change throughout the year and are complex.</w:t>
      </w:r>
    </w:p>
    <w:p w:rsidR="002A0284" w:rsidRDefault="002A0284" w:rsidP="002403B6">
      <w:r>
        <w:t>Need a short paragraph here tying in literature on reproductive shifts &amp; arthropod communities? Tie into conservation or evolutionary theory?</w:t>
      </w:r>
      <w:r w:rsidR="002403B6">
        <w:t xml:space="preserve"> </w:t>
      </w:r>
      <w:r w:rsidR="002403B6">
        <w:t>Trophic interactions vary with environmental conditions. Larrea mediat</w:t>
      </w:r>
      <w:r w:rsidR="002403B6">
        <w:t xml:space="preserve">es the environmental conditions, etc. </w:t>
      </w:r>
    </w:p>
    <w:p w:rsidR="002A0284" w:rsidRPr="002A0284" w:rsidRDefault="002A0284" w:rsidP="00B06231">
      <w:pPr>
        <w:rPr>
          <w:u w:val="single"/>
        </w:rPr>
      </w:pPr>
      <w:r w:rsidRPr="002A0284">
        <w:rPr>
          <w:u w:val="single"/>
        </w:rPr>
        <w:t>Conclusions</w:t>
      </w:r>
    </w:p>
    <w:p w:rsidR="002A0284" w:rsidRDefault="0055748B" w:rsidP="002403B6">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 xml:space="preserve">ies, potentially to avoid the observed competition. The positive effect on annual abundance was greater than the negative effect on pollinator visitation. L. tridentata is an important species that supports plant, pollinator and arthropod communities. </w:t>
      </w:r>
    </w:p>
    <w:p w:rsidR="009C7F0B" w:rsidRDefault="009C7F0B" w:rsidP="009C7F0B"/>
    <w:p w:rsidR="00844F12" w:rsidRDefault="00844F12" w:rsidP="009C7F0B"/>
    <w:p w:rsidR="00844F12" w:rsidRDefault="00844F12" w:rsidP="009C7F0B"/>
    <w:p w:rsidR="00844F12" w:rsidRDefault="00844F12" w:rsidP="009C7F0B"/>
    <w:p w:rsidR="00D7348A" w:rsidRDefault="00D7348A"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2403B6" w:rsidRDefault="002403B6" w:rsidP="009C7F0B"/>
    <w:p w:rsidR="002403B6" w:rsidRDefault="002403B6" w:rsidP="009C7F0B"/>
    <w:p w:rsidR="0055748B" w:rsidRDefault="0055748B" w:rsidP="009C7F0B"/>
    <w:p w:rsidR="00EB2220" w:rsidRDefault="00EB2220" w:rsidP="009C7F0B"/>
    <w:p w:rsidR="003B10A7" w:rsidRPr="003B10A7" w:rsidRDefault="00D7348A" w:rsidP="003B10A7">
      <w:pPr>
        <w:pStyle w:val="EndNoteBibliography"/>
        <w:spacing w:after="0"/>
      </w:pPr>
      <w:r>
        <w:lastRenderedPageBreak/>
        <w:fldChar w:fldCharType="begin"/>
      </w:r>
      <w:r>
        <w:instrText xml:space="preserve"> ADDIN EN.REFLIST </w:instrText>
      </w:r>
      <w:r>
        <w:fldChar w:fldCharType="separate"/>
      </w:r>
      <w:bookmarkStart w:id="1" w:name="_ENREF_1"/>
      <w:r w:rsidR="003B10A7" w:rsidRPr="003B10A7">
        <w:t>Alcock, J., Jones, C.E., Buchmann, S.L., 1977. Male mating strategies in the bee Centris pallida Fox (Anthophoridae: Hymenoptera). The American Naturalist 111, 145-155.</w:t>
      </w:r>
      <w:bookmarkEnd w:id="1"/>
    </w:p>
    <w:p w:rsidR="003B10A7" w:rsidRPr="003B10A7" w:rsidRDefault="003B10A7" w:rsidP="003B10A7">
      <w:pPr>
        <w:pStyle w:val="EndNoteBibliography"/>
        <w:spacing w:after="0"/>
      </w:pPr>
      <w:bookmarkStart w:id="2" w:name="_ENREF_2"/>
      <w:r w:rsidRPr="003B10A7">
        <w:t>Armas, C., Ordiales, R., Pugnaire, F.I., 2004. Measuring plant interactions: a new comparative index. Ecology 85, 2682-2686.</w:t>
      </w:r>
      <w:bookmarkEnd w:id="2"/>
    </w:p>
    <w:p w:rsidR="003B10A7" w:rsidRPr="003B10A7" w:rsidRDefault="003B10A7" w:rsidP="003B10A7">
      <w:pPr>
        <w:pStyle w:val="EndNoteBibliography"/>
        <w:spacing w:after="0"/>
      </w:pPr>
      <w:bookmarkStart w:id="3" w:name="_ENREF_3"/>
      <w:r w:rsidRPr="003B10A7">
        <w:t>Ascher, J., Pickering, J., 2015. Discover Life bee species guide and world checklist (Hymenoptera: Apoidea: Anthophila).</w:t>
      </w:r>
      <w:bookmarkEnd w:id="3"/>
    </w:p>
    <w:p w:rsidR="003B10A7" w:rsidRPr="003B10A7" w:rsidRDefault="003B10A7" w:rsidP="003B10A7">
      <w:pPr>
        <w:pStyle w:val="EndNoteBibliography"/>
        <w:spacing w:after="0"/>
      </w:pPr>
      <w:bookmarkStart w:id="4" w:name="_ENREF_4"/>
      <w:r w:rsidRPr="003B10A7">
        <w:t>Barbour, M., Keeler-Wolf, T., Schoenherr, A.A., 2007. Terrestrial vegetation of California. Univ of California Press.</w:t>
      </w:r>
      <w:bookmarkEnd w:id="4"/>
    </w:p>
    <w:p w:rsidR="003B10A7" w:rsidRPr="003B10A7" w:rsidRDefault="003B10A7" w:rsidP="003B10A7">
      <w:pPr>
        <w:pStyle w:val="EndNoteBibliography"/>
        <w:spacing w:after="0"/>
      </w:pPr>
      <w:bookmarkStart w:id="5" w:name="_ENREF_5"/>
      <w:r w:rsidRPr="003B10A7">
        <w:t>Bertness, M.D., Callaway, R., 1994. Positive Interactions in communities. Trends in Ecology &amp; Evolution 9, 191-193.</w:t>
      </w:r>
      <w:bookmarkEnd w:id="5"/>
    </w:p>
    <w:p w:rsidR="003B10A7" w:rsidRPr="003B10A7" w:rsidRDefault="003B10A7" w:rsidP="003B10A7">
      <w:pPr>
        <w:pStyle w:val="EndNoteBibliography"/>
        <w:spacing w:after="0"/>
      </w:pPr>
      <w:bookmarkStart w:id="6" w:name="_ENREF_6"/>
      <w:r w:rsidRPr="003B10A7">
        <w:t>Betancourt, J.L., Van Devender, T.R., Martin, P.S., 1990. Packrat middens: the last 40,000 years of biotic change. University of Arizona Press.</w:t>
      </w:r>
      <w:bookmarkEnd w:id="6"/>
    </w:p>
    <w:p w:rsidR="003B10A7" w:rsidRPr="003B10A7" w:rsidRDefault="003B10A7" w:rsidP="003B10A7">
      <w:pPr>
        <w:pStyle w:val="EndNoteBibliography"/>
        <w:spacing w:after="0"/>
      </w:pPr>
      <w:bookmarkStart w:id="7" w:name="_ENREF_7"/>
      <w:r w:rsidRPr="003B10A7">
        <w:t>Bosch, M., Waser, N.M., 2001. Experimental manipulation of plant density and its effect on pollination and reproduction of two confamilial montane herbs. Oecologia 126, 76-83.</w:t>
      </w:r>
      <w:bookmarkEnd w:id="7"/>
    </w:p>
    <w:p w:rsidR="003B10A7" w:rsidRPr="003B10A7" w:rsidRDefault="003B10A7" w:rsidP="003B10A7">
      <w:pPr>
        <w:pStyle w:val="EndNoteBibliography"/>
        <w:spacing w:after="0"/>
      </w:pPr>
      <w:bookmarkStart w:id="8" w:name="_ENREF_8"/>
      <w:r w:rsidRPr="003B10A7">
        <w:t>Bowers, J.E., Dimmitt, M.A., 1994. Flowering phenology of six woody plants in the northern Sonoran Desert. Bulletin of the Torrey Botanical Club, 215-229.</w:t>
      </w:r>
      <w:bookmarkEnd w:id="8"/>
    </w:p>
    <w:p w:rsidR="003B10A7" w:rsidRPr="003B10A7" w:rsidRDefault="003B10A7" w:rsidP="003B10A7">
      <w:pPr>
        <w:pStyle w:val="EndNoteBibliography"/>
        <w:spacing w:after="0"/>
      </w:pPr>
      <w:bookmarkStart w:id="9" w:name="_ENREF_9"/>
      <w:r w:rsidRPr="003B10A7">
        <w:t>Brooker, R.W., Maestre, F.T., Callaway, R.M., Lortie, C.L., Cavieres, L.A., Kunstler, G., Liancourt, P., Tielbörger, K., Travis, J.M., Anthelme, F., 2008. Facilitation in plant communities: the past, the present, and the future. Journal of Ecology 96, 18-34.</w:t>
      </w:r>
      <w:bookmarkEnd w:id="9"/>
    </w:p>
    <w:p w:rsidR="003B10A7" w:rsidRPr="003B10A7" w:rsidRDefault="003B10A7" w:rsidP="003B10A7">
      <w:pPr>
        <w:pStyle w:val="EndNoteBibliography"/>
        <w:spacing w:after="0"/>
      </w:pPr>
      <w:bookmarkStart w:id="10" w:name="_ENREF_10"/>
      <w:r w:rsidRPr="003B10A7">
        <w:t>Bruno, J.F., Stachowicz, J.J., Bertness, M.D., 2003. Inclusion of facilitation into ecological theory. Trends in Ecology &amp; Evolution 18, 119-125.</w:t>
      </w:r>
      <w:bookmarkEnd w:id="10"/>
    </w:p>
    <w:p w:rsidR="003B10A7" w:rsidRPr="003B10A7" w:rsidRDefault="003B10A7" w:rsidP="003B10A7">
      <w:pPr>
        <w:pStyle w:val="EndNoteBibliography"/>
        <w:spacing w:after="0"/>
      </w:pPr>
      <w:bookmarkStart w:id="11" w:name="_ENREF_11"/>
      <w:r w:rsidRPr="003B10A7">
        <w:t>Callaway, R.M., Pennings, S.C., 2000. Facilitation may buffer competitive effects indirect and diffuse interactions among salt marsh plants. American Naturalist 156, 416-424.</w:t>
      </w:r>
      <w:bookmarkEnd w:id="11"/>
    </w:p>
    <w:p w:rsidR="003B10A7" w:rsidRPr="003B10A7" w:rsidRDefault="003B10A7" w:rsidP="003B10A7">
      <w:pPr>
        <w:pStyle w:val="EndNoteBibliography"/>
        <w:spacing w:after="0"/>
      </w:pPr>
      <w:bookmarkStart w:id="12" w:name="_ENREF_12"/>
      <w:r w:rsidRPr="003B10A7">
        <w:t>Callaway, R.M., Walker, L.R., 1997a. Competition and Facilitation A Synthetic Approach to Interactions in Plant Communities. Ecology 78, 1958-1965.</w:t>
      </w:r>
      <w:bookmarkEnd w:id="12"/>
    </w:p>
    <w:p w:rsidR="003B10A7" w:rsidRPr="003B10A7" w:rsidRDefault="003B10A7" w:rsidP="003B10A7">
      <w:pPr>
        <w:pStyle w:val="EndNoteBibliography"/>
        <w:spacing w:after="0"/>
      </w:pPr>
      <w:bookmarkStart w:id="13" w:name="_ENREF_13"/>
      <w:r w:rsidRPr="003B10A7">
        <w:t>Callaway, R.M., Walker, L.R., 1997b. Competition and facilitation: a synthetic approach to interactions in plant communities. Ecology 78, 1958-1965.</w:t>
      </w:r>
      <w:bookmarkEnd w:id="13"/>
    </w:p>
    <w:p w:rsidR="003B10A7" w:rsidRPr="003B10A7" w:rsidRDefault="003B10A7" w:rsidP="003B10A7">
      <w:pPr>
        <w:pStyle w:val="EndNoteBibliography"/>
        <w:spacing w:after="0"/>
      </w:pPr>
      <w:bookmarkStart w:id="14" w:name="_ENREF_14"/>
      <w:r w:rsidRPr="003B10A7">
        <w:t>Campbell, D.R., Motten, A.F., 1985. The mechanism of competition for pollination between two forest herbs. Ecology 66, 554-563.</w:t>
      </w:r>
      <w:bookmarkEnd w:id="14"/>
    </w:p>
    <w:p w:rsidR="003B10A7" w:rsidRPr="003B10A7" w:rsidRDefault="003B10A7" w:rsidP="003B10A7">
      <w:pPr>
        <w:pStyle w:val="EndNoteBibliography"/>
        <w:spacing w:after="0"/>
      </w:pPr>
      <w:bookmarkStart w:id="15" w:name="_ENREF_15"/>
      <w:r w:rsidRPr="003B10A7">
        <w:t>Cane, J.H., Minckley, R., Kervin, L., Roulston, T.A., 2005. Temporally persistent patterns of incidence and abundance in a pollinator guild at annual and decadal scales: the bees of Larrea tridentata. Biological Journal of the Linnean Society 85, 319-329.</w:t>
      </w:r>
      <w:bookmarkEnd w:id="15"/>
    </w:p>
    <w:p w:rsidR="003B10A7" w:rsidRPr="003B10A7" w:rsidRDefault="003B10A7" w:rsidP="003B10A7">
      <w:pPr>
        <w:pStyle w:val="EndNoteBibliography"/>
        <w:spacing w:after="0"/>
      </w:pPr>
      <w:bookmarkStart w:id="16" w:name="_ENREF_16"/>
      <w:r w:rsidRPr="003B10A7">
        <w:t>Cane, J.H., Tepedino, V.J., 2017. Gauging the effect of honey bee pollen collection on native bee communities. Conservation Letters 10, 205-210.</w:t>
      </w:r>
      <w:bookmarkEnd w:id="16"/>
    </w:p>
    <w:p w:rsidR="003B10A7" w:rsidRPr="003B10A7" w:rsidRDefault="003B10A7" w:rsidP="003B10A7">
      <w:pPr>
        <w:pStyle w:val="EndNoteBibliography"/>
        <w:spacing w:after="0"/>
      </w:pPr>
      <w:bookmarkStart w:id="17" w:name="_ENREF_17"/>
      <w:r w:rsidRPr="003B10A7">
        <w:t>Chacoff, N.P., Vázquez, D.P., Lomáscolo, S.B., Stevani, E.L., Dorado, J., Padrón, B., 2012. Evaluating sampling completeness in a desert plant–pollinator network. Journal of Animal Ecology 81, 190-200.</w:t>
      </w:r>
      <w:bookmarkEnd w:id="17"/>
    </w:p>
    <w:p w:rsidR="003B10A7" w:rsidRPr="003B10A7" w:rsidRDefault="003B10A7" w:rsidP="003B10A7">
      <w:pPr>
        <w:pStyle w:val="EndNoteBibliography"/>
        <w:spacing w:after="0"/>
      </w:pPr>
      <w:bookmarkStart w:id="18" w:name="_ENREF_18"/>
      <w:r w:rsidRPr="003B10A7">
        <w:t>Chesson, P., Gebauer, R.L., Schwinning, S., Huntly, N., Wiegand, K., Ernest, M.S., Sher, A., Novoplansky, A., Weltzin, J.F., 2004. Resource pulses, species interactions, and diversity maintenance in arid and semi-arid environments. Oecologia 141, 236-253.</w:t>
      </w:r>
      <w:bookmarkEnd w:id="18"/>
    </w:p>
    <w:p w:rsidR="003B10A7" w:rsidRPr="003B10A7" w:rsidRDefault="003B10A7" w:rsidP="003B10A7">
      <w:pPr>
        <w:pStyle w:val="EndNoteBibliography"/>
        <w:spacing w:after="0"/>
      </w:pPr>
      <w:bookmarkStart w:id="19" w:name="_ENREF_19"/>
      <w:r w:rsidRPr="003B10A7">
        <w:t>Clements, F.E., Goldsmith, G.W., 1924. phytometer method in ecology.</w:t>
      </w:r>
      <w:bookmarkEnd w:id="19"/>
    </w:p>
    <w:p w:rsidR="003B10A7" w:rsidRPr="003B10A7" w:rsidRDefault="003B10A7" w:rsidP="003B10A7">
      <w:pPr>
        <w:pStyle w:val="EndNoteBibliography"/>
        <w:spacing w:after="0"/>
      </w:pPr>
      <w:bookmarkStart w:id="20" w:name="_ENREF_20"/>
      <w:r w:rsidRPr="003B10A7">
        <w:t>Cline, A.R., Audisio, P., 2010. Revision of the new world short-winged flower beetles (Coleoptera: Kateretidae). Part I. Generic review and revision of Anthonaeus Horn, 1879. The Coleopterists Bulletin, 173-186.</w:t>
      </w:r>
      <w:bookmarkEnd w:id="20"/>
    </w:p>
    <w:p w:rsidR="003B10A7" w:rsidRPr="003B10A7" w:rsidRDefault="003B10A7" w:rsidP="003B10A7">
      <w:pPr>
        <w:pStyle w:val="EndNoteBibliography"/>
        <w:spacing w:after="0"/>
      </w:pPr>
      <w:bookmarkStart w:id="21" w:name="_ENREF_21"/>
      <w:r w:rsidRPr="003B10A7">
        <w:t>Conner, J.K., Rush, S., 1996. Effects of flower size and number on pollinator visitation to wild radish, Raphanus raphanistrum. Oecologia 105, 509-516.</w:t>
      </w:r>
      <w:bookmarkEnd w:id="21"/>
    </w:p>
    <w:p w:rsidR="003B10A7" w:rsidRPr="003B10A7" w:rsidRDefault="003B10A7" w:rsidP="003B10A7">
      <w:pPr>
        <w:pStyle w:val="EndNoteBibliography"/>
        <w:spacing w:after="0"/>
      </w:pPr>
      <w:bookmarkStart w:id="22" w:name="_ENREF_22"/>
      <w:r w:rsidRPr="003B10A7">
        <w:lastRenderedPageBreak/>
        <w:t>Davis, W., Philbrick, R., 1986. Natural hybridization between Malacothrix incana and M. saxatilis var. implicata (Asteraceae: Lactuceae) on San Miguel Island, California. Madroño, 253-263.</w:t>
      </w:r>
      <w:bookmarkEnd w:id="22"/>
    </w:p>
    <w:p w:rsidR="003B10A7" w:rsidRPr="003B10A7" w:rsidRDefault="003B10A7" w:rsidP="003B10A7">
      <w:pPr>
        <w:pStyle w:val="EndNoteBibliography"/>
        <w:spacing w:after="0"/>
      </w:pPr>
      <w:bookmarkStart w:id="23" w:name="_ENREF_23"/>
      <w:r w:rsidRPr="003B10A7">
        <w:t>Donnelly, S.E., Lortie, C.J., Aarssen, L.W., 1998. Pollination in Verbascum thapsus (Scrophulariaceae): the advantage of being tall. American Journal of Botany 85, 1618-1625.</w:t>
      </w:r>
      <w:bookmarkEnd w:id="23"/>
    </w:p>
    <w:p w:rsidR="003B10A7" w:rsidRPr="003B10A7" w:rsidRDefault="003B10A7" w:rsidP="003B10A7">
      <w:pPr>
        <w:pStyle w:val="EndNoteBibliography"/>
        <w:spacing w:after="0"/>
      </w:pPr>
      <w:bookmarkStart w:id="24" w:name="_ENREF_24"/>
      <w:r w:rsidRPr="003B10A7">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3B10A7" w:rsidRPr="003B10A7" w:rsidRDefault="003B10A7" w:rsidP="003B10A7">
      <w:pPr>
        <w:pStyle w:val="EndNoteBibliography"/>
        <w:spacing w:after="0"/>
      </w:pPr>
      <w:bookmarkStart w:id="25" w:name="_ENREF_25"/>
      <w:r w:rsidRPr="003B10A7">
        <w:t>Facelli, J.M., Temby, A.M., 2002. Multiple effects of shrubs on annual plant communities in arid lands of South Australia. Austral ecology 27, 422-432.</w:t>
      </w:r>
      <w:bookmarkEnd w:id="25"/>
    </w:p>
    <w:p w:rsidR="003B10A7" w:rsidRPr="003B10A7" w:rsidRDefault="003B10A7" w:rsidP="003B10A7">
      <w:pPr>
        <w:pStyle w:val="EndNoteBibliography"/>
        <w:spacing w:after="0"/>
      </w:pPr>
      <w:bookmarkStart w:id="26" w:name="_ENREF_26"/>
      <w:r w:rsidRPr="003B10A7">
        <w:t>Filazzola, A., Lortie, C.J., 2014. A systematic review and conceptual framework for the mechanistic pathways of nurse plants. Global Ecology and Biogeography 23, 1335-1345.</w:t>
      </w:r>
      <w:bookmarkEnd w:id="26"/>
    </w:p>
    <w:p w:rsidR="003B10A7" w:rsidRPr="003B10A7" w:rsidRDefault="003B10A7" w:rsidP="003B10A7">
      <w:pPr>
        <w:pStyle w:val="EndNoteBibliography"/>
        <w:spacing w:after="0"/>
      </w:pPr>
      <w:bookmarkStart w:id="27" w:name="_ENREF_27"/>
      <w:r w:rsidRPr="003B10A7">
        <w:t>Fleming, T.H., Holland, J.N., 1998. The evolution of obligate pollination mutualisms: senita cactus and senita moth. Oecologia 114, 368-375.</w:t>
      </w:r>
      <w:bookmarkEnd w:id="27"/>
    </w:p>
    <w:p w:rsidR="003B10A7" w:rsidRPr="003B10A7" w:rsidRDefault="003B10A7" w:rsidP="003B10A7">
      <w:pPr>
        <w:pStyle w:val="EndNoteBibliography"/>
        <w:spacing w:after="0"/>
      </w:pPr>
      <w:bookmarkStart w:id="28" w:name="_ENREF_28"/>
      <w:r w:rsidRPr="003B10A7">
        <w:t>Fleming, T.H., Sahley, C.T., Holland, J.N., Nason, J.D., Hamrick, J., 2001. Sonoran Desert columnar cacti and the evolution of generalized pollination systems. Ecological Monographs 71, 511-530.</w:t>
      </w:r>
      <w:bookmarkEnd w:id="28"/>
    </w:p>
    <w:p w:rsidR="003B10A7" w:rsidRPr="003B10A7" w:rsidRDefault="003B10A7" w:rsidP="003B10A7">
      <w:pPr>
        <w:pStyle w:val="EndNoteBibliography"/>
        <w:spacing w:after="0"/>
      </w:pPr>
      <w:bookmarkStart w:id="29" w:name="_ENREF_29"/>
      <w:r w:rsidRPr="003B10A7">
        <w:t>Flores, J., Jurado, E., 2003. Are nurse‐protégé interactions more common among plants from arid environments? Journal of Vegetation Science 14, 911-916.</w:t>
      </w:r>
      <w:bookmarkEnd w:id="29"/>
    </w:p>
    <w:p w:rsidR="003B10A7" w:rsidRPr="003B10A7" w:rsidRDefault="003B10A7" w:rsidP="003B10A7">
      <w:pPr>
        <w:pStyle w:val="EndNoteBibliography"/>
        <w:spacing w:after="0"/>
      </w:pPr>
      <w:bookmarkStart w:id="30" w:name="_ENREF_30"/>
      <w:r w:rsidRPr="003B10A7">
        <w:t>Franco, A., De Soyza, A., Virginia, R., Reynolds, J., Whitford, W., 1994. Effects of plant size and water relations on gas exchange and growth of the desert shrub Larrea tridentata. Oecologia 97, 171-178.</w:t>
      </w:r>
      <w:bookmarkEnd w:id="30"/>
    </w:p>
    <w:p w:rsidR="003B10A7" w:rsidRPr="003B10A7" w:rsidRDefault="003B10A7" w:rsidP="003B10A7">
      <w:pPr>
        <w:pStyle w:val="EndNoteBibliography"/>
        <w:spacing w:after="0"/>
      </w:pPr>
      <w:bookmarkStart w:id="31" w:name="_ENREF_31"/>
      <w:r w:rsidRPr="003B10A7">
        <w:t>Ghazoul, J., 2006. Floral diversity and the facilitation of pollination. Journal of Ecology 94, 295-304.</w:t>
      </w:r>
      <w:bookmarkEnd w:id="31"/>
    </w:p>
    <w:p w:rsidR="003B10A7" w:rsidRPr="003B10A7" w:rsidRDefault="003B10A7" w:rsidP="003B10A7">
      <w:pPr>
        <w:pStyle w:val="EndNoteBibliography"/>
        <w:spacing w:after="0"/>
      </w:pPr>
      <w:bookmarkStart w:id="32" w:name="_ENREF_32"/>
      <w:r w:rsidRPr="003B10A7">
        <w:t>Goldberg, D.E., Turkington, R., Olsvig-Whittaker, L., Dyer, A.R., 2001. Density dependence in an annual plant community: variation among life history stages. Ecological Monographs 71, 423-446.</w:t>
      </w:r>
      <w:bookmarkEnd w:id="32"/>
    </w:p>
    <w:p w:rsidR="003B10A7" w:rsidRPr="003B10A7" w:rsidRDefault="003B10A7" w:rsidP="003B10A7">
      <w:pPr>
        <w:pStyle w:val="EndNoteBibliography"/>
        <w:spacing w:after="0"/>
      </w:pPr>
      <w:bookmarkStart w:id="33" w:name="_ENREF_33"/>
      <w:r w:rsidRPr="003B10A7">
        <w:t>Grissell, E.E., Schauff, M.E., 1990. A handbook of the families of Nearctic Chalcidoidea (Hymenoptera). A handbook of the families of Nearctic Chalcidoidea (Hymenoptera).</w:t>
      </w:r>
      <w:bookmarkEnd w:id="33"/>
    </w:p>
    <w:p w:rsidR="003B10A7" w:rsidRPr="003B10A7" w:rsidRDefault="003B10A7" w:rsidP="003B10A7">
      <w:pPr>
        <w:pStyle w:val="EndNoteBibliography"/>
        <w:spacing w:after="0"/>
      </w:pPr>
      <w:bookmarkStart w:id="34" w:name="_ENREF_34"/>
      <w:r w:rsidRPr="003B10A7">
        <w:t>Hansen, D.M., Kiesbüy, H.C., Jones, C.G., Müller, C.B., 2007. Positive indirect interactions between neighboring plant species via a lizard pollinator. The American Naturalist 169, 534-542.</w:t>
      </w:r>
      <w:bookmarkEnd w:id="34"/>
    </w:p>
    <w:p w:rsidR="003B10A7" w:rsidRPr="003B10A7" w:rsidRDefault="003B10A7" w:rsidP="003B10A7">
      <w:pPr>
        <w:pStyle w:val="EndNoteBibliography"/>
        <w:spacing w:after="0"/>
      </w:pPr>
      <w:bookmarkStart w:id="35" w:name="_ENREF_35"/>
      <w:r w:rsidRPr="003B10A7">
        <w:t>Henderson, D.H., 1982. Fine structure and neurophysiology of a gustatory sensillum on the ovipositors of Metasyrphus venablesi and Eupeodes volucris (Diptera: Syrphidae). Canadian Journal of Zoology 60, 3187-3195.</w:t>
      </w:r>
      <w:bookmarkEnd w:id="35"/>
    </w:p>
    <w:p w:rsidR="003B10A7" w:rsidRPr="003B10A7" w:rsidRDefault="003B10A7" w:rsidP="003B10A7">
      <w:pPr>
        <w:pStyle w:val="EndNoteBibliography"/>
        <w:spacing w:after="0"/>
      </w:pPr>
      <w:bookmarkStart w:id="36" w:name="_ENREF_36"/>
      <w:r w:rsidRPr="003B10A7">
        <w:t>Holland, N.J., Fleming, T.H., 2002. Co-pollinators and specialization in the pollinating seed-consumer mutualism between senita cacti and senita moths. Oecologia 133, 534-540.</w:t>
      </w:r>
      <w:bookmarkEnd w:id="36"/>
    </w:p>
    <w:p w:rsidR="003B10A7" w:rsidRPr="003B10A7" w:rsidRDefault="003B10A7" w:rsidP="003B10A7">
      <w:pPr>
        <w:pStyle w:val="EndNoteBibliography"/>
        <w:spacing w:after="0"/>
      </w:pPr>
      <w:bookmarkStart w:id="37" w:name="_ENREF_37"/>
      <w:r w:rsidRPr="003B10A7">
        <w:t>Holzapfel, C., Mahall, B.E., 1999. Bidirectional facilitation and interference between shrubs and annuals in the Mojave Desert. Ecology 80, 1747-1761.</w:t>
      </w:r>
      <w:bookmarkEnd w:id="37"/>
    </w:p>
    <w:p w:rsidR="003B10A7" w:rsidRPr="003B10A7" w:rsidRDefault="003B10A7" w:rsidP="003B10A7">
      <w:pPr>
        <w:pStyle w:val="EndNoteBibliography"/>
        <w:spacing w:after="0"/>
      </w:pPr>
      <w:bookmarkStart w:id="38" w:name="_ENREF_38"/>
      <w:r w:rsidRPr="003B10A7">
        <w:t>Hurd Jr, P.D., Linsley, E.G., 1975. Some insects other than bees associated with Larrea tridentata in the southwestern United States. Proceedings of the Entomological Society of Washington.</w:t>
      </w:r>
      <w:bookmarkEnd w:id="38"/>
    </w:p>
    <w:p w:rsidR="003B10A7" w:rsidRPr="003B10A7" w:rsidRDefault="003B10A7" w:rsidP="003B10A7">
      <w:pPr>
        <w:pStyle w:val="EndNoteBibliography"/>
        <w:spacing w:after="0"/>
      </w:pPr>
      <w:bookmarkStart w:id="39" w:name="_ENREF_39"/>
      <w:r w:rsidRPr="003B10A7">
        <w:t>Iler, A.M., Inouye, D.W., Høye, T.T., Miller‐Rushing, A.J., Burkle, L.A., Johnston, E.B., 2013. Maintenance of temporal synchrony between syrphid flies and floral resources despite differential phenological responses to climate. Global Change Biology 19, 2348-2359.</w:t>
      </w:r>
      <w:bookmarkEnd w:id="39"/>
    </w:p>
    <w:p w:rsidR="003B10A7" w:rsidRPr="003B10A7" w:rsidRDefault="003B10A7" w:rsidP="003B10A7">
      <w:pPr>
        <w:pStyle w:val="EndNoteBibliography"/>
        <w:spacing w:after="0"/>
      </w:pPr>
      <w:bookmarkStart w:id="40" w:name="_ENREF_40"/>
      <w:r w:rsidRPr="003B10A7">
        <w:t>Inouye, D.W., Larson, B.M., Ssymank, A., Kevan, P.G., 2015. Flies and flowers III: ecology of foraging and pollination. Journal of Pollination Ecology 16, 115-133.</w:t>
      </w:r>
      <w:bookmarkEnd w:id="40"/>
    </w:p>
    <w:p w:rsidR="003B10A7" w:rsidRPr="003B10A7" w:rsidRDefault="003B10A7" w:rsidP="003B10A7">
      <w:pPr>
        <w:pStyle w:val="EndNoteBibliography"/>
        <w:spacing w:after="0"/>
      </w:pPr>
      <w:bookmarkStart w:id="41" w:name="_ENREF_41"/>
      <w:r w:rsidRPr="003B10A7">
        <w:lastRenderedPageBreak/>
        <w:t>Jennings, W.B., 2001. Comparative flowering phenology of plants in the western Mojave Desert. Madroño, 162-171.</w:t>
      </w:r>
      <w:bookmarkEnd w:id="41"/>
    </w:p>
    <w:p w:rsidR="003B10A7" w:rsidRPr="003B10A7" w:rsidRDefault="003B10A7" w:rsidP="003B10A7">
      <w:pPr>
        <w:pStyle w:val="EndNoteBibliography"/>
        <w:spacing w:after="0"/>
      </w:pPr>
      <w:bookmarkStart w:id="42" w:name="_ENREF_42"/>
      <w:r w:rsidRPr="003B10A7">
        <w:t>Jones, C.R., 1922. A contribution to our knowledge of the Syrphidae of Colorado. Agricultural Experiment Station of the Agricultural College of Colorado.</w:t>
      </w:r>
      <w:bookmarkEnd w:id="42"/>
    </w:p>
    <w:p w:rsidR="003B10A7" w:rsidRPr="003B10A7" w:rsidRDefault="003B10A7" w:rsidP="003B10A7">
      <w:pPr>
        <w:pStyle w:val="EndNoteBibliography"/>
        <w:spacing w:after="0"/>
      </w:pPr>
      <w:bookmarkStart w:id="43" w:name="_ENREF_43"/>
      <w:r w:rsidRPr="003B10A7">
        <w:t>Kearns, C.A., Inouye, D.W., 1993. Techniques for pollination biologists. University press of Colorado.</w:t>
      </w:r>
      <w:bookmarkEnd w:id="43"/>
    </w:p>
    <w:p w:rsidR="003B10A7" w:rsidRPr="003B10A7" w:rsidRDefault="003B10A7" w:rsidP="003B10A7">
      <w:pPr>
        <w:pStyle w:val="EndNoteBibliography"/>
        <w:spacing w:after="0"/>
      </w:pPr>
      <w:bookmarkStart w:id="44" w:name="_ENREF_44"/>
      <w:r w:rsidRPr="003B10A7">
        <w:t>King, C., Ballantyne, G., Willmer, P.G., 2013. Why flower visitation is a poor proxy for pollination: measuring single‐visit pollen deposition, with implications for pollination networks and conservation. Methods in Ecology and Evolution 4, 811-818.</w:t>
      </w:r>
      <w:bookmarkEnd w:id="44"/>
    </w:p>
    <w:p w:rsidR="003B10A7" w:rsidRPr="003B10A7" w:rsidRDefault="003B10A7" w:rsidP="003B10A7">
      <w:pPr>
        <w:pStyle w:val="EndNoteBibliography"/>
        <w:spacing w:after="0"/>
      </w:pPr>
      <w:bookmarkStart w:id="45" w:name="_ENREF_45"/>
      <w:r w:rsidRPr="003B10A7">
        <w:t>Laverty, T.M., 1992. Plant interactions for pollinator visits: a test of the magnet species effect. Oecologia 89, 502-508.</w:t>
      </w:r>
      <w:bookmarkEnd w:id="45"/>
    </w:p>
    <w:p w:rsidR="003B10A7" w:rsidRPr="003B10A7" w:rsidRDefault="003B10A7" w:rsidP="003B10A7">
      <w:pPr>
        <w:pStyle w:val="EndNoteBibliography"/>
        <w:spacing w:after="0"/>
      </w:pPr>
      <w:bookmarkStart w:id="46" w:name="_ENREF_46"/>
      <w:r w:rsidRPr="003B10A7">
        <w:t>Mahall, B.E., Callaway, R.M., 1991. Root communication among desert shrubs. Proceedings of the National Academy of Sciences 88, 874-876.</w:t>
      </w:r>
      <w:bookmarkEnd w:id="46"/>
    </w:p>
    <w:p w:rsidR="003B10A7" w:rsidRPr="003B10A7" w:rsidRDefault="003B10A7" w:rsidP="003B10A7">
      <w:pPr>
        <w:pStyle w:val="EndNoteBibliography"/>
        <w:spacing w:after="0"/>
      </w:pPr>
      <w:bookmarkStart w:id="47" w:name="_ENREF_47"/>
      <w:r w:rsidRPr="003B10A7">
        <w:t>Mahall, B.E., Callaway, R.M., 1992. Root communication mechanisms and intracommunity distributions of two Mojave Desert shrubs. Ecology 73, 2145-2151.</w:t>
      </w:r>
      <w:bookmarkEnd w:id="47"/>
    </w:p>
    <w:p w:rsidR="003B10A7" w:rsidRPr="003B10A7" w:rsidRDefault="003B10A7" w:rsidP="003B10A7">
      <w:pPr>
        <w:pStyle w:val="EndNoteBibliography"/>
        <w:spacing w:after="0"/>
      </w:pPr>
      <w:bookmarkStart w:id="48" w:name="_ENREF_48"/>
      <w:r w:rsidRPr="003B10A7">
        <w:t>Marshall, S., 2012. Flies. The natural history and diversity of Diptera.</w:t>
      </w:r>
      <w:bookmarkEnd w:id="48"/>
    </w:p>
    <w:p w:rsidR="003B10A7" w:rsidRPr="003B10A7" w:rsidRDefault="003B10A7" w:rsidP="003B10A7">
      <w:pPr>
        <w:pStyle w:val="EndNoteBibliography"/>
        <w:spacing w:after="0"/>
      </w:pPr>
      <w:bookmarkStart w:id="49" w:name="_ENREF_49"/>
      <w:r w:rsidRPr="003B10A7">
        <w:t>McIntire, E.J., Fajardo, A., 2014. Facilitation as a ubiquitous driver of biodiversity. New Phytologist 201, 403-416.</w:t>
      </w:r>
      <w:bookmarkEnd w:id="49"/>
    </w:p>
    <w:p w:rsidR="003B10A7" w:rsidRPr="003B10A7" w:rsidRDefault="003B10A7" w:rsidP="003B10A7">
      <w:pPr>
        <w:pStyle w:val="EndNoteBibliography"/>
        <w:spacing w:after="0"/>
      </w:pPr>
      <w:bookmarkStart w:id="50" w:name="_ENREF_50"/>
      <w:r w:rsidRPr="003B10A7">
        <w:t>McKinney, A.M., Goodell, K., 2010. Shading by invasive shrub reduces seed production and pollinator services in a native herb. Biological Invasions 12, 2751-2763.</w:t>
      </w:r>
      <w:bookmarkEnd w:id="50"/>
    </w:p>
    <w:p w:rsidR="003B10A7" w:rsidRPr="003B10A7" w:rsidRDefault="003B10A7" w:rsidP="003B10A7">
      <w:pPr>
        <w:pStyle w:val="EndNoteBibliography"/>
        <w:spacing w:after="0"/>
      </w:pPr>
      <w:bookmarkStart w:id="51" w:name="_ENREF_51"/>
      <w:r w:rsidRPr="003B10A7">
        <w:t>McPeek, M.A., Peckarsky, B.L., 1998. Life histories and the strengths of species interactions: combining mortality, growth, and fecundity effects. Ecology 79, 867-879.</w:t>
      </w:r>
      <w:bookmarkEnd w:id="51"/>
    </w:p>
    <w:p w:rsidR="003B10A7" w:rsidRPr="003B10A7" w:rsidRDefault="003B10A7" w:rsidP="003B10A7">
      <w:pPr>
        <w:pStyle w:val="EndNoteBibliography"/>
        <w:spacing w:after="0"/>
      </w:pPr>
      <w:bookmarkStart w:id="52" w:name="_ENREF_52"/>
      <w:r w:rsidRPr="003B10A7">
        <w:t>Michener, C.D., 2000. The bees of the world. JHU press.</w:t>
      </w:r>
      <w:bookmarkEnd w:id="52"/>
    </w:p>
    <w:p w:rsidR="003B10A7" w:rsidRPr="003B10A7" w:rsidRDefault="003B10A7" w:rsidP="003B10A7">
      <w:pPr>
        <w:pStyle w:val="EndNoteBibliography"/>
        <w:spacing w:after="0"/>
      </w:pPr>
      <w:bookmarkStart w:id="53" w:name="_ENREF_53"/>
      <w:r w:rsidRPr="003B10A7">
        <w:t>Michener, C.D., McGinley, R.J., Danforth, B.N., 1994. The bee genera of North and Central America (Hymenoptera: Apoidea). Smithsonian Institution Press.</w:t>
      </w:r>
      <w:bookmarkEnd w:id="53"/>
    </w:p>
    <w:p w:rsidR="003B10A7" w:rsidRPr="003B10A7" w:rsidRDefault="003B10A7" w:rsidP="003B10A7">
      <w:pPr>
        <w:pStyle w:val="EndNoteBibliography"/>
        <w:spacing w:after="0"/>
      </w:pPr>
      <w:bookmarkStart w:id="54" w:name="_ENREF_54"/>
      <w:r w:rsidRPr="003B10A7">
        <w:t>Minckley, R.L., Cane, J.H., Kervin, L., Roulston, T., 1999. Spatial predictability and resource specialization of bees (Hymenoptera: Apoidea) at a superabundant, widespread resource. Biological Journal of the Linnean Society 67, 119-147.</w:t>
      </w:r>
      <w:bookmarkEnd w:id="54"/>
    </w:p>
    <w:p w:rsidR="003B10A7" w:rsidRPr="003B10A7" w:rsidRDefault="003B10A7" w:rsidP="003B10A7">
      <w:pPr>
        <w:pStyle w:val="EndNoteBibliography"/>
        <w:spacing w:after="0"/>
      </w:pPr>
      <w:bookmarkStart w:id="55" w:name="_ENREF_55"/>
      <w:r w:rsidRPr="003B10A7">
        <w:t>Miranda, G., Young, A., Locke, M., Marshall, S., Skevington, J., Thompson, F., 2013. Key to the genera of Nearctic Syrphidae. Canadian Journal of Arthropod Identification 23, 351.</w:t>
      </w:r>
      <w:bookmarkEnd w:id="55"/>
    </w:p>
    <w:p w:rsidR="003B10A7" w:rsidRPr="003B10A7" w:rsidRDefault="003B10A7" w:rsidP="003B10A7">
      <w:pPr>
        <w:pStyle w:val="EndNoteBibliography"/>
        <w:spacing w:after="0"/>
      </w:pPr>
      <w:bookmarkStart w:id="56" w:name="_ENREF_56"/>
      <w:r w:rsidRPr="003B10A7">
        <w:t>Molina-Montenegro, M.A., Badano, E.I., Cavieres, L.A., 2008. Positive interactions among plant species for pollinator service: assessing the ‘magnet species’ concept with invasive species. Oikos 117, 1833-1839.</w:t>
      </w:r>
      <w:bookmarkEnd w:id="56"/>
    </w:p>
    <w:p w:rsidR="003B10A7" w:rsidRPr="003B10A7" w:rsidRDefault="003B10A7" w:rsidP="003B10A7">
      <w:pPr>
        <w:pStyle w:val="EndNoteBibliography"/>
        <w:spacing w:after="0"/>
      </w:pPr>
      <w:bookmarkStart w:id="57" w:name="_ENREF_57"/>
      <w:r w:rsidRPr="003B10A7">
        <w:t>Morhardt, S., Morhardt, E., 2004. California desert flowers: an introduction to families, genera, and species. Univ of California Press.</w:t>
      </w:r>
      <w:bookmarkEnd w:id="57"/>
    </w:p>
    <w:p w:rsidR="003B10A7" w:rsidRPr="003B10A7" w:rsidRDefault="003B10A7" w:rsidP="003B10A7">
      <w:pPr>
        <w:pStyle w:val="EndNoteBibliography"/>
        <w:spacing w:after="0"/>
      </w:pPr>
      <w:bookmarkStart w:id="58" w:name="_ENREF_58"/>
      <w:r w:rsidRPr="003B10A7">
        <w:t>Morse, D.H., 1981. Interactions among syrphid flies and bumblebees on flowers. Ecology 62, 81-88.</w:t>
      </w:r>
      <w:bookmarkEnd w:id="58"/>
    </w:p>
    <w:p w:rsidR="003B10A7" w:rsidRPr="003B10A7" w:rsidRDefault="003B10A7" w:rsidP="003B10A7">
      <w:pPr>
        <w:pStyle w:val="EndNoteBibliography"/>
        <w:spacing w:after="0"/>
      </w:pPr>
      <w:bookmarkStart w:id="59" w:name="_ENREF_59"/>
      <w:r w:rsidRPr="003B10A7">
        <w:t>Mosquin, T., 1971. Competition for pollinators as a stimulus for the evolution of flowering time. Oikos, 398-402.</w:t>
      </w:r>
      <w:bookmarkEnd w:id="59"/>
    </w:p>
    <w:p w:rsidR="003B10A7" w:rsidRPr="003B10A7" w:rsidRDefault="003B10A7" w:rsidP="003B10A7">
      <w:pPr>
        <w:pStyle w:val="EndNoteBibliography"/>
        <w:spacing w:after="0"/>
      </w:pPr>
      <w:bookmarkStart w:id="60" w:name="_ENREF_60"/>
      <w:r w:rsidRPr="003B10A7">
        <w:t>Noma, T., Brewer, M.J., 2008. Seasonal abundance of resident parasitoids and predatory flies and corresponding soybean aphid densities, with comments on classical biological control of soybean aphid in the Midwest. Journal of Economic Entomology 101, 278-287.</w:t>
      </w:r>
      <w:bookmarkEnd w:id="60"/>
    </w:p>
    <w:p w:rsidR="003B10A7" w:rsidRPr="003B10A7" w:rsidRDefault="003B10A7" w:rsidP="003B10A7">
      <w:pPr>
        <w:pStyle w:val="EndNoteBibliography"/>
        <w:spacing w:after="0"/>
      </w:pPr>
      <w:bookmarkStart w:id="61" w:name="_ENREF_61"/>
      <w:r w:rsidRPr="003B10A7">
        <w:t>Oliver, I., Beattie, A.J., 1993. A possible method for the rapid assessment of biodiversity. Conservation biology 7, 562-568.</w:t>
      </w:r>
      <w:bookmarkEnd w:id="61"/>
    </w:p>
    <w:p w:rsidR="003B10A7" w:rsidRPr="003B10A7" w:rsidRDefault="003B10A7" w:rsidP="003B10A7">
      <w:pPr>
        <w:pStyle w:val="EndNoteBibliography"/>
        <w:spacing w:after="0"/>
      </w:pPr>
      <w:bookmarkStart w:id="62" w:name="_ENREF_62"/>
      <w:r w:rsidRPr="003B10A7">
        <w:t>Pellmyr, O., 2003. Yuccas, yucca moths, and coevolution: a review. Annals of the Missouri Botanical Garden, 35-55.</w:t>
      </w:r>
      <w:bookmarkEnd w:id="62"/>
    </w:p>
    <w:p w:rsidR="003B10A7" w:rsidRPr="003B10A7" w:rsidRDefault="003B10A7" w:rsidP="003B10A7">
      <w:pPr>
        <w:pStyle w:val="EndNoteBibliography"/>
        <w:spacing w:after="0"/>
      </w:pPr>
      <w:bookmarkStart w:id="63" w:name="_ENREF_63"/>
      <w:r w:rsidRPr="003B10A7">
        <w:lastRenderedPageBreak/>
        <w:t>Proctor, E., Nol, E., Burke, D., Crins, W.J., 2012. Responses of insect pollinators and understory plants to silviculture in northern hardwood forests. Biodiversity and Conservation 21, 1703-1740.</w:t>
      </w:r>
      <w:bookmarkEnd w:id="63"/>
    </w:p>
    <w:p w:rsidR="003B10A7" w:rsidRPr="003B10A7" w:rsidRDefault="003B10A7" w:rsidP="003B10A7">
      <w:pPr>
        <w:pStyle w:val="EndNoteBibliography"/>
        <w:spacing w:after="0"/>
      </w:pPr>
      <w:bookmarkStart w:id="64" w:name="_ENREF_64"/>
      <w:r w:rsidRPr="003B10A7">
        <w:t>Pugnaire, F.I., Haase, P., Puigdefabregas, J., 1996. Facilitation between higher plant species in a semiarid environment. Ecology 77, 1420-1426.</w:t>
      </w:r>
      <w:bookmarkEnd w:id="64"/>
    </w:p>
    <w:p w:rsidR="003B10A7" w:rsidRPr="003B10A7" w:rsidRDefault="003B10A7" w:rsidP="003B10A7">
      <w:pPr>
        <w:pStyle w:val="EndNoteBibliography"/>
        <w:spacing w:after="0"/>
      </w:pPr>
      <w:bookmarkStart w:id="65" w:name="_ENREF_65"/>
      <w:r w:rsidRPr="003B10A7">
        <w:t>Pyke, G.H., 1984. Optimal foraging theory: a critical review. Annual review of ecology and systematics 15, 523-575.</w:t>
      </w:r>
      <w:bookmarkEnd w:id="65"/>
    </w:p>
    <w:p w:rsidR="003B10A7" w:rsidRPr="003B10A7" w:rsidRDefault="003B10A7" w:rsidP="003B10A7">
      <w:pPr>
        <w:pStyle w:val="EndNoteBibliography"/>
        <w:spacing w:after="0"/>
      </w:pPr>
      <w:bookmarkStart w:id="66" w:name="_ENREF_66"/>
      <w:r w:rsidRPr="003B10A7">
        <w:t>Pyke, G.H., Pulliam, H.R., Charnov, E.L., 1977. Optimal foraging: a selective review of theory and tests. The quarterly review of biology 52, 137-154.</w:t>
      </w:r>
      <w:bookmarkEnd w:id="66"/>
    </w:p>
    <w:p w:rsidR="003B10A7" w:rsidRPr="003B10A7" w:rsidRDefault="003B10A7" w:rsidP="003B10A7">
      <w:pPr>
        <w:pStyle w:val="EndNoteBibliography"/>
        <w:spacing w:after="0"/>
      </w:pPr>
      <w:bookmarkStart w:id="67" w:name="_ENREF_67"/>
      <w:r w:rsidRPr="003B10A7">
        <w:t>Reid, A.M., Lortie, C.J., 2012. Cushion plants are foundation species with positive effects extending to higher trophic levels. Ecosphere 3.</w:t>
      </w:r>
      <w:bookmarkEnd w:id="67"/>
    </w:p>
    <w:p w:rsidR="003B10A7" w:rsidRPr="003B10A7" w:rsidRDefault="003B10A7" w:rsidP="003B10A7">
      <w:pPr>
        <w:pStyle w:val="EndNoteBibliography"/>
        <w:spacing w:after="0"/>
      </w:pPr>
      <w:bookmarkStart w:id="68" w:name="_ENREF_68"/>
      <w:r w:rsidRPr="003B10A7">
        <w:t>Robertson, A.W., Mountjoy, C., Faulkner, B.E., Roberts, M.V., Macnair, M.R., 1999. Bumble bee selection of Mimulus guttatus flowers: the effects of pollen quality and reward depletion. Ecology 80, 2594-2606.</w:t>
      </w:r>
      <w:bookmarkEnd w:id="68"/>
    </w:p>
    <w:p w:rsidR="003B10A7" w:rsidRPr="003B10A7" w:rsidRDefault="003B10A7" w:rsidP="003B10A7">
      <w:pPr>
        <w:pStyle w:val="EndNoteBibliography"/>
        <w:spacing w:after="0"/>
      </w:pPr>
      <w:bookmarkStart w:id="69" w:name="_ENREF_69"/>
      <w:r w:rsidRPr="003B10A7">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9"/>
    </w:p>
    <w:p w:rsidR="003B10A7" w:rsidRPr="003B10A7" w:rsidRDefault="003B10A7" w:rsidP="003B10A7">
      <w:pPr>
        <w:pStyle w:val="EndNoteBibliography"/>
        <w:spacing w:after="0"/>
      </w:pPr>
      <w:bookmarkStart w:id="70" w:name="_ENREF_70"/>
      <w:r w:rsidRPr="003B10A7">
        <w:t>Rousset, O., Lepart, J., 2000. Positive and negative interactions at different life stages of a colonizing species (Quercus humilis). Journal of Ecology 88, 401-412.</w:t>
      </w:r>
      <w:bookmarkEnd w:id="70"/>
    </w:p>
    <w:p w:rsidR="003B10A7" w:rsidRPr="003B10A7" w:rsidRDefault="003B10A7" w:rsidP="003B10A7">
      <w:pPr>
        <w:pStyle w:val="EndNoteBibliography"/>
        <w:spacing w:after="0"/>
      </w:pPr>
      <w:bookmarkStart w:id="71" w:name="_ENREF_71"/>
      <w:r w:rsidRPr="003B10A7">
        <w:t>Rundel, P.W., Gibson, A.C., 2005. Ecological communities and processes in a Mojave Desert ecosystem. Cambridge University Press.</w:t>
      </w:r>
      <w:bookmarkEnd w:id="71"/>
    </w:p>
    <w:p w:rsidR="003B10A7" w:rsidRPr="003B10A7" w:rsidRDefault="003B10A7" w:rsidP="003B10A7">
      <w:pPr>
        <w:pStyle w:val="EndNoteBibliography"/>
        <w:spacing w:after="0"/>
      </w:pPr>
      <w:bookmarkStart w:id="72" w:name="_ENREF_72"/>
      <w:r w:rsidRPr="003B10A7">
        <w:t>Rutowski, R.L., Alcock, J., 1980. Temporal variation in male copulatory behaviour in the solitary bee Nomadopsis puellae (Hymenoptera: Andrenidae). Behaviour 73, 175-187.</w:t>
      </w:r>
      <w:bookmarkEnd w:id="72"/>
    </w:p>
    <w:p w:rsidR="003B10A7" w:rsidRPr="003B10A7" w:rsidRDefault="003B10A7" w:rsidP="003B10A7">
      <w:pPr>
        <w:pStyle w:val="EndNoteBibliography"/>
        <w:spacing w:after="0"/>
      </w:pPr>
      <w:bookmarkStart w:id="73" w:name="_ENREF_73"/>
      <w:r w:rsidRPr="003B10A7">
        <w:t>Ruttan, A., Filazzola, A., Lortie, C.J., 2016. Shrub-annual facilitation complexes mediate insect community structure in arid environments. Journal of Arid Environments 134, 1-9.</w:t>
      </w:r>
      <w:bookmarkEnd w:id="73"/>
    </w:p>
    <w:p w:rsidR="003B10A7" w:rsidRPr="003B10A7" w:rsidRDefault="003B10A7" w:rsidP="003B10A7">
      <w:pPr>
        <w:pStyle w:val="EndNoteBibliography"/>
        <w:spacing w:after="0"/>
      </w:pPr>
      <w:bookmarkStart w:id="74" w:name="_ENREF_74"/>
      <w:r w:rsidRPr="003B10A7">
        <w:t>Saul-Gershenz, L., Millar, J., McElfresh, J., 2012. Mojave National Preserve. National Park Service U.S. Department of the Interior. , https://</w:t>
      </w:r>
      <w:hyperlink r:id="rId8" w:history="1">
        <w:r w:rsidRPr="003B10A7">
          <w:rPr>
            <w:rStyle w:val="Hyperlink"/>
          </w:rPr>
          <w:t>www.nps.gov/moja/learn/nature/upload/201204MOJAscience.pdf</w:t>
        </w:r>
      </w:hyperlink>
      <w:r w:rsidRPr="003B10A7">
        <w:t>.</w:t>
      </w:r>
      <w:bookmarkEnd w:id="74"/>
    </w:p>
    <w:p w:rsidR="003B10A7" w:rsidRPr="003B10A7" w:rsidRDefault="003B10A7" w:rsidP="003B10A7">
      <w:pPr>
        <w:pStyle w:val="EndNoteBibliography"/>
        <w:spacing w:after="0"/>
      </w:pPr>
      <w:bookmarkStart w:id="75" w:name="_ENREF_75"/>
      <w:r w:rsidRPr="003B10A7">
        <w:t>Schafer, J., Mudrak, E., Haines, C., Parag, H., Moloney, K., Holzapfel, C., 2012. The association of native and non-native annual plants with Larrea tridentata (creosote bush) in the Mojave and Sonoran Deserts. Journal of arid environments 87, 129-135.</w:t>
      </w:r>
      <w:bookmarkEnd w:id="75"/>
    </w:p>
    <w:p w:rsidR="003B10A7" w:rsidRPr="003B10A7" w:rsidRDefault="003B10A7" w:rsidP="003B10A7">
      <w:pPr>
        <w:pStyle w:val="EndNoteBibliography"/>
        <w:spacing w:after="0"/>
      </w:pPr>
      <w:bookmarkStart w:id="76" w:name="_ENREF_76"/>
      <w:r w:rsidRPr="003B10A7">
        <w:t>Schemske, D.W., 1981. Floral convergence and pollinator sharing in two bee‐pollinated tropical herbs. Ecology 62, 946-954.</w:t>
      </w:r>
      <w:bookmarkEnd w:id="76"/>
    </w:p>
    <w:p w:rsidR="003B10A7" w:rsidRPr="003B10A7" w:rsidRDefault="003B10A7" w:rsidP="003B10A7">
      <w:pPr>
        <w:pStyle w:val="EndNoteBibliography"/>
        <w:spacing w:after="0"/>
      </w:pPr>
      <w:bookmarkStart w:id="77" w:name="_ENREF_77"/>
      <w:r w:rsidRPr="003B10A7">
        <w:t>Shavit, O., Dafni, A., Ne'eman, G., 2009. Competition between honeybees (Apis mellifera) and native solitary bees in the Mediterranean region of Israel—Implications for conservation. Israel Journal of Plant Sciences 57, 171-183.</w:t>
      </w:r>
      <w:bookmarkEnd w:id="77"/>
    </w:p>
    <w:p w:rsidR="003B10A7" w:rsidRPr="003B10A7" w:rsidRDefault="003B10A7" w:rsidP="003B10A7">
      <w:pPr>
        <w:pStyle w:val="EndNoteBibliography"/>
        <w:spacing w:after="0"/>
      </w:pPr>
      <w:bookmarkStart w:id="78" w:name="_ENREF_78"/>
      <w:r w:rsidRPr="003B10A7">
        <w:t>Simpson, B., Neff, J., Moldenke, A., 1977. Reproductive systems of Larrea. Mabry, T, J,, Hunziker, J, H,, DiFeo, D, R,, jr ed (s). Creosote bush: biology and chemistry of Larrea in the New World deserts. Stroudsburg, Dowden, Hutchinson &amp; Ross Inc, 92-114.</w:t>
      </w:r>
      <w:bookmarkEnd w:id="78"/>
    </w:p>
    <w:p w:rsidR="003B10A7" w:rsidRPr="003B10A7" w:rsidRDefault="003B10A7" w:rsidP="003B10A7">
      <w:pPr>
        <w:pStyle w:val="EndNoteBibliography"/>
        <w:spacing w:after="0"/>
      </w:pPr>
      <w:bookmarkStart w:id="79" w:name="_ENREF_79"/>
      <w:r w:rsidRPr="003B10A7">
        <w:t>Simpson, B.B., Neff, J.L., 1987. Pollination Ecology in the Southwest. Aliso: A Journal of Systematic and Evolutionary Botany 11, 417-440.</w:t>
      </w:r>
      <w:bookmarkEnd w:id="79"/>
    </w:p>
    <w:p w:rsidR="003B10A7" w:rsidRPr="003B10A7" w:rsidRDefault="003B10A7" w:rsidP="003B10A7">
      <w:pPr>
        <w:pStyle w:val="EndNoteBibliography"/>
        <w:spacing w:after="0"/>
      </w:pPr>
      <w:bookmarkStart w:id="80" w:name="_ENREF_80"/>
      <w:r w:rsidRPr="003B10A7">
        <w:t>Suzán, H., Nabhan, G.P., Patten, D.T., 1994. Nurse plant and floral biology of a rare night‐blooming cereus, Peniocereus striatus (Brandegee) F. Buxbaum. Conservation Biology 8, 461-470.</w:t>
      </w:r>
      <w:bookmarkEnd w:id="80"/>
    </w:p>
    <w:p w:rsidR="003B10A7" w:rsidRPr="003B10A7" w:rsidRDefault="003B10A7" w:rsidP="003B10A7">
      <w:pPr>
        <w:pStyle w:val="EndNoteBibliography"/>
        <w:spacing w:after="0"/>
      </w:pPr>
      <w:bookmarkStart w:id="81" w:name="_ENREF_81"/>
      <w:r w:rsidRPr="003B10A7">
        <w:lastRenderedPageBreak/>
        <w:t>Terry, T.J., Nelson, C.R., 2017. Composition and seasonal abundance of hover flies (Diptera: Syrphidae) at a midelevation site in central Utah. Western North American Naturalist 77, 487-499.</w:t>
      </w:r>
      <w:bookmarkEnd w:id="81"/>
    </w:p>
    <w:p w:rsidR="003B10A7" w:rsidRPr="003B10A7" w:rsidRDefault="003B10A7" w:rsidP="003B10A7">
      <w:pPr>
        <w:pStyle w:val="EndNoteBibliography"/>
        <w:spacing w:after="0"/>
      </w:pPr>
      <w:bookmarkStart w:id="82" w:name="_ENREF_82"/>
      <w:r w:rsidRPr="003B10A7">
        <w:t>Teskey, H., Vockeroth, J., Wood, D., 1981. Manual of Nearctic Diptera. Ottawa, Research Branch, Agriculture Canada, Monograph 27.</w:t>
      </w:r>
      <w:bookmarkEnd w:id="82"/>
    </w:p>
    <w:p w:rsidR="003B10A7" w:rsidRPr="003B10A7" w:rsidRDefault="003B10A7" w:rsidP="003B10A7">
      <w:pPr>
        <w:pStyle w:val="EndNoteBibliography"/>
        <w:spacing w:after="0"/>
      </w:pPr>
      <w:bookmarkStart w:id="83" w:name="_ENREF_83"/>
      <w:r w:rsidRPr="003B10A7">
        <w:t>Thomson, J.D., 1978. Effects of Stand Composition on Insect Visitation in Two-Species Mixtures of Hieracium. American Midland Naturalist 100, 431-440.</w:t>
      </w:r>
      <w:bookmarkEnd w:id="83"/>
    </w:p>
    <w:p w:rsidR="003B10A7" w:rsidRPr="003B10A7" w:rsidRDefault="003B10A7" w:rsidP="003B10A7">
      <w:pPr>
        <w:pStyle w:val="EndNoteBibliography"/>
        <w:spacing w:after="0"/>
      </w:pPr>
      <w:bookmarkStart w:id="84" w:name="_ENREF_84"/>
      <w:r w:rsidRPr="003B10A7">
        <w:t>Tielbörger, K., Kadmon, R., 2000. Temporal environmental variation tips the balance between facilitation and interference in desert plants. Ecology 81, 1544-1553.</w:t>
      </w:r>
      <w:bookmarkEnd w:id="84"/>
    </w:p>
    <w:p w:rsidR="003B10A7" w:rsidRPr="003B10A7" w:rsidRDefault="003B10A7" w:rsidP="003B10A7">
      <w:pPr>
        <w:pStyle w:val="EndNoteBibliography"/>
        <w:spacing w:after="0"/>
      </w:pPr>
      <w:bookmarkStart w:id="85" w:name="_ENREF_85"/>
      <w:r w:rsidRPr="003B10A7">
        <w:t>Triplehorn, C., Johnson, N.F., 2005. Borror and delong’s introduction to the study of insects. Brooks. Cole, Belmont, California, USA.</w:t>
      </w:r>
      <w:bookmarkEnd w:id="85"/>
    </w:p>
    <w:p w:rsidR="003B10A7" w:rsidRPr="003B10A7" w:rsidRDefault="003B10A7" w:rsidP="003B10A7">
      <w:pPr>
        <w:pStyle w:val="EndNoteBibliography"/>
        <w:spacing w:after="0"/>
      </w:pPr>
      <w:bookmarkStart w:id="86" w:name="_ENREF_86"/>
      <w:r w:rsidRPr="003B10A7">
        <w:t>Valiente-Banuet, A., Bolongaro-Crevenna, A., Briones, O., Ezcurra, E., Rosas, M., Nuñez, H., Barnard, G., Vazquez, E., 1991. Spatial relationships between cacti and nurse shrubs in a semi‐arid environment in central Mexico. Journal of Vegetation Science 2, 15-20.</w:t>
      </w:r>
      <w:bookmarkEnd w:id="86"/>
    </w:p>
    <w:p w:rsidR="003B10A7" w:rsidRPr="003B10A7" w:rsidRDefault="003B10A7" w:rsidP="003B10A7">
      <w:pPr>
        <w:pStyle w:val="EndNoteBibliography"/>
        <w:spacing w:after="0"/>
      </w:pPr>
      <w:bookmarkStart w:id="87" w:name="_ENREF_87"/>
      <w:r w:rsidRPr="003B10A7">
        <w:t>Valiente‐Banuet, A., Verdú, M., 2007. Facilitation can increase the phylogenetic diversity of plant communities. Ecology letters 10, 1029-1036.</w:t>
      </w:r>
      <w:bookmarkEnd w:id="87"/>
    </w:p>
    <w:p w:rsidR="003B10A7" w:rsidRPr="003B10A7" w:rsidRDefault="003B10A7" w:rsidP="003B10A7">
      <w:pPr>
        <w:pStyle w:val="EndNoteBibliography"/>
        <w:spacing w:after="0"/>
      </w:pPr>
      <w:bookmarkStart w:id="88" w:name="_ENREF_88"/>
      <w:r w:rsidRPr="003B10A7">
        <w:t>Vasek, F.C., 1980. Creosote bush: long‐lived clones in the Mojave Desert. American Journal of Botany 67, 246-255.</w:t>
      </w:r>
      <w:bookmarkEnd w:id="88"/>
    </w:p>
    <w:p w:rsidR="003B10A7" w:rsidRPr="003B10A7" w:rsidRDefault="003B10A7" w:rsidP="003B10A7">
      <w:pPr>
        <w:pStyle w:val="EndNoteBibliography"/>
        <w:spacing w:after="0"/>
      </w:pPr>
      <w:bookmarkStart w:id="89" w:name="_ENREF_89"/>
      <w:r w:rsidRPr="003B10A7">
        <w:t>Vockeroth, J., 1992. The flower flies of the subfamily Syrphinae of Canada, Alaska, and Greenland: Diptera, Syrphidae. Agriculture Canada.</w:t>
      </w:r>
      <w:bookmarkEnd w:id="89"/>
    </w:p>
    <w:p w:rsidR="003B10A7" w:rsidRPr="003B10A7" w:rsidRDefault="003B10A7" w:rsidP="003B10A7">
      <w:pPr>
        <w:pStyle w:val="EndNoteBibliography"/>
        <w:spacing w:after="0"/>
      </w:pPr>
      <w:bookmarkStart w:id="90" w:name="_ENREF_90"/>
      <w:r w:rsidRPr="003B10A7">
        <w:t>Wainwright, C.M., 1978. Hymenopteran territoriality and its influences on the pollination ecology of Lupinus arizonicus. The Southwestern Naturalist, 605-615.</w:t>
      </w:r>
      <w:bookmarkEnd w:id="90"/>
    </w:p>
    <w:p w:rsidR="003B10A7" w:rsidRPr="003B10A7" w:rsidRDefault="003B10A7" w:rsidP="003B10A7">
      <w:pPr>
        <w:pStyle w:val="EndNoteBibliography"/>
        <w:spacing w:after="0"/>
      </w:pPr>
      <w:bookmarkStart w:id="91" w:name="_ENREF_91"/>
      <w:r w:rsidRPr="003B10A7">
        <w:t>Walters, B.B., Stiles, E.W., 1996. Effect of canopy gaps and flower patch size on pollinator visitation of Impatiens capensis. Bulletin of the Torrey Botanical Club, 184-188.</w:t>
      </w:r>
      <w:bookmarkEnd w:id="91"/>
    </w:p>
    <w:p w:rsidR="003B10A7" w:rsidRPr="003B10A7" w:rsidRDefault="003B10A7" w:rsidP="003B10A7">
      <w:pPr>
        <w:pStyle w:val="EndNoteBibliography"/>
        <w:spacing w:after="0"/>
      </w:pPr>
      <w:bookmarkStart w:id="92" w:name="_ENREF_92"/>
      <w:r w:rsidRPr="003B10A7">
        <w:t>Waser, N.M., 1986. Flower constancy: definition, cause, and measurement. The American Naturalist 127, 593-603.</w:t>
      </w:r>
      <w:bookmarkEnd w:id="92"/>
    </w:p>
    <w:p w:rsidR="003B10A7" w:rsidRPr="003B10A7" w:rsidRDefault="003B10A7" w:rsidP="003B10A7">
      <w:pPr>
        <w:pStyle w:val="EndNoteBibliography"/>
        <w:spacing w:after="0"/>
      </w:pPr>
      <w:bookmarkStart w:id="93" w:name="_ENREF_93"/>
      <w:r w:rsidRPr="003B10A7">
        <w:t>Wootton, J.T., 1994. The nature and consequences of indirect effects in ecological communities. Annual Review of Ecology and Systematics 25, 443-466.</w:t>
      </w:r>
      <w:bookmarkEnd w:id="93"/>
    </w:p>
    <w:p w:rsidR="003B10A7" w:rsidRPr="003B10A7" w:rsidRDefault="003B10A7" w:rsidP="003B10A7">
      <w:pPr>
        <w:pStyle w:val="EndNoteBibliography"/>
      </w:pPr>
      <w:bookmarkStart w:id="94" w:name="_ENREF_94"/>
      <w:r w:rsidRPr="003B10A7">
        <w:t>Yeaton, R.I., 1978. A cyclical relationship between Larrea tridentata and Opuntia leptocaulis in the northern Chihuahuan Desert. The Journal of Ecology, 651-656.</w:t>
      </w:r>
      <w:bookmarkEnd w:id="94"/>
    </w:p>
    <w:p w:rsidR="009C7F0B" w:rsidRDefault="00D7348A" w:rsidP="009C7F0B">
      <w:r>
        <w:fldChar w:fldCharType="end"/>
      </w:r>
    </w:p>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7D" w:rsidRDefault="00AF0C7D" w:rsidP="00E82973">
      <w:pPr>
        <w:spacing w:after="0" w:line="240" w:lineRule="auto"/>
      </w:pPr>
      <w:r>
        <w:separator/>
      </w:r>
    </w:p>
  </w:endnote>
  <w:endnote w:type="continuationSeparator" w:id="0">
    <w:p w:rsidR="00AF0C7D" w:rsidRDefault="00AF0C7D"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7D" w:rsidRDefault="00AF0C7D" w:rsidP="00E82973">
      <w:pPr>
        <w:spacing w:after="0" w:line="240" w:lineRule="auto"/>
      </w:pPr>
      <w:r>
        <w:separator/>
      </w:r>
    </w:p>
  </w:footnote>
  <w:footnote w:type="continuationSeparator" w:id="0">
    <w:p w:rsidR="00AF0C7D" w:rsidRDefault="00AF0C7D"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173&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F51"/>
    <w:rsid w:val="00036294"/>
    <w:rsid w:val="0004122F"/>
    <w:rsid w:val="00051285"/>
    <w:rsid w:val="00051D07"/>
    <w:rsid w:val="00052F27"/>
    <w:rsid w:val="000538E5"/>
    <w:rsid w:val="00060278"/>
    <w:rsid w:val="00062E4F"/>
    <w:rsid w:val="000661F0"/>
    <w:rsid w:val="00066537"/>
    <w:rsid w:val="0007112A"/>
    <w:rsid w:val="0008110A"/>
    <w:rsid w:val="00086F3A"/>
    <w:rsid w:val="00092721"/>
    <w:rsid w:val="0009574D"/>
    <w:rsid w:val="00095AF0"/>
    <w:rsid w:val="00097D82"/>
    <w:rsid w:val="000A0F2F"/>
    <w:rsid w:val="000A41C5"/>
    <w:rsid w:val="000A42AE"/>
    <w:rsid w:val="000A445C"/>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77F5"/>
    <w:rsid w:val="00100A55"/>
    <w:rsid w:val="00103941"/>
    <w:rsid w:val="0010779D"/>
    <w:rsid w:val="001079BE"/>
    <w:rsid w:val="00113395"/>
    <w:rsid w:val="00116B2E"/>
    <w:rsid w:val="00117EC0"/>
    <w:rsid w:val="00120D56"/>
    <w:rsid w:val="00120F70"/>
    <w:rsid w:val="001232CF"/>
    <w:rsid w:val="00123786"/>
    <w:rsid w:val="00124B75"/>
    <w:rsid w:val="00132C0B"/>
    <w:rsid w:val="001332DA"/>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450D"/>
    <w:rsid w:val="001756B8"/>
    <w:rsid w:val="00175E68"/>
    <w:rsid w:val="0017664E"/>
    <w:rsid w:val="001777A8"/>
    <w:rsid w:val="00177D88"/>
    <w:rsid w:val="00182387"/>
    <w:rsid w:val="0018395C"/>
    <w:rsid w:val="00187C0E"/>
    <w:rsid w:val="0019001B"/>
    <w:rsid w:val="00191148"/>
    <w:rsid w:val="00191474"/>
    <w:rsid w:val="00195F74"/>
    <w:rsid w:val="001A1BB6"/>
    <w:rsid w:val="001A3BED"/>
    <w:rsid w:val="001A407A"/>
    <w:rsid w:val="001A4317"/>
    <w:rsid w:val="001A79D1"/>
    <w:rsid w:val="001B4908"/>
    <w:rsid w:val="001B755B"/>
    <w:rsid w:val="001C0D9F"/>
    <w:rsid w:val="001C1891"/>
    <w:rsid w:val="001C2200"/>
    <w:rsid w:val="001C368F"/>
    <w:rsid w:val="001C7812"/>
    <w:rsid w:val="001D1603"/>
    <w:rsid w:val="001D1EBB"/>
    <w:rsid w:val="001D4163"/>
    <w:rsid w:val="001D47AD"/>
    <w:rsid w:val="001D47FA"/>
    <w:rsid w:val="001D5345"/>
    <w:rsid w:val="001D5967"/>
    <w:rsid w:val="001D77C9"/>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691B"/>
    <w:rsid w:val="00251223"/>
    <w:rsid w:val="00251C75"/>
    <w:rsid w:val="002535CD"/>
    <w:rsid w:val="0025390F"/>
    <w:rsid w:val="00253A49"/>
    <w:rsid w:val="002545EC"/>
    <w:rsid w:val="00257C13"/>
    <w:rsid w:val="00260140"/>
    <w:rsid w:val="002619A8"/>
    <w:rsid w:val="00261ADE"/>
    <w:rsid w:val="00264AD5"/>
    <w:rsid w:val="002708B2"/>
    <w:rsid w:val="002715FB"/>
    <w:rsid w:val="002738CC"/>
    <w:rsid w:val="002743B5"/>
    <w:rsid w:val="00274B48"/>
    <w:rsid w:val="002753D7"/>
    <w:rsid w:val="002802F3"/>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81"/>
    <w:rsid w:val="002A6C3D"/>
    <w:rsid w:val="002B09EE"/>
    <w:rsid w:val="002B36A1"/>
    <w:rsid w:val="002B43C8"/>
    <w:rsid w:val="002C048A"/>
    <w:rsid w:val="002C2444"/>
    <w:rsid w:val="002D2F30"/>
    <w:rsid w:val="002D2FA3"/>
    <w:rsid w:val="002D48C8"/>
    <w:rsid w:val="002D5FDB"/>
    <w:rsid w:val="002D6D44"/>
    <w:rsid w:val="002E1596"/>
    <w:rsid w:val="002E1C51"/>
    <w:rsid w:val="002E3387"/>
    <w:rsid w:val="002E4BF3"/>
    <w:rsid w:val="002E61F9"/>
    <w:rsid w:val="002E7858"/>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99F"/>
    <w:rsid w:val="003E0D81"/>
    <w:rsid w:val="003E1E61"/>
    <w:rsid w:val="003E4152"/>
    <w:rsid w:val="003E48AD"/>
    <w:rsid w:val="003F074A"/>
    <w:rsid w:val="003F1979"/>
    <w:rsid w:val="003F3BC9"/>
    <w:rsid w:val="003F467B"/>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3C1E"/>
    <w:rsid w:val="004458E5"/>
    <w:rsid w:val="00445F94"/>
    <w:rsid w:val="00446089"/>
    <w:rsid w:val="00446485"/>
    <w:rsid w:val="004471FF"/>
    <w:rsid w:val="0045062A"/>
    <w:rsid w:val="00450D79"/>
    <w:rsid w:val="00452809"/>
    <w:rsid w:val="004545C7"/>
    <w:rsid w:val="0045549B"/>
    <w:rsid w:val="0045649C"/>
    <w:rsid w:val="00456B56"/>
    <w:rsid w:val="0046095E"/>
    <w:rsid w:val="004631CA"/>
    <w:rsid w:val="00463449"/>
    <w:rsid w:val="00463F3E"/>
    <w:rsid w:val="004645F4"/>
    <w:rsid w:val="00464B88"/>
    <w:rsid w:val="00465E1C"/>
    <w:rsid w:val="004669A4"/>
    <w:rsid w:val="00474223"/>
    <w:rsid w:val="004760E2"/>
    <w:rsid w:val="004771C2"/>
    <w:rsid w:val="00484208"/>
    <w:rsid w:val="00484D8B"/>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20BCD"/>
    <w:rsid w:val="00523122"/>
    <w:rsid w:val="00523861"/>
    <w:rsid w:val="00524CDB"/>
    <w:rsid w:val="00524D12"/>
    <w:rsid w:val="00524E27"/>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3B82"/>
    <w:rsid w:val="005A3F10"/>
    <w:rsid w:val="005A4667"/>
    <w:rsid w:val="005B0BE8"/>
    <w:rsid w:val="005B32C5"/>
    <w:rsid w:val="005B5D06"/>
    <w:rsid w:val="005B7D33"/>
    <w:rsid w:val="005D29E7"/>
    <w:rsid w:val="005D32A0"/>
    <w:rsid w:val="005D42B4"/>
    <w:rsid w:val="005D5F73"/>
    <w:rsid w:val="005E01B7"/>
    <w:rsid w:val="005E1F51"/>
    <w:rsid w:val="005E23FD"/>
    <w:rsid w:val="005E3967"/>
    <w:rsid w:val="005E6218"/>
    <w:rsid w:val="005E7AAA"/>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3FAA"/>
    <w:rsid w:val="006C6B4A"/>
    <w:rsid w:val="006D52D1"/>
    <w:rsid w:val="006D6E14"/>
    <w:rsid w:val="006D794E"/>
    <w:rsid w:val="006E41A1"/>
    <w:rsid w:val="006E4F5E"/>
    <w:rsid w:val="006E5B6B"/>
    <w:rsid w:val="006E5FB8"/>
    <w:rsid w:val="006E63E9"/>
    <w:rsid w:val="006E7326"/>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856"/>
    <w:rsid w:val="007638E6"/>
    <w:rsid w:val="00767ADD"/>
    <w:rsid w:val="00770017"/>
    <w:rsid w:val="007734BF"/>
    <w:rsid w:val="00776A53"/>
    <w:rsid w:val="00781365"/>
    <w:rsid w:val="00781CC3"/>
    <w:rsid w:val="00783DC4"/>
    <w:rsid w:val="007862B9"/>
    <w:rsid w:val="00793AA4"/>
    <w:rsid w:val="00793E14"/>
    <w:rsid w:val="007A155B"/>
    <w:rsid w:val="007A3489"/>
    <w:rsid w:val="007A4538"/>
    <w:rsid w:val="007A50BC"/>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5494"/>
    <w:rsid w:val="009502E9"/>
    <w:rsid w:val="00954B2A"/>
    <w:rsid w:val="0095619A"/>
    <w:rsid w:val="00960541"/>
    <w:rsid w:val="00960BEF"/>
    <w:rsid w:val="00961A99"/>
    <w:rsid w:val="0096263B"/>
    <w:rsid w:val="00966C92"/>
    <w:rsid w:val="009709E8"/>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3BD2"/>
    <w:rsid w:val="00A04F3A"/>
    <w:rsid w:val="00A0557B"/>
    <w:rsid w:val="00A1048B"/>
    <w:rsid w:val="00A10EA3"/>
    <w:rsid w:val="00A212F9"/>
    <w:rsid w:val="00A22B92"/>
    <w:rsid w:val="00A26687"/>
    <w:rsid w:val="00A27789"/>
    <w:rsid w:val="00A30978"/>
    <w:rsid w:val="00A31529"/>
    <w:rsid w:val="00A323B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A033E"/>
    <w:rsid w:val="00AA08FB"/>
    <w:rsid w:val="00AA1239"/>
    <w:rsid w:val="00AA22CE"/>
    <w:rsid w:val="00AA3928"/>
    <w:rsid w:val="00AA5AC2"/>
    <w:rsid w:val="00AA68D6"/>
    <w:rsid w:val="00AB5355"/>
    <w:rsid w:val="00AB7897"/>
    <w:rsid w:val="00AC0786"/>
    <w:rsid w:val="00AC130A"/>
    <w:rsid w:val="00AC1C47"/>
    <w:rsid w:val="00AC2E2E"/>
    <w:rsid w:val="00AC7D0B"/>
    <w:rsid w:val="00AC7E44"/>
    <w:rsid w:val="00AD184E"/>
    <w:rsid w:val="00AD2AB2"/>
    <w:rsid w:val="00AD673C"/>
    <w:rsid w:val="00AD778C"/>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21612"/>
    <w:rsid w:val="00B23237"/>
    <w:rsid w:val="00B24BED"/>
    <w:rsid w:val="00B26370"/>
    <w:rsid w:val="00B2730D"/>
    <w:rsid w:val="00B3009C"/>
    <w:rsid w:val="00B337C7"/>
    <w:rsid w:val="00B442FF"/>
    <w:rsid w:val="00B4473E"/>
    <w:rsid w:val="00B44DA7"/>
    <w:rsid w:val="00B4713D"/>
    <w:rsid w:val="00B53707"/>
    <w:rsid w:val="00B5381F"/>
    <w:rsid w:val="00B5465F"/>
    <w:rsid w:val="00B55CE3"/>
    <w:rsid w:val="00B56180"/>
    <w:rsid w:val="00B60B95"/>
    <w:rsid w:val="00B622BB"/>
    <w:rsid w:val="00B64046"/>
    <w:rsid w:val="00B647FA"/>
    <w:rsid w:val="00B64F61"/>
    <w:rsid w:val="00B6701E"/>
    <w:rsid w:val="00B67A8E"/>
    <w:rsid w:val="00B72444"/>
    <w:rsid w:val="00B7274D"/>
    <w:rsid w:val="00B73292"/>
    <w:rsid w:val="00B74B05"/>
    <w:rsid w:val="00B80EB8"/>
    <w:rsid w:val="00B80FA6"/>
    <w:rsid w:val="00B82A1E"/>
    <w:rsid w:val="00B83C73"/>
    <w:rsid w:val="00B84F32"/>
    <w:rsid w:val="00B86602"/>
    <w:rsid w:val="00B87FCA"/>
    <w:rsid w:val="00B90697"/>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745C"/>
    <w:rsid w:val="00C27B69"/>
    <w:rsid w:val="00C31C5F"/>
    <w:rsid w:val="00C341CA"/>
    <w:rsid w:val="00C34FE0"/>
    <w:rsid w:val="00C35BCC"/>
    <w:rsid w:val="00C369D4"/>
    <w:rsid w:val="00C41A21"/>
    <w:rsid w:val="00C42525"/>
    <w:rsid w:val="00C43D3C"/>
    <w:rsid w:val="00C462C7"/>
    <w:rsid w:val="00C468CB"/>
    <w:rsid w:val="00C47DCD"/>
    <w:rsid w:val="00C53E2A"/>
    <w:rsid w:val="00C62BBE"/>
    <w:rsid w:val="00C71081"/>
    <w:rsid w:val="00C7284D"/>
    <w:rsid w:val="00C75751"/>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C0591"/>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37B0"/>
    <w:rsid w:val="00D2466A"/>
    <w:rsid w:val="00D25D79"/>
    <w:rsid w:val="00D26FE7"/>
    <w:rsid w:val="00D27D99"/>
    <w:rsid w:val="00D27E74"/>
    <w:rsid w:val="00D32967"/>
    <w:rsid w:val="00D3394D"/>
    <w:rsid w:val="00D37B20"/>
    <w:rsid w:val="00D40381"/>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E356D"/>
    <w:rsid w:val="00DE358C"/>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69A4"/>
    <w:rsid w:val="00E70869"/>
    <w:rsid w:val="00E73496"/>
    <w:rsid w:val="00E75F95"/>
    <w:rsid w:val="00E81241"/>
    <w:rsid w:val="00E82973"/>
    <w:rsid w:val="00E83756"/>
    <w:rsid w:val="00E853AE"/>
    <w:rsid w:val="00E8548A"/>
    <w:rsid w:val="00E90F5C"/>
    <w:rsid w:val="00E95D33"/>
    <w:rsid w:val="00EA0303"/>
    <w:rsid w:val="00EA0EEE"/>
    <w:rsid w:val="00EA32DC"/>
    <w:rsid w:val="00EA56AA"/>
    <w:rsid w:val="00EB08B5"/>
    <w:rsid w:val="00EB0988"/>
    <w:rsid w:val="00EB1713"/>
    <w:rsid w:val="00EB2220"/>
    <w:rsid w:val="00EB34FF"/>
    <w:rsid w:val="00EB4170"/>
    <w:rsid w:val="00EC154E"/>
    <w:rsid w:val="00EC4D44"/>
    <w:rsid w:val="00EE0390"/>
    <w:rsid w:val="00EE18A4"/>
    <w:rsid w:val="00EE7F16"/>
    <w:rsid w:val="00EF0734"/>
    <w:rsid w:val="00EF6005"/>
    <w:rsid w:val="00EF6759"/>
    <w:rsid w:val="00F03599"/>
    <w:rsid w:val="00F06855"/>
    <w:rsid w:val="00F11A38"/>
    <w:rsid w:val="00F1517E"/>
    <w:rsid w:val="00F1652F"/>
    <w:rsid w:val="00F1763E"/>
    <w:rsid w:val="00F22098"/>
    <w:rsid w:val="00F22255"/>
    <w:rsid w:val="00F23EF9"/>
    <w:rsid w:val="00F2612C"/>
    <w:rsid w:val="00F265D2"/>
    <w:rsid w:val="00F32D70"/>
    <w:rsid w:val="00F33225"/>
    <w:rsid w:val="00F340C4"/>
    <w:rsid w:val="00F3485C"/>
    <w:rsid w:val="00F354F3"/>
    <w:rsid w:val="00F35F6E"/>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1A18"/>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36E"/>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9D9BF-FD72-440F-8434-C21315D60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7696</TotalTime>
  <Pages>18</Pages>
  <Words>19252</Words>
  <Characters>109742</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1074</cp:revision>
  <dcterms:created xsi:type="dcterms:W3CDTF">2018-02-28T22:36:00Z</dcterms:created>
  <dcterms:modified xsi:type="dcterms:W3CDTF">2018-08-11T00:34:00Z</dcterms:modified>
</cp:coreProperties>
</file>