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1D2" w:rsidRDefault="008421D2" w:rsidP="00FE799E"/>
    <w:p w:rsidR="008421D2" w:rsidRDefault="008421D2" w:rsidP="00FE799E"/>
    <w:p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2252D" w:rsidRDefault="0032252D" w:rsidP="00FE799E">
      <w:pPr>
        <w:rPr>
          <w:sz w:val="28"/>
          <w:szCs w:val="28"/>
        </w:rPr>
      </w:pPr>
    </w:p>
    <w:p w:rsidR="003F263E" w:rsidRDefault="003F263E" w:rsidP="00D36947">
      <w:pPr>
        <w:spacing w:line="360" w:lineRule="auto"/>
      </w:pPr>
      <w:r>
        <w:lastRenderedPageBreak/>
        <w:t>Abstract</w:t>
      </w:r>
    </w:p>
    <w:p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are rarely examined.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 we test for the capacity of creosote bush to influence the pollination of its annual understory</w:t>
      </w:r>
      <w:r w:rsidR="00DC18FB">
        <w:t xml:space="preserve"> during its phenological shift into flowering. Pollinator visitation rates to the phytometer desert dandelion were significantly lower as the understory of creosote bush, and when creosote bush entered into a full bloom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annual and arthropod communities, but negative indirect effects on pollination. </w:t>
      </w:r>
      <w:r w:rsidR="00456772">
        <w:t xml:space="preserve">This study highlights the positive role of </w:t>
      </w:r>
      <w:r w:rsidR="00456772" w:rsidRPr="00456772">
        <w:rPr>
          <w:i/>
        </w:rPr>
        <w:t>L. tridentata</w:t>
      </w:r>
      <w:r w:rsidR="00456772">
        <w:t xml:space="preserve"> as a foundation plant and shows </w:t>
      </w:r>
      <w:r w:rsidR="00954865">
        <w:t>that</w:t>
      </w:r>
      <w:r w:rsidR="00456772">
        <w:t xml:space="preserve"> it</w:t>
      </w:r>
      <w:r w:rsidR="00954865">
        <w:t xml:space="preserve"> engages in </w:t>
      </w:r>
      <w:r w:rsidR="00B17C4D">
        <w:t xml:space="preserve">dynamic </w:t>
      </w:r>
      <w:r w:rsidR="00954865">
        <w:t xml:space="preserve">positive and negative interactions with </w:t>
      </w:r>
      <w:r w:rsidR="00B17C4D">
        <w:t>the surrounding communities</w:t>
      </w:r>
      <w:r w:rsidR="00954865">
        <w:t xml:space="preserve"> simultaneously. </w:t>
      </w:r>
    </w:p>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3F263E" w:rsidRDefault="003F263E" w:rsidP="00FE799E"/>
    <w:p w:rsidR="00D36947" w:rsidRDefault="00D36947" w:rsidP="00FE799E"/>
    <w:p w:rsidR="00FE799E" w:rsidRDefault="00FE799E" w:rsidP="00D36947">
      <w:pPr>
        <w:spacing w:line="360" w:lineRule="auto"/>
      </w:pPr>
      <w:r>
        <w:lastRenderedPageBreak/>
        <w:t>Introduction</w:t>
      </w:r>
    </w:p>
    <w:p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may 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r w:rsidR="001C368F">
        <w:t xml:space="preserve"> and it is posited that their relative importance 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rsidR="00155A6C" w:rsidRDefault="0055316F" w:rsidP="00D36947">
      <w:pPr>
        <w:spacing w:line="360" w:lineRule="auto"/>
      </w:pPr>
      <w:r>
        <w:t xml:space="preserve">The </w:t>
      </w:r>
      <w:r w:rsidR="002420E0">
        <w:t xml:space="preserve">study of </w:t>
      </w:r>
      <w:r w:rsidR="0063198A">
        <w:t xml:space="preserve">the underlying </w:t>
      </w:r>
      <w:r w:rsidR="002420E0">
        <w:t>mechanisms</w:t>
      </w:r>
      <w:r w:rsidR="0063198A">
        <w:t xml:space="preserve"> of</w:t>
      </w:r>
      <w:r w:rsidR="002420E0">
        <w:t xml:space="preserve"> </w:t>
      </w:r>
      <w:r w:rsidR="00766A25">
        <w:t>pollinator-</w:t>
      </w:r>
      <w:r w:rsidR="0063198A">
        <w:t>mediated interactions is dominated by pathways requiring co-blooming.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be larger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r w:rsidR="009154D5">
        <w:t xml:space="preserve">, </w:t>
      </w:r>
      <w:r w:rsidR="00D070CE">
        <w:t xml:space="preserve">or more diverse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ources for foraging pollinators, and may facilitate their</w:t>
      </w:r>
      <w:r w:rsidR="002D48C8">
        <w:t xml:space="preserve"> </w:t>
      </w:r>
      <w:r w:rsidR="00F914AA">
        <w:t xml:space="preserve">co-blooming </w:t>
      </w:r>
      <w:r w:rsidR="00530ED9">
        <w:t xml:space="preserve">annuals </w:t>
      </w:r>
      <w:r w:rsidR="00FF6D5F">
        <w:t>via the</w:t>
      </w:r>
      <w:r w:rsidR="00F914AA">
        <w:t xml:space="preserve"> magnet</w:t>
      </w:r>
      <w:r w:rsidR="00FF6D5F">
        <w:t xml:space="preserve"> species effect</w:t>
      </w:r>
      <w:r w:rsidR="00530ED9">
        <w:t xml:space="preserve">. Magnet species are particularly attractive to pollinators, increasing local pollinator abundances which 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r w:rsidR="009154D5">
        <w:t xml:space="preserve">. </w:t>
      </w:r>
      <w:r w:rsidR="009432EC">
        <w:t xml:space="preserve">Shrubs are salient features of desert scrub ecosystems due their large size and structural complexity relative to ephemerals. Thus they may influence the pollination of their understory via non-floral 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 xml:space="preserve">Alternatively, annuals growing under </w:t>
      </w:r>
      <w:r w:rsidR="0035240C">
        <w:lastRenderedPageBreak/>
        <w:t>shrubs could be physically obscured from foraging pollinators</w:t>
      </w:r>
      <w:r w:rsidR="00A94DFD">
        <w:t xml:space="preserve"> or shaded,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r w:rsidR="003D6EAB">
        <w:t>In forests, p</w:t>
      </w:r>
      <w:r w:rsidR="00C04BF1">
        <w:t xml:space="preserve">ollination rates tend to be higher under canopy gaps </w:t>
      </w:r>
      <w:r w:rsidR="009154D5">
        <w:fldChar w:fldCharType="begin"/>
      </w:r>
      <w:r w:rsidR="009154D5">
        <w: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instrText>
      </w:r>
      <w:r w:rsidR="009154D5">
        <w:fldChar w:fldCharType="separate"/>
      </w:r>
      <w:r w:rsidR="009154D5">
        <w:rPr>
          <w:noProof/>
        </w:rPr>
        <w:t>(</w:t>
      </w:r>
      <w:hyperlink w:anchor="_ENREF_62" w:tooltip="Proctor, 2012 #31" w:history="1">
        <w:r w:rsidR="00172CFB">
          <w:rPr>
            <w:noProof/>
          </w:rPr>
          <w:t>Proctor et al., 2012</w:t>
        </w:r>
      </w:hyperlink>
      <w:r w:rsidR="009154D5">
        <w:rPr>
          <w:noProof/>
        </w:rPr>
        <w:t xml:space="preserve">; </w:t>
      </w:r>
      <w:hyperlink w:anchor="_ENREF_90" w:tooltip="Walters, 1996 #30" w:history="1">
        <w:r w:rsidR="00172CFB">
          <w:rPr>
            <w:noProof/>
          </w:rPr>
          <w:t>Walters and Stiles, 1996</w:t>
        </w:r>
      </w:hyperlink>
      <w:r w:rsidR="009154D5">
        <w:rPr>
          <w:noProof/>
        </w:rPr>
        <w:t>)</w:t>
      </w:r>
      <w:r w:rsidR="009154D5">
        <w:fldChar w:fldCharType="end"/>
      </w:r>
      <w:r w:rsidR="00C04BF1">
        <w:t>.</w:t>
      </w:r>
      <w:r w:rsidR="000F2B2E">
        <w:t xml:space="preserve"> </w:t>
      </w:r>
      <w:r w:rsidR="00B63BCB">
        <w:t>Therefore,</w:t>
      </w:r>
      <w:r w:rsidR="00F914AA">
        <w:t xml:space="preserve"> there is the potential for these indirect interactions to be simultaneously positive and negative.</w:t>
      </w:r>
    </w:p>
    <w:p w:rsidR="000327C0" w:rsidRDefault="00AD184E" w:rsidP="00D36947">
      <w:pPr>
        <w:pStyle w:val="Heading2"/>
        <w:spacing w:line="360" w:lineRule="auto"/>
      </w:pPr>
      <w:r>
        <w:t>The Mojave Desert is a</w:t>
      </w:r>
      <w:r w:rsidR="00A04F3A">
        <w:t xml:space="preserve"> </w:t>
      </w:r>
      <w:r>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t xml:space="preserve">. </w:t>
      </w:r>
      <w:r w:rsidR="00A04F3A">
        <w:t>Despite the celebrated biodiversity of South Western deserts</w:t>
      </w:r>
      <w:r w:rsidR="0020791B">
        <w:t>,</w:t>
      </w:r>
      <w:r w:rsidR="00A04F3A">
        <w:t xml:space="preserve"> pollinator-mediated interactions in this region</w:t>
      </w:r>
      <w:r w:rsidR="00DB72E3">
        <w:t xml:space="preserve"> are </w:t>
      </w:r>
      <w:r w:rsidR="00434127">
        <w:t>largely un</w:t>
      </w:r>
      <w:r w:rsidR="00DB72E3">
        <w:t>studied</w:t>
      </w:r>
      <w:r w:rsidR="007009F1">
        <w:t xml:space="preserve">. </w:t>
      </w:r>
      <w:r w:rsidR="00F92356">
        <w:t xml:space="preserve">Intraspecific density has been shown to </w:t>
      </w:r>
      <w:r w:rsidR="00F265F4">
        <w:t>benefit the pollination of</w:t>
      </w:r>
      <w:r w:rsidR="00F92356">
        <w:t xml:space="preserve"> desert mustard</w:t>
      </w:r>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r w:rsidR="007009F1">
        <w:t>, however</w:t>
      </w:r>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and the Senita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r w:rsidR="007F31D9">
        <w:t>,</w:t>
      </w:r>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r w:rsidR="00923743">
        <w:t>Therefore, despite the</w:t>
      </w:r>
      <w:r w:rsidR="007630B0">
        <w:t xml:space="preserve"> high number of </w:t>
      </w:r>
      <w:r w:rsidR="00C462C7">
        <w:t>specialists</w:t>
      </w:r>
      <w:r w:rsidR="007630B0">
        <w:t xml:space="preserve"> </w:t>
      </w:r>
      <w:r w:rsidR="008D167B">
        <w:t xml:space="preserve">present </w:t>
      </w:r>
      <w:r w:rsidR="007630B0">
        <w:t xml:space="preserve">there is </w:t>
      </w:r>
      <w:r w:rsidR="008D167B">
        <w:t>the potential for</w:t>
      </w:r>
      <w:r w:rsidR="007630B0">
        <w:t xml:space="preserve"> interactions between </w:t>
      </w:r>
      <w:r w:rsidR="008D167B">
        <w:t xml:space="preserve">most </w:t>
      </w:r>
      <w:r w:rsidR="003F074A">
        <w:t xml:space="preserve">plant </w:t>
      </w:r>
      <w:r w:rsidR="007630B0">
        <w:t xml:space="preserve">species. </w:t>
      </w:r>
    </w:p>
    <w:p w:rsidR="000327C0" w:rsidRPr="000327C0" w:rsidRDefault="000327C0" w:rsidP="00D36947">
      <w:pPr>
        <w:spacing w:after="0" w:line="360" w:lineRule="auto"/>
      </w:pPr>
    </w:p>
    <w:p w:rsidR="00820FFD" w:rsidRPr="008171DA" w:rsidRDefault="000327C0" w:rsidP="00D36947">
      <w:pPr>
        <w:spacing w:line="360" w:lineRule="auto"/>
      </w:pPr>
      <w:r>
        <w:t xml:space="preserve">Creosote bush, </w:t>
      </w:r>
      <w:r w:rsidR="00920325" w:rsidRPr="00DD0851">
        <w:rPr>
          <w:i/>
        </w:rPr>
        <w:t>Larrea tridentata</w:t>
      </w:r>
      <w:r>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Betancourt et al., 1990</w:t>
        </w:r>
      </w:hyperlink>
      <w:r w:rsidR="00A84D31">
        <w:rPr>
          <w:noProof/>
        </w:rPr>
        <w:t>)</w:t>
      </w:r>
      <w:r w:rsidR="00A84D31">
        <w:fldChar w:fldCharType="end"/>
      </w:r>
      <w:r w:rsidR="00206724">
        <w:t>. H</w:t>
      </w:r>
      <w:r w:rsidR="00010ACB">
        <w:t>ighly tolerant to temp</w:t>
      </w:r>
      <w:r w:rsidR="00A84D31">
        <w:t xml:space="preserve">erature extremes, </w:t>
      </w:r>
      <w:r w:rsidR="00206724">
        <w:t>it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r w:rsidR="00206724" w:rsidRPr="00206724">
        <w:rPr>
          <w:i/>
        </w:rPr>
        <w:t>L. tridentata</w:t>
      </w:r>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xml:space="preserve">. The associated pollinator guilds are highly variable over space and most shrubs </w:t>
      </w:r>
      <w:r w:rsidR="000B7824">
        <w:t xml:space="preserve">will </w:t>
      </w:r>
      <w:r w:rsidR="00920325">
        <w:t xml:space="preserve">only interact with 20% of </w:t>
      </w:r>
      <w:r w:rsidR="000B7824">
        <w:t>their full</w:t>
      </w:r>
      <w:r w:rsidR="00920325">
        <w:t xml:space="preserve"> guild, but there is a stable</w:t>
      </w:r>
      <w:r w:rsidR="00010ACB">
        <w:t xml:space="preserve"> core guild</w:t>
      </w:r>
      <w:r w:rsidR="00820FFD">
        <w:t xml:space="preserve"> </w:t>
      </w:r>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t>e of the most reliable flowerer</w:t>
      </w:r>
      <w:r w:rsidR="00010ACB">
        <w:t>s in the Mojave</w:t>
      </w:r>
      <w:r w:rsidR="00A602F9">
        <w:t xml:space="preserve"> as </w:t>
      </w:r>
      <w:r w:rsidR="00A602F9">
        <w:lastRenderedPageBreak/>
        <w:t>it has one of t</w:t>
      </w:r>
      <w:r w:rsidR="00926CA1">
        <w:t>he lowest rainfall thresholds</w:t>
      </w:r>
      <w:r w:rsidR="00AA3928">
        <w:t xml:space="preserve"> </w:t>
      </w:r>
      <w:r w:rsidR="008171DA">
        <w:t xml:space="preserve">(12 mm) </w:t>
      </w:r>
      <w:r>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t</w:t>
      </w:r>
      <w:r w:rsidR="00010ACB">
        <w:t xml:space="preserve">herefore </w:t>
      </w:r>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acts as a nurse shr</w:t>
      </w:r>
      <w:r w:rsidR="00F73E0E">
        <w:t xml:space="preserve">ub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r w:rsidR="00615593">
        <w:t xml:space="preserve">as well as facilitating </w:t>
      </w:r>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r w:rsidR="008171DA">
        <w:t xml:space="preserve">, but </w:t>
      </w:r>
      <w:r w:rsidR="00920325">
        <w:t xml:space="preserve">competes with some species through allelopathy </w:t>
      </w:r>
      <w:r w:rsidR="00820FFD">
        <w:fldChar w:fldCharType="begin"/>
      </w:r>
      <w:r w:rsidR="00820FFD">
        <w: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instrText>
      </w:r>
      <w:r w:rsidR="00820FFD">
        <w:fldChar w:fldCharType="separate"/>
      </w:r>
      <w:r w:rsidR="00820FFD">
        <w:rPr>
          <w:noProof/>
        </w:rPr>
        <w:t>(</w:t>
      </w:r>
      <w:hyperlink w:anchor="_ENREF_45" w:tooltip="Mahall, 1991 #244" w:history="1">
        <w:r w:rsidR="00172CFB">
          <w:rPr>
            <w:noProof/>
          </w:rPr>
          <w:t>Mahall and Callaway, 1991</w:t>
        </w:r>
      </w:hyperlink>
      <w:r w:rsidR="00820FFD">
        <w:rPr>
          <w:noProof/>
        </w:rPr>
        <w:t xml:space="preserve">, </w:t>
      </w:r>
      <w:hyperlink w:anchor="_ENREF_46" w:tooltip="Mahall, 1992 #1" w:history="1">
        <w:r w:rsidR="00172CFB">
          <w:rPr>
            <w:noProof/>
          </w:rPr>
          <w:t>1992</w:t>
        </w:r>
      </w:hyperlink>
      <w:r w:rsidR="00820FFD">
        <w:rPr>
          <w:noProof/>
        </w:rPr>
        <w:t>)</w:t>
      </w:r>
      <w:r w:rsidR="00820FFD">
        <w:fldChar w:fldCharType="end"/>
      </w:r>
      <w:r w:rsidR="00820FFD">
        <w:t xml:space="preserve">. </w:t>
      </w:r>
    </w:p>
    <w:p w:rsidR="000C57C4" w:rsidRDefault="007F64F6" w:rsidP="00D36947">
      <w:pPr>
        <w:spacing w:line="360" w:lineRule="auto"/>
      </w:pPr>
      <w:r>
        <w:t xml:space="preserve">A plant’s life stage can alter the balance of facilitative and competitive interactions </w: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 </w:instrText>
      </w:r>
      <w:r w:rsidR="003A3F0D">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instrText xml:space="preserve"> ADDIN EN.CITE.DATA </w:instrText>
      </w:r>
      <w:r w:rsidR="003A3F0D">
        <w:fldChar w:fldCharType="end"/>
      </w:r>
      <w:r w:rsidR="003A3F0D">
        <w:fldChar w:fldCharType="separate"/>
      </w:r>
      <w:r w:rsidR="003A3F0D">
        <w:rPr>
          <w:noProof/>
        </w:rPr>
        <w:t>(</w:t>
      </w:r>
      <w:hyperlink w:anchor="_ENREF_10" w:tooltip="Bruno, 2003 #25" w:history="1">
        <w:r w:rsidR="00172CFB">
          <w:rPr>
            <w:noProof/>
          </w:rPr>
          <w:t>Bruno et al., 2003</w:t>
        </w:r>
      </w:hyperlink>
      <w:r w:rsidR="003A3F0D">
        <w:rPr>
          <w:noProof/>
        </w:rPr>
        <w:t xml:space="preserve">; </w:t>
      </w:r>
      <w:hyperlink w:anchor="_ENREF_12" w:tooltip="Callaway, 1997 #132" w:history="1">
        <w:r w:rsidR="00172CFB">
          <w:rPr>
            <w:noProof/>
          </w:rPr>
          <w:t>Callaway and Walker, 1997a</w:t>
        </w:r>
      </w:hyperlink>
      <w:r w:rsidR="003A3F0D">
        <w:rPr>
          <w:noProof/>
        </w:rPr>
        <w:t xml:space="preserve">; </w:t>
      </w:r>
      <w:hyperlink w:anchor="_ENREF_63" w:tooltip="Pugnaire, 1996 #19" w:history="1">
        <w:r w:rsidR="00172CFB">
          <w:rPr>
            <w:noProof/>
          </w:rPr>
          <w:t>Pugnaire et al., 1996</w:t>
        </w:r>
      </w:hyperlink>
      <w:r w:rsidR="003A3F0D">
        <w:rPr>
          <w:noProof/>
        </w:rPr>
        <w:t xml:space="preserve">; </w:t>
      </w:r>
      <w:hyperlink w:anchor="_ENREF_69" w:tooltip="Rousset, 2000 #246" w:history="1">
        <w:r w:rsidR="00172CFB">
          <w:rPr>
            <w:noProof/>
          </w:rPr>
          <w:t>Rousset and Lepart, 2000</w:t>
        </w:r>
      </w:hyperlink>
      <w:r w:rsidR="003A3F0D">
        <w:rPr>
          <w:noProof/>
        </w:rPr>
        <w:t xml:space="preserve">; </w:t>
      </w:r>
      <w:hyperlink w:anchor="_ENREF_85" w:tooltip="Valiente-Banuet, 1991 #143" w:history="1">
        <w:r w:rsidR="00172CFB">
          <w:rPr>
            <w:noProof/>
          </w:rPr>
          <w:t>Valiente-Banuet et al., 1991</w:t>
        </w:r>
      </w:hyperlink>
      <w:r w:rsidR="003A3F0D">
        <w:rPr>
          <w:noProof/>
        </w:rPr>
        <w:t>)</w:t>
      </w:r>
      <w:r w:rsidR="003A3F0D">
        <w:fldChar w:fldCharType="end"/>
      </w:r>
      <w:r w:rsidR="00B73292">
        <w:t xml:space="preserve">. </w:t>
      </w:r>
      <w:r>
        <w:t>The majority of research on plan</w:t>
      </w:r>
      <w:r w:rsidR="00A02D68">
        <w:t>t-plant interactions focusses on a single</w:t>
      </w:r>
      <w:r>
        <w:t xml:space="preserve"> life stage </w:t>
      </w:r>
      <w:r w:rsidR="00B73292">
        <w:fldChar w:fldCharType="begin"/>
      </w:r>
      <w:r w:rsidR="00B73292">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fldChar w:fldCharType="separate"/>
      </w:r>
      <w:r w:rsidR="00B73292">
        <w:rPr>
          <w:noProof/>
        </w:rPr>
        <w:t>(</w:t>
      </w:r>
      <w:hyperlink w:anchor="_ENREF_32" w:tooltip="Goldberg, 2001 #247" w:history="1">
        <w:r w:rsidR="00172CFB">
          <w:rPr>
            <w:noProof/>
          </w:rPr>
          <w:t>Goldberg et al., 2001</w:t>
        </w:r>
      </w:hyperlink>
      <w:r w:rsidR="00B73292">
        <w:rPr>
          <w:noProof/>
        </w:rPr>
        <w:t xml:space="preserve">; </w:t>
      </w:r>
      <w:hyperlink w:anchor="_ENREF_83" w:tooltip="Tielbörger, 2000 #20" w:history="1">
        <w:r w:rsidR="00172CFB">
          <w:rPr>
            <w:noProof/>
          </w:rPr>
          <w:t>Tielbörger and Kadmon, 2000</w:t>
        </w:r>
      </w:hyperlink>
      <w:r w:rsidR="00B73292">
        <w:rPr>
          <w:noProof/>
        </w:rPr>
        <w:t>)</w:t>
      </w:r>
      <w:r w:rsidR="00B73292">
        <w:fldChar w:fldCharType="end"/>
      </w:r>
      <w:r w:rsidR="00B73292">
        <w:t xml:space="preserve"> </w:t>
      </w:r>
      <w:r>
        <w:t xml:space="preserve">which is inadequate for making conclusions about fitness levels within populations </w:t>
      </w:r>
      <w:r w:rsidR="00B73292">
        <w:fldChar w:fldCharType="begin"/>
      </w:r>
      <w:r w:rsidR="00B73292">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fldChar w:fldCharType="separate"/>
      </w:r>
      <w:r w:rsidR="00B73292">
        <w:rPr>
          <w:noProof/>
        </w:rPr>
        <w:t>(</w:t>
      </w:r>
      <w:hyperlink w:anchor="_ENREF_50" w:tooltip="McPeek, 1998 #248" w:history="1">
        <w:r w:rsidR="00172CFB">
          <w:rPr>
            <w:noProof/>
          </w:rPr>
          <w:t>McPeek and Peckarsky, 1998</w:t>
        </w:r>
      </w:hyperlink>
      <w:r w:rsidR="00B73292">
        <w:rPr>
          <w:noProof/>
        </w:rPr>
        <w:t>)</w:t>
      </w:r>
      <w:r w:rsidR="00B73292">
        <w:fldChar w:fldCharType="end"/>
      </w:r>
      <w:r w:rsidR="00B73292">
        <w:t xml:space="preserve">. </w:t>
      </w:r>
      <w:r>
        <w:t>For example, within some nurse plant systems young plants are facilitated during establishment</w:t>
      </w:r>
      <w:r w:rsidR="00C43D3C">
        <w:t>, but later compete with their nurses</w:t>
      </w:r>
      <w:r>
        <w:t xml:space="preserve"> for re</w:t>
      </w:r>
      <w:r w:rsidR="00B73292">
        <w:t xml:space="preserve">sources </w:t>
      </w:r>
      <w:r w:rsidR="00B73292">
        <w:fldChar w:fldCharType="begin"/>
      </w:r>
      <w:r w:rsidR="00B73292">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fldChar w:fldCharType="separate"/>
      </w:r>
      <w:r w:rsidR="00B73292">
        <w:rPr>
          <w:noProof/>
        </w:rPr>
        <w:t>(</w:t>
      </w:r>
      <w:hyperlink w:anchor="_ENREF_93" w:tooltip="Yeaton, 1978 #15" w:history="1">
        <w:r w:rsidR="00172CFB">
          <w:rPr>
            <w:noProof/>
          </w:rPr>
          <w:t>Yeaton, 1978</w:t>
        </w:r>
      </w:hyperlink>
      <w:r w:rsidR="00B73292">
        <w:rPr>
          <w:noProof/>
        </w:rPr>
        <w:t>)</w:t>
      </w:r>
      <w:r w:rsidR="00B73292">
        <w:fldChar w:fldCharType="end"/>
      </w:r>
      <w:r>
        <w:t>.</w:t>
      </w:r>
      <w:r w:rsidR="008171DA">
        <w:t xml:space="preserve"> For plants, the shift from vegetative growth to reproductive growth is a major event.</w:t>
      </w:r>
      <w:r>
        <w:t xml:space="preserve"> Foundation plants have benefits that can scale to trophic levels beyond the</w:t>
      </w:r>
      <w:r w:rsidR="009C654E">
        <w:t xml:space="preserve">ir surrounding plant community </w:t>
      </w:r>
      <w:r w:rsidR="009C654E">
        <w:fldChar w:fldCharType="begin"/>
      </w:r>
      <w:r w:rsidR="009C654E">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fldChar w:fldCharType="separate"/>
      </w:r>
      <w:r w:rsidR="009C654E">
        <w:rPr>
          <w:noProof/>
        </w:rPr>
        <w:t>(</w:t>
      </w:r>
      <w:hyperlink w:anchor="_ENREF_66" w:tooltip="Reid, 2012 #58" w:history="1">
        <w:r w:rsidR="00172CFB">
          <w:rPr>
            <w:noProof/>
          </w:rPr>
          <w:t>Reid and Lortie, 2012</w:t>
        </w:r>
      </w:hyperlink>
      <w:r w:rsidR="009C654E">
        <w:rPr>
          <w:noProof/>
        </w:rPr>
        <w:t xml:space="preserve">; </w:t>
      </w:r>
      <w:hyperlink w:anchor="_ENREF_72" w:tooltip="Ruttan, 2016 #249" w:history="1">
        <w:r w:rsidR="00172CFB">
          <w:rPr>
            <w:noProof/>
          </w:rPr>
          <w:t>Ruttan et al., 2016</w:t>
        </w:r>
      </w:hyperlink>
      <w:r w:rsidR="009C654E">
        <w:rPr>
          <w:noProof/>
        </w:rPr>
        <w:t>)</w:t>
      </w:r>
      <w:r w:rsidR="009C654E">
        <w:fldChar w:fldCharType="end"/>
      </w:r>
      <w:r>
        <w:t xml:space="preserve">, however if these benefits change with reproductive shifts is not known. </w:t>
      </w:r>
    </w:p>
    <w:p w:rsidR="000C57C4" w:rsidRPr="00DD7896" w:rsidRDefault="00EB0988" w:rsidP="00D36947">
      <w:pPr>
        <w:spacing w:line="360" w:lineRule="auto"/>
      </w:pPr>
      <w:r>
        <w:t>The aim of this study was to</w:t>
      </w:r>
      <w:r w:rsidR="00510EFE">
        <w:t xml:space="preserve"> test for the influence</w:t>
      </w:r>
      <w:r w:rsidR="00643D97">
        <w:t xml:space="preserve"> of </w:t>
      </w:r>
      <w:r w:rsidR="00643D97" w:rsidRPr="0034237C">
        <w:rPr>
          <w:i/>
        </w:rPr>
        <w:t>Larrea tridentata</w:t>
      </w:r>
      <w:r w:rsidR="00643D97">
        <w:t xml:space="preserve"> on the pollination of the</w:t>
      </w:r>
      <w:r w:rsidR="00510EFE">
        <w:t xml:space="preserve"> commonly co-occurring annual </w:t>
      </w:r>
      <w:r w:rsidR="00510EFE" w:rsidRPr="0034237C">
        <w:rPr>
          <w:i/>
        </w:rPr>
        <w:t>Malacothrix glabrata</w:t>
      </w:r>
      <w:r w:rsidR="00B55CE3">
        <w:t xml:space="preserve">. </w:t>
      </w:r>
      <w:r w:rsidR="0056306C" w:rsidRPr="004B603E">
        <w:rPr>
          <w:i/>
        </w:rPr>
        <w:t>L</w:t>
      </w:r>
      <w:r w:rsidR="004B603E" w:rsidRPr="004B603E">
        <w:rPr>
          <w:i/>
        </w:rPr>
        <w:t>. tridentata</w:t>
      </w:r>
      <w:r w:rsidR="004B603E">
        <w:t xml:space="preserve"> </w:t>
      </w:r>
      <w:r w:rsidR="0056306C">
        <w:t xml:space="preserve">and </w:t>
      </w:r>
      <w:r w:rsidR="0056306C" w:rsidRPr="004B603E">
        <w:rPr>
          <w:i/>
        </w:rPr>
        <w:t>M</w:t>
      </w:r>
      <w:r w:rsidR="004B603E" w:rsidRPr="004B603E">
        <w:rPr>
          <w:i/>
        </w:rPr>
        <w:t>. glabrata</w:t>
      </w:r>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r w:rsidR="00643D97">
        <w:t>, making</w:t>
      </w:r>
      <w:r w:rsidR="0056306C">
        <w:t xml:space="preserve"> it an interesting</w:t>
      </w:r>
      <w:r w:rsidR="00B55CE3">
        <w:t xml:space="preserve"> and relevant</w:t>
      </w:r>
      <w:r w:rsidR="0056306C">
        <w:t xml:space="preserve"> system </w:t>
      </w:r>
      <w:r w:rsidR="00B55CE3">
        <w:t>to model</w:t>
      </w:r>
      <w:r w:rsidR="0056306C">
        <w:t xml:space="preserve"> changes in interactions </w:t>
      </w:r>
      <w:r w:rsidR="00766A25">
        <w:t>within</w:t>
      </w:r>
      <w:r w:rsidR="004B603E">
        <w:t xml:space="preserve"> a season</w:t>
      </w:r>
      <w:r w:rsidR="0056306C">
        <w:t xml:space="preserve">. </w:t>
      </w:r>
      <w:r w:rsidR="00B55CE3">
        <w:t>The main 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rsidR="002F7980" w:rsidRDefault="00CE2719" w:rsidP="00D36947">
      <w:pPr>
        <w:spacing w:line="360" w:lineRule="auto"/>
        <w:rPr>
          <w:b/>
        </w:rPr>
      </w:pPr>
      <w:r w:rsidRPr="0007112A">
        <w:rPr>
          <w:b/>
        </w:rPr>
        <w:lastRenderedPageBreak/>
        <w:t>Methods</w:t>
      </w:r>
    </w:p>
    <w:p w:rsidR="00CE0A81" w:rsidRPr="00CE0A81" w:rsidRDefault="00CE0A81" w:rsidP="00D36947">
      <w:pPr>
        <w:spacing w:line="360" w:lineRule="auto"/>
        <w:rPr>
          <w:u w:val="single"/>
        </w:rPr>
      </w:pPr>
      <w:r w:rsidRPr="00CE0A81">
        <w:rPr>
          <w:u w:val="single"/>
        </w:rPr>
        <w:t>Study site</w:t>
      </w:r>
    </w:p>
    <w:p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rsidR="00CE0A81" w:rsidRDefault="00427CBB" w:rsidP="00D36947">
      <w:pPr>
        <w:spacing w:line="360" w:lineRule="auto"/>
      </w:pPr>
      <w:r>
        <w:rPr>
          <w:u w:val="single"/>
        </w:rPr>
        <w:t>Phytometer species</w:t>
      </w:r>
    </w:p>
    <w:p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rsidR="00356BDB" w:rsidRPr="00945494" w:rsidRDefault="00727557" w:rsidP="00D36947">
      <w:pPr>
        <w:spacing w:line="360" w:lineRule="auto"/>
        <w:rPr>
          <w:u w:val="single"/>
        </w:rPr>
      </w:pPr>
      <w:r>
        <w:rPr>
          <w:u w:val="single"/>
        </w:rPr>
        <w:t>Study design</w:t>
      </w:r>
    </w:p>
    <w:p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 xml:space="preserve">full </w:t>
      </w:r>
      <w:r w:rsidR="004F1A07">
        <w:lastRenderedPageBreak/>
        <w:t>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w:t>
      </w:r>
      <w:r w:rsidR="00C2177F">
        <w:t xml:space="preserve"> repeated measures study design was chosen to measure relative changes in interactions with natural shrub phenology and to reduce between shrub variability.</w:t>
      </w:r>
    </w:p>
    <w:p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rsidR="004D3DEB" w:rsidRDefault="00706E5F" w:rsidP="00D36947">
      <w:pPr>
        <w:spacing w:line="360" w:lineRule="auto"/>
      </w:pPr>
      <w:r>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when a flying visitor touched a flower</w:t>
      </w:r>
      <w:r w:rsidR="009B777A">
        <w:t xml:space="preserve"> and ending</w:t>
      </w:r>
      <w:r w:rsidR="009B777A">
        <w:t xml:space="preserve"> when the visitor left</w:t>
      </w:r>
      <w:r w:rsidR="009B777A">
        <w:t xml:space="preserve">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 xml:space="preserve">flowers visited per foraging bout divided </w:t>
      </w:r>
      <w:r w:rsidR="004D3DEB">
        <w:lastRenderedPageBreak/>
        <w:t>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w:t>
      </w:r>
      <w:r w:rsidR="00EB08B5">
        <w:lastRenderedPageBreak/>
        <w:t xml:space="preserve">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bookmarkStart w:id="0" w:name="_GoBack"/>
      <w:bookmarkEnd w:id="0"/>
      <w:r w:rsidR="0045649C">
        <w:t xml:space="preserve">. </w:t>
      </w:r>
      <w:r w:rsidR="00D87350">
        <w:t xml:space="preserve">All </w:t>
      </w:r>
      <w:r w:rsidR="00C115B4">
        <w:t>specimens are located within the</w:t>
      </w:r>
      <w:r w:rsidR="00D87350">
        <w:t xml:space="preserve"> Lortie Lab at York University.</w:t>
      </w:r>
      <w:r w:rsidR="00A4543D">
        <w:t xml:space="preserve"> </w:t>
      </w:r>
    </w:p>
    <w:p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day for 10 days when blooming (15 hours). </w:t>
      </w:r>
      <w:r w:rsidR="003F7F68">
        <w:t>The s</w:t>
      </w:r>
      <w:r w:rsidR="00C251F0">
        <w:t>ame focal shrubs</w:t>
      </w:r>
      <w:r w:rsidR="003F7F68">
        <w:t xml:space="preserve"> were observed, but</w:t>
      </w:r>
      <w:r>
        <w:t xml:space="preserve"> on differen</w:t>
      </w:r>
      <w:r w:rsidR="00C251F0">
        <w:t>t days than pan trap sampling and</w:t>
      </w:r>
      <w:r>
        <w:t xml:space="preserve"> video</w:t>
      </w:r>
      <w:r w:rsidR="003F7F68">
        <w:t xml:space="preserve"> </w:t>
      </w:r>
      <w:r>
        <w:t xml:space="preserve"> trials.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rsidR="00BF177E" w:rsidRPr="00BF177E" w:rsidRDefault="00BF177E" w:rsidP="00D36947">
      <w:pPr>
        <w:spacing w:line="360" w:lineRule="auto"/>
      </w:pPr>
      <w:r>
        <w:rPr>
          <w:u w:val="single"/>
        </w:rPr>
        <w:t>Microclimates</w:t>
      </w:r>
    </w:p>
    <w:p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rsidR="009934EB" w:rsidRPr="00E20414" w:rsidRDefault="009934EB" w:rsidP="00D36947">
      <w:pPr>
        <w:spacing w:line="360" w:lineRule="auto"/>
        <w:rPr>
          <w:u w:val="single"/>
        </w:rPr>
      </w:pPr>
      <w:r w:rsidRPr="00E20414">
        <w:rPr>
          <w:u w:val="single"/>
        </w:rPr>
        <w:t xml:space="preserve">Pollen deposition </w:t>
      </w:r>
    </w:p>
    <w:p w:rsidR="00A11E7D"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9934EB">
        <w:t xml:space="preserve">. </w:t>
      </w:r>
      <w:r w:rsidR="00C251F0">
        <w:t xml:space="preserve">It was necessary to use a different site because </w:t>
      </w:r>
      <w:r w:rsidR="00C251F0" w:rsidRPr="00C251F0">
        <w:rPr>
          <w:i/>
        </w:rPr>
        <w:t xml:space="preserve">M. glabrata </w:t>
      </w:r>
      <w:r w:rsidR="00C251F0">
        <w:t xml:space="preserve">populations at the main site were too small. Between </w:t>
      </w:r>
      <w:r w:rsidR="00D41A4E">
        <w:t>April 31</w:t>
      </w:r>
      <w:r w:rsidR="00D41A4E" w:rsidRPr="00D41A4E">
        <w:rPr>
          <w:vertAlign w:val="superscript"/>
        </w:rPr>
        <w:t>st</w:t>
      </w:r>
      <w:r w:rsidR="00D41A4E">
        <w:t xml:space="preserve"> and May 2</w:t>
      </w:r>
      <w:r w:rsidR="00D41A4E" w:rsidRPr="00D41A4E">
        <w:rPr>
          <w:vertAlign w:val="superscript"/>
        </w:rPr>
        <w:t>nd</w:t>
      </w:r>
      <w:r w:rsidR="00D41A4E">
        <w:t xml:space="preserve">, </w:t>
      </w:r>
      <w:r w:rsidR="009934EB">
        <w:t xml:space="preserve">I collected three stigma from each of three flowers from one </w:t>
      </w:r>
      <w:r w:rsidR="009934EB" w:rsidRPr="0010779D">
        <w:rPr>
          <w:i/>
        </w:rPr>
        <w:t>M</w:t>
      </w:r>
      <w:r w:rsidRPr="0010779D">
        <w:rPr>
          <w:i/>
        </w:rPr>
        <w:t>. glabrata</w:t>
      </w:r>
      <w:r w:rsidR="00D41A4E">
        <w:t xml:space="preserve"> (nine stigma</w:t>
      </w:r>
      <w:r w:rsidR="009934EB">
        <w:t xml:space="preserve"> per plant) growing each of under the dripline and in a nearby open area, 298 in total. Only 13 pairs were tested because a heatwave followed by a wind storm</w:t>
      </w:r>
      <w:r>
        <w:t xml:space="preserve"> triggered all </w:t>
      </w:r>
      <w:r w:rsidRPr="0010779D">
        <w:rPr>
          <w:i/>
        </w:rPr>
        <w:t>M. glabrata</w:t>
      </w:r>
      <w:r>
        <w:t xml:space="preserve"> to go to seed. </w:t>
      </w:r>
    </w:p>
    <w:p w:rsidR="009934EB" w:rsidRDefault="0010779D" w:rsidP="00D36947">
      <w:pPr>
        <w:spacing w:line="360" w:lineRule="auto"/>
      </w:pPr>
      <w:r>
        <w:lastRenderedPageBreak/>
        <w:t>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rsidR="0019001B" w:rsidRPr="0018395C" w:rsidRDefault="0018395C" w:rsidP="00D36947">
      <w:pPr>
        <w:tabs>
          <w:tab w:val="left" w:pos="1335"/>
        </w:tabs>
        <w:spacing w:line="360" w:lineRule="auto"/>
        <w:rPr>
          <w:u w:val="single"/>
        </w:rPr>
      </w:pPr>
      <w:r>
        <w:rPr>
          <w:u w:val="single"/>
        </w:rPr>
        <w:t>Statistical Analysis</w:t>
      </w:r>
    </w:p>
    <w:p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foraging bouts (visits to plant) 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to </w:t>
      </w:r>
      <w:r w:rsidR="00025219">
        <w:t xml:space="preserve">each </w:t>
      </w:r>
      <w:r w:rsidR="00400D11">
        <w:t>base model (micro</w:t>
      </w:r>
      <w:r w:rsidR="00D00CEA">
        <w:t xml:space="preserve">site + blooming + flowers.pot). </w:t>
      </w:r>
      <w:r w:rsidR="000A01F2">
        <w:t xml:space="preserve"> </w:t>
      </w:r>
    </w:p>
    <w:p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w:t>
      </w:r>
      <w:r w:rsidR="00E42D05">
        <w:lastRenderedPageBreak/>
        <w:t xml:space="preserve">response variable. </w:t>
      </w:r>
      <w:r w:rsidR="00D4745C">
        <w:t xml:space="preserve">Least-squares post hoc tests (lsmeans) were used on any significant interactions. </w:t>
      </w:r>
    </w:p>
    <w:p w:rsidR="002E1596" w:rsidRPr="003D576D" w:rsidRDefault="009D294B" w:rsidP="00D36947">
      <w:pPr>
        <w:tabs>
          <w:tab w:val="left" w:pos="1335"/>
        </w:tabs>
        <w:spacing w:line="360" w:lineRule="auto"/>
        <w:rPr>
          <w:u w:val="single"/>
        </w:rPr>
      </w:pPr>
      <w:r w:rsidRPr="003D576D">
        <w:rPr>
          <w:u w:val="single"/>
        </w:rPr>
        <w:t>Positive influences on other communities</w:t>
      </w:r>
    </w:p>
    <w:p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rsidR="00443C1E" w:rsidRDefault="00443C1E" w:rsidP="00D36947">
      <w:pPr>
        <w:spacing w:line="360" w:lineRule="auto"/>
        <w:rPr>
          <w:u w:val="single"/>
        </w:rPr>
      </w:pPr>
      <w:r w:rsidRPr="0018395C">
        <w:rPr>
          <w:u w:val="single"/>
        </w:rPr>
        <w:t>Pollen</w:t>
      </w:r>
      <w:r w:rsidR="00F46593">
        <w:rPr>
          <w:u w:val="single"/>
        </w:rPr>
        <w:t xml:space="preserve"> Deposition</w:t>
      </w:r>
    </w:p>
    <w:p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as a random effect.</w:t>
      </w:r>
    </w:p>
    <w:p w:rsidR="00F861C6" w:rsidRPr="007C7338" w:rsidRDefault="0015677D" w:rsidP="00D36947">
      <w:pPr>
        <w:spacing w:line="360" w:lineRule="auto"/>
        <w:rPr>
          <w:u w:val="single"/>
        </w:rPr>
      </w:pPr>
      <w:r>
        <w:rPr>
          <w:u w:val="single"/>
        </w:rPr>
        <w:t>Ecological effects</w:t>
      </w:r>
    </w:p>
    <w:p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Pr="00F46593">
        <w:rPr>
          <w:i/>
        </w:rPr>
        <w:t>to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 xml:space="preserve">To determine if the effect was significantly different from 0, </w:t>
      </w:r>
      <w:r w:rsidR="00323ECC">
        <w:lastRenderedPageBreak/>
        <w:t>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rsidR="004540D2" w:rsidRDefault="00D701FD" w:rsidP="00D36947">
      <w:pPr>
        <w:spacing w:line="360" w:lineRule="auto"/>
        <w:rPr>
          <w:u w:val="single"/>
        </w:rPr>
      </w:pPr>
      <w:r w:rsidRPr="00D701FD">
        <w:rPr>
          <w:u w:val="single"/>
        </w:rPr>
        <w:t>Climate amelioration</w:t>
      </w:r>
    </w:p>
    <w:p w:rsidR="00D701FD" w:rsidRPr="00D701FD"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rsidR="004540D2" w:rsidRDefault="004540D2" w:rsidP="00D36947">
      <w:pPr>
        <w:spacing w:line="360" w:lineRule="auto"/>
        <w:rPr>
          <w:b/>
        </w:rPr>
      </w:pPr>
    </w:p>
    <w:p w:rsidR="007638E6" w:rsidRPr="00AE7363" w:rsidRDefault="007638E6" w:rsidP="00D36947">
      <w:pPr>
        <w:spacing w:line="360" w:lineRule="auto"/>
        <w:rPr>
          <w:b/>
        </w:rPr>
      </w:pPr>
      <w:r w:rsidRPr="00AE7363">
        <w:rPr>
          <w:b/>
        </w:rPr>
        <w:t>Results</w:t>
      </w:r>
    </w:p>
    <w:p w:rsidR="0001769C" w:rsidRPr="00FD1DD7" w:rsidRDefault="0009574D" w:rsidP="00D36947">
      <w:pPr>
        <w:spacing w:line="360" w:lineRule="auto"/>
        <w:rPr>
          <w:i/>
        </w:rPr>
      </w:pPr>
      <w:r>
        <w:rPr>
          <w:u w:val="single"/>
        </w:rPr>
        <w:t>Pollinator visitation</w:t>
      </w:r>
      <w:r w:rsidR="00FD1DD7">
        <w:rPr>
          <w:u w:val="single"/>
        </w:rPr>
        <w:t xml:space="preserve"> to phytometer</w:t>
      </w:r>
    </w:p>
    <w:p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rsidR="00FD1DD7" w:rsidRDefault="00BE67B9" w:rsidP="00D36947">
      <w:pPr>
        <w:spacing w:line="360" w:lineRule="auto"/>
      </w:pPr>
      <w:r w:rsidRPr="009377C8">
        <w:t xml:space="preserve">There was no significant influence </w:t>
      </w:r>
      <w:r w:rsidR="005F5B8B">
        <w:t>of heterospecific shrub blooming density on foraging bout frequency or total flowers visited. The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p>
    <w:p w:rsidR="00BF5C6A" w:rsidRDefault="005A0088" w:rsidP="00D36947">
      <w:pPr>
        <w:spacing w:line="360" w:lineRule="auto"/>
      </w:pPr>
      <w:r w:rsidRPr="009377C8">
        <w:t>There was a significant correlation between flowers visited per hour 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rsidR="00502C85" w:rsidRDefault="00805752" w:rsidP="00D36947">
      <w:pPr>
        <w:spacing w:line="360" w:lineRule="auto"/>
      </w:pPr>
      <w:r w:rsidRPr="00805752">
        <w:lastRenderedPageBreak/>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rsidR="00C952F8" w:rsidRDefault="00C952F8" w:rsidP="00D36947">
      <w:pPr>
        <w:spacing w:line="360" w:lineRule="auto"/>
        <w:rPr>
          <w:u w:val="single"/>
        </w:rPr>
      </w:pPr>
      <w:r w:rsidRPr="00AA68D6">
        <w:rPr>
          <w:u w:val="single"/>
        </w:rPr>
        <w:t>Pollen Deposition</w:t>
      </w:r>
    </w:p>
    <w:p w:rsidR="00C7284D" w:rsidRPr="005D216D" w:rsidRDefault="00C952F8" w:rsidP="00D36947">
      <w:pPr>
        <w:spacing w:line="360" w:lineRule="auto"/>
      </w:pPr>
      <w:r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Pr="00AA68D6">
        <w:t>eterospecific pollen deposition increased</w:t>
      </w:r>
      <w:r w:rsidR="00C7284D">
        <w:t xml:space="preserve"> significantly with distance</w:t>
      </w:r>
      <w:r w:rsidRPr="00AA68D6">
        <w:t xml:space="preserve"> from </w:t>
      </w:r>
      <w:r w:rsidRPr="00C7284D">
        <w:rPr>
          <w:i/>
        </w:rPr>
        <w:t>L. tridentata</w:t>
      </w:r>
      <w:r w:rsidRPr="00AA68D6">
        <w:t>.</w:t>
      </w:r>
      <w:r>
        <w:t xml:space="preserve"> Conspecific and heterospecific pollen deposition were significantl</w:t>
      </w:r>
      <w:r w:rsidR="005D216D">
        <w:t>y correlated (</w:t>
      </w:r>
      <w:r w:rsidR="00FD1DD7">
        <w:t xml:space="preserve">Pearson’s = </w:t>
      </w:r>
      <w:r w:rsidR="005D216D">
        <w:t xml:space="preserve">0.15, p = 0.01). </w:t>
      </w:r>
    </w:p>
    <w:p w:rsidR="00C952F8" w:rsidRPr="006861EF" w:rsidRDefault="00C952F8" w:rsidP="00D36947">
      <w:pPr>
        <w:spacing w:line="360" w:lineRule="auto"/>
        <w:rPr>
          <w:u w:val="single"/>
        </w:rPr>
      </w:pPr>
      <w:r w:rsidRPr="006861EF">
        <w:rPr>
          <w:u w:val="single"/>
        </w:rPr>
        <w:t>Visitation</w:t>
      </w:r>
      <w:r>
        <w:rPr>
          <w:u w:val="single"/>
        </w:rPr>
        <w:t xml:space="preserve"> to larrea</w:t>
      </w:r>
    </w:p>
    <w:p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t xml:space="preserve">0.3185, p = </w:t>
      </w:r>
      <w:r w:rsidRPr="0014622A">
        <w:t>0.03511</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rsidR="0015677D" w:rsidRPr="003D576D" w:rsidRDefault="0015677D" w:rsidP="00D36947">
      <w:pPr>
        <w:tabs>
          <w:tab w:val="left" w:pos="1335"/>
        </w:tabs>
        <w:spacing w:line="360" w:lineRule="auto"/>
        <w:rPr>
          <w:u w:val="single"/>
        </w:rPr>
      </w:pPr>
      <w:r w:rsidRPr="003D576D">
        <w:rPr>
          <w:u w:val="single"/>
        </w:rPr>
        <w:t>Positive influences on other communities</w:t>
      </w:r>
    </w:p>
    <w:p w:rsidR="00E90F5C"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E90F5C">
        <w:t>There is a significant correlation of insect abundance (Melyridae excluded) between the paired shrub/open microsites (</w:t>
      </w:r>
      <w:r w:rsidR="007C138F">
        <w:t xml:space="preserve">Pearson’s = </w:t>
      </w:r>
      <w:r w:rsidR="007C138F" w:rsidRPr="0004122F">
        <w:t>0.4576805</w:t>
      </w:r>
      <w:r w:rsidR="007C138F">
        <w:t xml:space="preserve">, </w:t>
      </w:r>
      <w:r w:rsidR="00E90F5C">
        <w:t>p</w:t>
      </w:r>
      <w:r w:rsidR="007C138F">
        <w:t xml:space="preserve"> &lt; 0.001</w:t>
      </w:r>
      <w:r w:rsidR="00E90F5C">
        <w:t xml:space="preserve">). </w:t>
      </w:r>
    </w:p>
    <w:p w:rsidR="00C47DCD" w:rsidRDefault="00C47DCD" w:rsidP="00D36947">
      <w:pPr>
        <w:spacing w:line="360" w:lineRule="auto"/>
      </w:pPr>
      <w:r>
        <w:lastRenderedPageBreak/>
        <w:t xml:space="preserve">There was a negative effect of shrub microsite on </w:t>
      </w:r>
      <w:r w:rsidR="00CC611D">
        <w:t xml:space="preserve">Melyridae </w:t>
      </w:r>
      <w:r w:rsidR="006854CA">
        <w:t xml:space="preserve">abundance, and a negative effect of blooming at the open microsite only (Table </w:t>
      </w:r>
      <w:r w:rsidR="00D906B9">
        <w:t>7</w:t>
      </w:r>
      <w:r w:rsidR="006854CA">
        <w:t>)</w:t>
      </w:r>
      <w:r w:rsidR="002715FB">
        <w:t xml:space="preserve"> </w:t>
      </w:r>
    </w:p>
    <w:p w:rsidR="00506418" w:rsidRDefault="00506418" w:rsidP="00D36947">
      <w:pPr>
        <w:spacing w:line="360" w:lineRule="auto"/>
      </w:pPr>
      <w:r>
        <w:t>There was no significant difference in bee abundance caught in pan traps between any of the treatments (</w:t>
      </w:r>
      <w:r w:rsidR="006854CA">
        <w:t xml:space="preserve">Table </w:t>
      </w:r>
      <w:r w:rsidR="00D906B9">
        <w:t>8</w:t>
      </w:r>
      <w:r>
        <w:t xml:space="preserve">). </w:t>
      </w:r>
    </w:p>
    <w:p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rsidR="00D51033" w:rsidRDefault="00D51033" w:rsidP="00D36947">
      <w:pPr>
        <w:spacing w:line="360" w:lineRule="auto"/>
      </w:pPr>
      <w:r>
        <w:t xml:space="preserve">Shrubs had a competitive effect on floral visitation of </w:t>
      </w:r>
      <w:r w:rsidRPr="00D51033">
        <w:rPr>
          <w:i/>
        </w:rPr>
        <w:t>M. glabrata</w:t>
      </w:r>
      <w:r>
        <w:rPr>
          <w:i/>
        </w:rPr>
        <w:t xml:space="preserve">, </w:t>
      </w:r>
      <w:r>
        <w:t>a facilitative effect on arthropod abundance, arthropod species richness, percent cover and a neutral effect on annual richness. Blooming had a negative effect on all metrics (Figure 5).</w:t>
      </w:r>
    </w:p>
    <w:p w:rsidR="00D51033" w:rsidRDefault="00D51033" w:rsidP="00D36947">
      <w:pPr>
        <w:spacing w:line="360" w:lineRule="auto"/>
        <w:rPr>
          <w:u w:val="single"/>
        </w:rPr>
      </w:pPr>
      <w:r w:rsidRPr="00576C94">
        <w:rPr>
          <w:u w:val="single"/>
        </w:rPr>
        <w:t>Climate amelioration</w:t>
      </w:r>
    </w:p>
    <w:p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rsidR="005A3B82" w:rsidRPr="00563FE2" w:rsidRDefault="005A3B82" w:rsidP="00D36947">
      <w:pPr>
        <w:spacing w:line="360" w:lineRule="auto"/>
        <w:rPr>
          <w:b/>
        </w:rPr>
      </w:pPr>
      <w:r w:rsidRPr="00563FE2">
        <w:rPr>
          <w:b/>
        </w:rPr>
        <w:t xml:space="preserve">Discussion </w:t>
      </w:r>
    </w:p>
    <w:p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697B93" w:rsidRPr="00697B93">
        <w:t xml:space="preserve"> with, rather than facilitate</w:t>
      </w:r>
      <w:r w:rsidR="00997FB7">
        <w:t>d</w:t>
      </w:r>
      <w:r w:rsidR="00697B93" w:rsidRPr="00697B93">
        <w:t xml:space="preserve"> </w:t>
      </w:r>
      <w:r w:rsidR="00997FB7" w:rsidRPr="00997FB7">
        <w:rPr>
          <w:i/>
        </w:rPr>
        <w:t>M. glabrata</w:t>
      </w:r>
      <w:r w:rsidR="00997FB7">
        <w:t xml:space="preserve"> </w:t>
      </w:r>
      <w:r w:rsidR="00DA321A">
        <w:t>by</w:t>
      </w:r>
      <w:r w:rsidR="00997FB7">
        <w:t xml:space="preserve"> co-blooming. </w:t>
      </w:r>
      <w:r w:rsidR="0004758E">
        <w:t xml:space="preserve">There was a facilitative effect </w:t>
      </w:r>
      <w:r w:rsidR="009709E8">
        <w:t xml:space="preserve">of annual heterospecific blooms on number of foraging bouts made, but not flower visits. </w:t>
      </w:r>
      <w:r w:rsidR="001578B1">
        <w:t xml:space="preserve">The observed negative effect of the shrub microsite was likely due to obscuring or shading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 xml:space="preserve">Conner and Rush, </w:t>
        </w:r>
        <w:r w:rsidR="00172CFB">
          <w:rPr>
            <w:noProof/>
          </w:rPr>
          <w:lastRenderedPageBreak/>
          <w:t>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s the identity, phenology and behaviour of the associated pollinator communities.</w:t>
      </w:r>
    </w:p>
    <w:p w:rsidR="002753D7" w:rsidRPr="002753D7" w:rsidRDefault="002753D7" w:rsidP="00D36947">
      <w:pPr>
        <w:spacing w:line="360" w:lineRule="auto"/>
        <w:rPr>
          <w:u w:val="single"/>
        </w:rPr>
      </w:pPr>
      <w:r w:rsidRPr="002753D7">
        <w:rPr>
          <w:u w:val="single"/>
        </w:rPr>
        <w:t>Pollinator-mediated interactions</w:t>
      </w:r>
    </w:p>
    <w:p w:rsidR="00681684" w:rsidRDefault="009729A5" w:rsidP="00D36947">
      <w:pPr>
        <w:spacing w:line="360" w:lineRule="auto"/>
      </w:pPr>
      <w:r>
        <w:t xml:space="preserve">The </w:t>
      </w:r>
      <w:r w:rsidR="00F52DB0">
        <w:t>decrease in visitation during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could be due seasonal changes in Syrphid abundance</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their phenology 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681684">
        <w:t>Rather, their</w:t>
      </w:r>
      <w:r w:rsidR="00F64E08">
        <w:t xml:space="preserve"> phenology </w:t>
      </w:r>
      <w:r w:rsidR="00681684">
        <w:t>appears to be</w:t>
      </w:r>
      <w:r w:rsidR="00F64E08">
        <w:t xml:space="preserve"> tied to prey availability </w:t>
      </w:r>
      <w:r w:rsidR="00681684">
        <w:t>rather than floral resource availability. More research is required to understand the likely complex relationships between pollinators that have predatory larva and the plants that host their prey.</w:t>
      </w:r>
    </w:p>
    <w:p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That is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w:t>
      </w:r>
      <w:r w:rsidR="00A670F6">
        <w:lastRenderedPageBreak/>
        <w:t>plant displace the pollinators of another plant, this would be a novel mechanism pollinator competition in arid environments.</w:t>
      </w:r>
    </w:p>
    <w:p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and </w:t>
      </w:r>
      <w:r w:rsidR="000318B5" w:rsidRPr="000318B5">
        <w:rPr>
          <w:i/>
        </w:rPr>
        <w:t>H</w:t>
      </w:r>
      <w:r w:rsidR="00DF1AA8" w:rsidRPr="000318B5">
        <w:rPr>
          <w:i/>
        </w:rPr>
        <w:t>esperapis larrae</w:t>
      </w:r>
      <w:r w:rsidR="00DF1AA8">
        <w:t xml:space="preserve"> 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only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a common feature of social bees, where individuals facultatively specialize on different flower species at difference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 it was a behavioural response. 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 xml:space="preserve"> (cite?).</w:t>
      </w:r>
    </w:p>
    <w:p w:rsidR="00051D07" w:rsidRDefault="0024088A" w:rsidP="00D36947">
      <w:pPr>
        <w:spacing w:line="360" w:lineRule="auto"/>
      </w:pPr>
      <w:r>
        <w:t>Overall, t</w:t>
      </w:r>
      <w:r w:rsidR="00AC130A">
        <w:t xml:space="preserve">he </w:t>
      </w:r>
      <w:r>
        <w:t xml:space="preserve">negative, </w:t>
      </w:r>
      <w:r w:rsidR="00AC130A">
        <w:t>ecological effect of blooming was gre</w:t>
      </w:r>
      <w:r>
        <w:t xml:space="preserve">ater than the microsite effect. </w:t>
      </w:r>
      <w:r w:rsidR="008B5BB6">
        <w:t xml:space="preserve">Differences in visitation do not necessarily </w:t>
      </w:r>
      <w:r>
        <w:t xml:space="preserve">lead to differences in fitness </w:t>
      </w:r>
      <w:r>
        <w:fldChar w:fldCharType="begin"/>
      </w:r>
      <w:r>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fldChar w:fldCharType="separate"/>
      </w:r>
      <w:r>
        <w:rPr>
          <w:noProof/>
        </w:rPr>
        <w:t>(</w:t>
      </w:r>
      <w:hyperlink w:anchor="_ENREF_43" w:tooltip="King, 2013 #276" w:history="1">
        <w:r w:rsidR="00172CFB">
          <w:rPr>
            <w:noProof/>
          </w:rPr>
          <w:t>King et al., 2013</w:t>
        </w:r>
      </w:hyperlink>
      <w:r>
        <w:rPr>
          <w:noProof/>
        </w:rPr>
        <w:t>)</w:t>
      </w:r>
      <w:r>
        <w:fldChar w:fldCharType="end"/>
      </w:r>
      <w:r>
        <w:t xml:space="preserve">. Syrphid flies and solitary bees are well known as effective pollinators, so the reduction in their visits likely led to a reduction in pollen deposition, and subsequently fitness. </w:t>
      </w:r>
      <w:r w:rsidR="004E38AE">
        <w:t>When</w:t>
      </w:r>
      <w:r>
        <w:t xml:space="preserve"> </w:t>
      </w:r>
      <w:r w:rsidR="004E38AE">
        <w:t>co-</w:t>
      </w:r>
      <w:r>
        <w:t xml:space="preserve">blooming, the difference in visitation between microsites was small. </w:t>
      </w:r>
      <w:r w:rsidR="004E38AE">
        <w:t>At the nearby site, t</w:t>
      </w:r>
      <w:r>
        <w:t xml:space="preserve">here was no </w:t>
      </w:r>
      <w:r w:rsidR="004E38AE">
        <w:t>change in stigma conspecific pollen loads with distance to</w:t>
      </w:r>
      <w:r>
        <w:t xml:space="preserve"> </w:t>
      </w:r>
      <w:r w:rsidRPr="0024088A">
        <w:rPr>
          <w:i/>
        </w:rPr>
        <w:t>L. tridentata</w:t>
      </w:r>
      <w:r>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w:t>
      </w:r>
      <w:r w:rsidR="002C2444">
        <w:lastRenderedPageBreak/>
        <w:t>experiments examining the zone of influence and how it changes size with pollinator identity would help make better predictions as well as aid future experimental design.</w:t>
      </w:r>
    </w:p>
    <w:p w:rsidR="002753D7" w:rsidRPr="002753D7" w:rsidRDefault="002753D7" w:rsidP="00D36947">
      <w:pPr>
        <w:spacing w:line="360" w:lineRule="auto"/>
      </w:pPr>
      <w:r>
        <w:rPr>
          <w:u w:val="single"/>
        </w:rPr>
        <w:t>Interactions with surrounding communities</w:t>
      </w:r>
    </w:p>
    <w:p w:rsidR="003B10A7" w:rsidRDefault="00095AF0" w:rsidP="00D36947">
      <w:pPr>
        <w:spacing w:line="360" w:lineRule="auto"/>
      </w:pPr>
      <w:r w:rsidRPr="004B7910">
        <w:rPr>
          <w:i/>
        </w:rPr>
        <w:t>L. tridentata</w:t>
      </w:r>
      <w:r>
        <w:t xml:space="preserve"> is a foundation plant with positive effects that scale</w:t>
      </w:r>
      <w:r w:rsidR="00321736">
        <w:t>d</w:t>
      </w:r>
      <w:r>
        <w:t xml:space="preserve"> to a</w:t>
      </w:r>
      <w:r w:rsidR="00C94E39">
        <w:t>nnual and arthropod communities. It buffered annuals through the study period by ameliorating and stabi</w:t>
      </w:r>
      <w:r w:rsidR="003B10A7">
        <w:t xml:space="preserve">lizing understory microclimate,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3B10A7">
        <w:rPr>
          <w:i/>
        </w:rPr>
        <w:t xml:space="preserve">L. tridentata </w:t>
      </w:r>
      <w:r w:rsidR="003B10A7">
        <w:t xml:space="preserve">supports arthropod community diversity, which show family specific associations with </w:t>
      </w:r>
      <w:r w:rsidR="003B10A7" w:rsidRPr="00F33225">
        <w:rPr>
          <w:i/>
        </w:rPr>
        <w:t xml:space="preserve">L. tridentata </w:t>
      </w:r>
      <w:r w:rsidR="003B10A7">
        <w:t>(Hurd and Linsely, 1975, Ruttan, 2016). There were measureable shifts in the abundance and diversity of associated plant and arthropod communities when L. tridentata entered into bloom. Research to disentangle what is happening is necessary before it is possible to conclude that the blooming had a negative effect. For example, if the benefici</w:t>
      </w:r>
      <w:r w:rsidR="002A0284">
        <w:t>aries are spring ephemerals, the</w:t>
      </w:r>
      <w:r w:rsidR="003B10A7">
        <w:t xml:space="preserve">n the overall effect of </w:t>
      </w:r>
      <w:r w:rsidR="003B10A7" w:rsidRPr="00F33225">
        <w:rPr>
          <w:i/>
        </w:rPr>
        <w:t>L. tridentata</w:t>
      </w:r>
      <w:r w:rsidR="003B10A7">
        <w:t xml:space="preserve"> is still positive.</w:t>
      </w:r>
      <w:r w:rsidR="002A0284">
        <w:t xml:space="preserve"> </w:t>
      </w:r>
      <w:r>
        <w:t xml:space="preserve">Scaling up </w:t>
      </w:r>
      <w:r w:rsidR="002A0284">
        <w:t xml:space="preserve">of </w:t>
      </w:r>
      <w:r>
        <w:t xml:space="preserve">interactions </w:t>
      </w:r>
      <w:r w:rsidR="002A0284">
        <w:t xml:space="preserve">through multiple trophic levels </w:t>
      </w:r>
      <w:r>
        <w:t>highlights the importance of positive interactio</w:t>
      </w:r>
      <w:r w:rsidR="002A0284">
        <w:t xml:space="preserve">ns in deserts but the potential shifts when </w:t>
      </w:r>
      <w:r w:rsidR="002A0284" w:rsidRPr="002A0284">
        <w:rPr>
          <w:i/>
        </w:rPr>
        <w:t>L. tridentata</w:t>
      </w:r>
      <w:r w:rsidR="002A0284">
        <w:t xml:space="preserve"> entered into a repr</w:t>
      </w:r>
      <w:r w:rsidR="00BF3790">
        <w:t>oductive state suggest that these interactions are dynamic and complex, and</w:t>
      </w:r>
      <w:r w:rsidR="002A0284">
        <w:t xml:space="preserve"> change thr</w:t>
      </w:r>
      <w:r w:rsidR="00BF3790">
        <w:t>oughout the year</w:t>
      </w:r>
      <w:r w:rsidR="002A0284">
        <w:t>.</w:t>
      </w:r>
    </w:p>
    <w:p w:rsidR="002A0284" w:rsidRDefault="002A0284" w:rsidP="00D36947">
      <w:pPr>
        <w:spacing w:line="360" w:lineRule="auto"/>
      </w:pPr>
      <w:r>
        <w:t xml:space="preserve">Need a short paragraph here tying in literature on reproductive shifts &amp; arthropod communities? </w:t>
      </w:r>
      <w:r w:rsidR="00BF3790">
        <w:t>OR tie</w:t>
      </w:r>
      <w:r>
        <w:t xml:space="preserve"> into conservation or evolutionary theory?</w:t>
      </w:r>
    </w:p>
    <w:p w:rsidR="002A0284" w:rsidRPr="002A0284" w:rsidRDefault="002A0284" w:rsidP="00D36947">
      <w:pPr>
        <w:spacing w:line="360" w:lineRule="auto"/>
        <w:rPr>
          <w:u w:val="single"/>
        </w:rPr>
      </w:pPr>
      <w:r w:rsidRPr="002A0284">
        <w:rPr>
          <w:u w:val="single"/>
        </w:rPr>
        <w:t>Conclusions</w:t>
      </w:r>
    </w:p>
    <w:p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rsidR="004529BA" w:rsidRDefault="004529BA" w:rsidP="009C7F0B"/>
    <w:p w:rsidR="00EB2220" w:rsidRPr="00065309" w:rsidRDefault="00065309" w:rsidP="009C7F0B">
      <w:pPr>
        <w:rPr>
          <w:u w:val="single"/>
        </w:rPr>
      </w:pPr>
      <w:r w:rsidRPr="00065309">
        <w:rPr>
          <w:u w:val="single"/>
        </w:rPr>
        <w:t>Literature Cited</w:t>
      </w:r>
    </w:p>
    <w:p w:rsidR="00172CFB" w:rsidRPr="00172CFB" w:rsidRDefault="00D7348A" w:rsidP="00172CFB">
      <w:pPr>
        <w:pStyle w:val="EndNoteBibliography"/>
        <w:spacing w:after="0"/>
      </w:pPr>
      <w:r>
        <w:lastRenderedPageBreak/>
        <w:fldChar w:fldCharType="begin"/>
      </w:r>
      <w:r>
        <w:instrText xml:space="preserve"> ADDIN EN.REFLIST </w:instrText>
      </w:r>
      <w:r>
        <w:fldChar w:fldCharType="separate"/>
      </w:r>
      <w:bookmarkStart w:id="1" w:name="_ENREF_1"/>
      <w:r w:rsidR="00172CFB" w:rsidRPr="00172CFB">
        <w:t>Alcock, J., Jones, C.E., Buchmann, S.L., 1977. Male mating strategies in the bee Centris pallida Fox (Anthophoridae: Hymenoptera). The American Naturalist 111, 145-155.</w:t>
      </w:r>
      <w:bookmarkEnd w:id="1"/>
    </w:p>
    <w:p w:rsidR="00172CFB" w:rsidRPr="00172CFB" w:rsidRDefault="00172CFB" w:rsidP="00172CFB">
      <w:pPr>
        <w:pStyle w:val="EndNoteBibliography"/>
        <w:spacing w:after="0"/>
      </w:pPr>
      <w:bookmarkStart w:id="2" w:name="_ENREF_2"/>
      <w:r w:rsidRPr="00172CFB">
        <w:t>Armas, C., Ordiales, R., Pugnaire, F.I., 2004. Measuring plant interactions: a new comparative index. Ecology 85, 2682-2686.</w:t>
      </w:r>
      <w:bookmarkEnd w:id="2"/>
    </w:p>
    <w:p w:rsidR="00172CFB" w:rsidRPr="00172CFB" w:rsidRDefault="00172CFB" w:rsidP="00172CFB">
      <w:pPr>
        <w:pStyle w:val="EndNoteBibliography"/>
        <w:spacing w:after="0"/>
      </w:pPr>
      <w:bookmarkStart w:id="3" w:name="_ENREF_3"/>
      <w:r w:rsidRPr="00172CFB">
        <w:t>Ascher, J., Pickering, J., 2015. Discover Life bee species guide and world checklist (Hymenoptera: Apoidea: Anthophila).</w:t>
      </w:r>
      <w:bookmarkEnd w:id="3"/>
    </w:p>
    <w:p w:rsidR="00172CFB" w:rsidRPr="00172CFB" w:rsidRDefault="00172CFB" w:rsidP="00172CFB">
      <w:pPr>
        <w:pStyle w:val="EndNoteBibliography"/>
        <w:spacing w:after="0"/>
      </w:pPr>
      <w:bookmarkStart w:id="4" w:name="_ENREF_4"/>
      <w:r w:rsidRPr="00172CFB">
        <w:t>Barbour, M., Keeler-Wolf, T., Schoenherr, A.A., 2007. Terrestrial vegetation of California. Univ of California Press.</w:t>
      </w:r>
      <w:bookmarkEnd w:id="4"/>
    </w:p>
    <w:p w:rsidR="00172CFB" w:rsidRPr="00172CFB" w:rsidRDefault="00172CFB" w:rsidP="00172CFB">
      <w:pPr>
        <w:pStyle w:val="EndNoteBibliography"/>
        <w:spacing w:after="0"/>
      </w:pPr>
      <w:bookmarkStart w:id="5" w:name="_ENREF_5"/>
      <w:r w:rsidRPr="00172CFB">
        <w:t>Bertness, M.D., Callaway, R., 1994. Positive interactions in communities. Trends in Ecology &amp; Evolution 9, 191-193.</w:t>
      </w:r>
      <w:bookmarkEnd w:id="5"/>
    </w:p>
    <w:p w:rsidR="00172CFB" w:rsidRPr="00172CFB" w:rsidRDefault="00172CFB" w:rsidP="00172CFB">
      <w:pPr>
        <w:pStyle w:val="EndNoteBibliography"/>
        <w:spacing w:after="0"/>
      </w:pPr>
      <w:bookmarkStart w:id="6" w:name="_ENREF_6"/>
      <w:r w:rsidRPr="00172CFB">
        <w:t>Betancourt, J.L., Van Devender, T.R., Martin, P.S., 1990. Packrat middens: the last 40,000 years of biotic change. University of Arizona Press.</w:t>
      </w:r>
      <w:bookmarkEnd w:id="6"/>
    </w:p>
    <w:p w:rsidR="00172CFB" w:rsidRPr="00172CFB" w:rsidRDefault="00172CFB" w:rsidP="00172CFB">
      <w:pPr>
        <w:pStyle w:val="EndNoteBibliography"/>
        <w:spacing w:after="0"/>
      </w:pPr>
      <w:bookmarkStart w:id="7" w:name="_ENREF_7"/>
      <w:r w:rsidRPr="00172CFB">
        <w:t>Bosch, M., Waser, N.M., 2001. Experimental manipulation of plant density and its effect on pollination and reproduction of two confamilial montane herbs. Oecologia 126, 76-83.</w:t>
      </w:r>
      <w:bookmarkEnd w:id="7"/>
    </w:p>
    <w:p w:rsidR="00172CFB" w:rsidRPr="00172CFB" w:rsidRDefault="00172CFB" w:rsidP="00172CFB">
      <w:pPr>
        <w:pStyle w:val="EndNoteBibliography"/>
        <w:spacing w:after="0"/>
      </w:pPr>
      <w:bookmarkStart w:id="8" w:name="_ENREF_8"/>
      <w:r w:rsidRPr="00172CFB">
        <w:t>Bowers, J.E., Dimmitt, M.A., 1994. Flowering phenology of six woody plants in the northern Sonoran Desert. Bulletin of the Torrey Botanical Club, 215-229.</w:t>
      </w:r>
      <w:bookmarkEnd w:id="8"/>
    </w:p>
    <w:p w:rsidR="00172CFB" w:rsidRPr="00172CFB" w:rsidRDefault="00172CFB" w:rsidP="00172CFB">
      <w:pPr>
        <w:pStyle w:val="EndNoteBibliography"/>
        <w:spacing w:after="0"/>
      </w:pPr>
      <w:bookmarkStart w:id="9" w:name="_ENREF_9"/>
      <w:r w:rsidRPr="00172CFB">
        <w:t>Brooker, R.W., Maestre, F.T., Callaway, R.M., Lortie, C.L., Cavieres, L.A., Kunstler, G., Liancourt, P., Tielbörger, K., Travis, J.M., Anthelme, F., 2008. Facilitation in plant communities: the past, the present, and the future. Journal of Ecology 96, 18-34.</w:t>
      </w:r>
      <w:bookmarkEnd w:id="9"/>
    </w:p>
    <w:p w:rsidR="00172CFB" w:rsidRPr="00172CFB" w:rsidRDefault="00172CFB" w:rsidP="00172CFB">
      <w:pPr>
        <w:pStyle w:val="EndNoteBibliography"/>
        <w:spacing w:after="0"/>
      </w:pPr>
      <w:bookmarkStart w:id="10" w:name="_ENREF_10"/>
      <w:r w:rsidRPr="00172CFB">
        <w:t>Bruno, J.F., Stachowicz, J.J., Bertness, M.D., 2003. Inclusion of facilitation into ecological theory. Trends in Ecology &amp; Evolution 18, 119-125.</w:t>
      </w:r>
      <w:bookmarkEnd w:id="10"/>
    </w:p>
    <w:p w:rsidR="00172CFB" w:rsidRPr="00172CFB" w:rsidRDefault="00172CFB" w:rsidP="00172CFB">
      <w:pPr>
        <w:pStyle w:val="EndNoteBibliography"/>
        <w:spacing w:after="0"/>
      </w:pPr>
      <w:bookmarkStart w:id="11" w:name="_ENREF_11"/>
      <w:r w:rsidRPr="00172CFB">
        <w:t>Callaway, R.M., Pennings, S.C., 2000. Facilitation may buffer competitive effects indirect and diffuse interactions among salt marsh plants. American Naturalist 156, 416-424.</w:t>
      </w:r>
      <w:bookmarkEnd w:id="11"/>
    </w:p>
    <w:p w:rsidR="00172CFB" w:rsidRPr="00172CFB" w:rsidRDefault="00172CFB" w:rsidP="00172CFB">
      <w:pPr>
        <w:pStyle w:val="EndNoteBibliography"/>
        <w:spacing w:after="0"/>
      </w:pPr>
      <w:bookmarkStart w:id="12" w:name="_ENREF_12"/>
      <w:r w:rsidRPr="00172CFB">
        <w:t>Callaway, R.M., Walker, L.R., 1997a. Competition and Facilitation A Synthetic Approach to Interactions in Plant Communities. Ecology 78, 1958-1965.</w:t>
      </w:r>
      <w:bookmarkEnd w:id="12"/>
    </w:p>
    <w:p w:rsidR="00172CFB" w:rsidRPr="00172CFB" w:rsidRDefault="00172CFB" w:rsidP="00172CFB">
      <w:pPr>
        <w:pStyle w:val="EndNoteBibliography"/>
        <w:spacing w:after="0"/>
      </w:pPr>
      <w:bookmarkStart w:id="13" w:name="_ENREF_13"/>
      <w:r w:rsidRPr="00172CFB">
        <w:t>Callaway, R.M., Walker, L.R., 1997b. Competition and facilitation: a synthetic approach to interactions in plant communities. Ecology 78, 1958-1965.</w:t>
      </w:r>
      <w:bookmarkEnd w:id="13"/>
    </w:p>
    <w:p w:rsidR="00172CFB" w:rsidRPr="00172CFB" w:rsidRDefault="00172CFB" w:rsidP="00172CFB">
      <w:pPr>
        <w:pStyle w:val="EndNoteBibliography"/>
        <w:spacing w:after="0"/>
      </w:pPr>
      <w:bookmarkStart w:id="14" w:name="_ENREF_14"/>
      <w:r w:rsidRPr="00172CFB">
        <w:t>Campbell, D.R., Motten, A.F., 1985. The mechanism of competition for pollination between two forest herbs. Ecology 66, 554-563.</w:t>
      </w:r>
      <w:bookmarkEnd w:id="14"/>
    </w:p>
    <w:p w:rsidR="00172CFB" w:rsidRPr="00172CFB" w:rsidRDefault="00172CFB" w:rsidP="00172CFB">
      <w:pPr>
        <w:pStyle w:val="EndNoteBibliography"/>
        <w:spacing w:after="0"/>
      </w:pPr>
      <w:bookmarkStart w:id="15"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15"/>
    </w:p>
    <w:p w:rsidR="00172CFB" w:rsidRPr="00172CFB" w:rsidRDefault="00172CFB" w:rsidP="00172CFB">
      <w:pPr>
        <w:pStyle w:val="EndNoteBibliography"/>
        <w:spacing w:after="0"/>
      </w:pPr>
      <w:bookmarkStart w:id="16" w:name="_ENREF_16"/>
      <w:r w:rsidRPr="00172CFB">
        <w:t>Cane, J.H., Tepedino, V.J., 2017. Gauging the effect of honey bee pollen collection on native bee communities. Conservation Letters 10, 205-210.</w:t>
      </w:r>
      <w:bookmarkEnd w:id="16"/>
    </w:p>
    <w:p w:rsidR="00172CFB" w:rsidRPr="00172CFB" w:rsidRDefault="00172CFB" w:rsidP="00172CFB">
      <w:pPr>
        <w:pStyle w:val="EndNoteBibliography"/>
        <w:spacing w:after="0"/>
      </w:pPr>
      <w:bookmarkStart w:id="17" w:name="_ENREF_17"/>
      <w:r w:rsidRPr="00172CFB">
        <w:t>Chacoff, N.P., Vázquez, D.P., Lomáscolo, S.B., Stevani, E.L., Dorado, J., Padrón, B., 2012. Evaluating sampling completeness in a desert plant–pollinator network. Journal of Animal Ecology 81, 190-200.</w:t>
      </w:r>
      <w:bookmarkEnd w:id="17"/>
    </w:p>
    <w:p w:rsidR="00172CFB" w:rsidRPr="00172CFB" w:rsidRDefault="00172CFB" w:rsidP="00172CFB">
      <w:pPr>
        <w:pStyle w:val="EndNoteBibliography"/>
        <w:spacing w:after="0"/>
      </w:pPr>
      <w:bookmarkStart w:id="18" w:name="_ENREF_18"/>
      <w:r w:rsidRPr="00172CFB">
        <w:t>Chesson, P., Gebauer, R.L., Schwinning, S., Huntly, N., Wiegand, K., Ernest, M.S., Sher, A., Novoplansky, A., Weltzin, J.F., 2004. Resource pulses, species interactions, and diversity maintenance in arid and semi-arid environments. Oecologia 141, 236-253.</w:t>
      </w:r>
      <w:bookmarkEnd w:id="18"/>
    </w:p>
    <w:p w:rsidR="00172CFB" w:rsidRPr="00172CFB" w:rsidRDefault="00172CFB" w:rsidP="00172CFB">
      <w:pPr>
        <w:pStyle w:val="EndNoteBibliography"/>
        <w:spacing w:after="0"/>
      </w:pPr>
      <w:bookmarkStart w:id="19" w:name="_ENREF_19"/>
      <w:r w:rsidRPr="00172CFB">
        <w:t>Clements, F.E., Goldsmith, G.W., 1924. phytometer method in ecology.</w:t>
      </w:r>
      <w:bookmarkEnd w:id="19"/>
    </w:p>
    <w:p w:rsidR="00172CFB" w:rsidRPr="00172CFB" w:rsidRDefault="00172CFB" w:rsidP="00172CFB">
      <w:pPr>
        <w:pStyle w:val="EndNoteBibliography"/>
        <w:spacing w:after="0"/>
      </w:pPr>
      <w:bookmarkStart w:id="20" w:name="_ENREF_20"/>
      <w:r w:rsidRPr="00172CFB">
        <w:t>Cline, A.R., Audisio, P., 2010. Revision of the new world short-winged flower beetles (Coleoptera: Kateretidae). Part I. Generic review and revision of Anthonaeus Horn, 1879. The Coleopterists Bulletin, 173-186.</w:t>
      </w:r>
      <w:bookmarkEnd w:id="20"/>
    </w:p>
    <w:p w:rsidR="00172CFB" w:rsidRPr="00172CFB" w:rsidRDefault="00172CFB" w:rsidP="00172CFB">
      <w:pPr>
        <w:pStyle w:val="EndNoteBibliography"/>
        <w:spacing w:after="0"/>
      </w:pPr>
      <w:bookmarkStart w:id="21" w:name="_ENREF_21"/>
      <w:r w:rsidRPr="00172CFB">
        <w:t>Conner, J.K., Rush, S., 1996. Effects of flower size and number on pollinator visitation to wild radish, Raphanus raphanistrum. Oecologia 105, 509-516.</w:t>
      </w:r>
      <w:bookmarkEnd w:id="21"/>
    </w:p>
    <w:p w:rsidR="00172CFB" w:rsidRPr="00172CFB" w:rsidRDefault="00172CFB" w:rsidP="00172CFB">
      <w:pPr>
        <w:pStyle w:val="EndNoteBibliography"/>
        <w:spacing w:after="0"/>
      </w:pPr>
      <w:bookmarkStart w:id="22" w:name="_ENREF_22"/>
      <w:r w:rsidRPr="00172CFB">
        <w:lastRenderedPageBreak/>
        <w:t>Davis, W., Philbrick, R., 1986. Natural hybridization between Malacothrix incana and M. saxatilis var. implicata (Asteraceae: Lactuceae) on San Miguel Island, California. Madroño, 253-263.</w:t>
      </w:r>
      <w:bookmarkEnd w:id="22"/>
    </w:p>
    <w:p w:rsidR="00172CFB" w:rsidRPr="00172CFB" w:rsidRDefault="00172CFB" w:rsidP="00172CFB">
      <w:pPr>
        <w:pStyle w:val="EndNoteBibliography"/>
        <w:spacing w:after="0"/>
      </w:pPr>
      <w:bookmarkStart w:id="23" w:name="_ENREF_23"/>
      <w:r w:rsidRPr="00172CFB">
        <w:t>Donnelly, S.E., Lortie, C.J., Aarssen, L.W., 1998. Pollination in Verbascum thapsus (Scrophulariaceae): the advantage of being tall. American Journal of Botany 85, 1618-1625.</w:t>
      </w:r>
      <w:bookmarkEnd w:id="23"/>
    </w:p>
    <w:p w:rsidR="00172CFB" w:rsidRPr="00172CFB" w:rsidRDefault="00172CFB" w:rsidP="00172CFB">
      <w:pPr>
        <w:pStyle w:val="EndNoteBibliography"/>
        <w:spacing w:after="0"/>
      </w:pPr>
      <w:bookmarkStart w:id="24"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4"/>
    </w:p>
    <w:p w:rsidR="00172CFB" w:rsidRPr="00172CFB" w:rsidRDefault="00172CFB" w:rsidP="00172CFB">
      <w:pPr>
        <w:pStyle w:val="EndNoteBibliography"/>
        <w:spacing w:after="0"/>
      </w:pPr>
      <w:bookmarkStart w:id="25" w:name="_ENREF_25"/>
      <w:r w:rsidRPr="00172CFB">
        <w:t>Facelli, J.M., Temby, A.M., 2002. Multiple effects of shrubs on annual plant communities in arid lands of South Australia. Austral ecology 27, 422-432.</w:t>
      </w:r>
      <w:bookmarkEnd w:id="25"/>
    </w:p>
    <w:p w:rsidR="00172CFB" w:rsidRPr="00172CFB" w:rsidRDefault="00172CFB" w:rsidP="00172CFB">
      <w:pPr>
        <w:pStyle w:val="EndNoteBibliography"/>
        <w:spacing w:after="0"/>
      </w:pPr>
      <w:bookmarkStart w:id="26" w:name="_ENREF_26"/>
      <w:r w:rsidRPr="00172CFB">
        <w:t>Filazzola, A., Lortie, C.J., 2014. A systematic review and conceptual framework for the mechanistic pathways of nurse plants. Global Ecology and Biogeography 23, 1335-1345.</w:t>
      </w:r>
      <w:bookmarkEnd w:id="26"/>
    </w:p>
    <w:p w:rsidR="00172CFB" w:rsidRPr="00172CFB" w:rsidRDefault="00172CFB" w:rsidP="00172CFB">
      <w:pPr>
        <w:pStyle w:val="EndNoteBibliography"/>
        <w:spacing w:after="0"/>
      </w:pPr>
      <w:bookmarkStart w:id="27" w:name="_ENREF_27"/>
      <w:r w:rsidRPr="00172CFB">
        <w:t>Fleming, T.H., Holland, J.N., 1998. The evolution of obligate pollination mutualisms: senita cactus and senita moth. Oecologia 114, 368-375.</w:t>
      </w:r>
      <w:bookmarkEnd w:id="27"/>
    </w:p>
    <w:p w:rsidR="00172CFB" w:rsidRPr="00172CFB" w:rsidRDefault="00172CFB" w:rsidP="00172CFB">
      <w:pPr>
        <w:pStyle w:val="EndNoteBibliography"/>
        <w:spacing w:after="0"/>
      </w:pPr>
      <w:bookmarkStart w:id="28" w:name="_ENREF_28"/>
      <w:r w:rsidRPr="00172CFB">
        <w:t>Fleming, T.H., Sahley, C.T., Holland, J.N., Nason, J.D., Hamrick, J., 2001. Sonoran Desert columnar cacti and the evolution of generalized pollination systems. Ecological Monographs 71, 511-530.</w:t>
      </w:r>
      <w:bookmarkEnd w:id="28"/>
    </w:p>
    <w:p w:rsidR="00172CFB" w:rsidRPr="00172CFB" w:rsidRDefault="00172CFB" w:rsidP="00172CFB">
      <w:pPr>
        <w:pStyle w:val="EndNoteBibliography"/>
        <w:spacing w:after="0"/>
      </w:pPr>
      <w:bookmarkStart w:id="29" w:name="_ENREF_29"/>
      <w:r w:rsidRPr="00172CFB">
        <w:t>Flores, J., Jurado, E., 2003. Are nurse‐protégé interactions more common among plants from arid environments? Journal of Vegetation Science 14, 911-916.</w:t>
      </w:r>
      <w:bookmarkEnd w:id="29"/>
    </w:p>
    <w:p w:rsidR="00172CFB" w:rsidRPr="00172CFB" w:rsidRDefault="00172CFB" w:rsidP="00172CFB">
      <w:pPr>
        <w:pStyle w:val="EndNoteBibliography"/>
        <w:spacing w:after="0"/>
      </w:pPr>
      <w:bookmarkStart w:id="30" w:name="_ENREF_30"/>
      <w:r w:rsidRPr="00172CFB">
        <w:t>Franco, A., De Soyza, A., Virginia, R., Reynolds, J., Whitford, W., 1994. Effects of plant size and water relations on gas exchange and growth of the desert shrub Larrea tridentata. Oecologia 97, 171-178.</w:t>
      </w:r>
      <w:bookmarkEnd w:id="30"/>
    </w:p>
    <w:p w:rsidR="00172CFB" w:rsidRPr="00172CFB" w:rsidRDefault="00172CFB" w:rsidP="00172CFB">
      <w:pPr>
        <w:pStyle w:val="EndNoteBibliography"/>
        <w:spacing w:after="0"/>
      </w:pPr>
      <w:bookmarkStart w:id="31" w:name="_ENREF_31"/>
      <w:r w:rsidRPr="00172CFB">
        <w:t>Ghazoul, J., 2006. Floral diversity and the facilitation of pollination. Journal of Ecology 94, 295-304.</w:t>
      </w:r>
      <w:bookmarkEnd w:id="31"/>
    </w:p>
    <w:p w:rsidR="00172CFB" w:rsidRPr="00172CFB" w:rsidRDefault="00172CFB" w:rsidP="00172CFB">
      <w:pPr>
        <w:pStyle w:val="EndNoteBibliography"/>
        <w:spacing w:after="0"/>
      </w:pPr>
      <w:bookmarkStart w:id="32" w:name="_ENREF_32"/>
      <w:r w:rsidRPr="00172CFB">
        <w:t>Goldberg, D.E., Turkington, R., Olsvig-Whittaker, L., Dyer, A.R., 2001. Density dependence in an annual plant community: variation among life history stages. Ecological Monographs 71, 423-446.</w:t>
      </w:r>
      <w:bookmarkEnd w:id="32"/>
    </w:p>
    <w:p w:rsidR="00172CFB" w:rsidRPr="00172CFB" w:rsidRDefault="00172CFB" w:rsidP="00172CFB">
      <w:pPr>
        <w:pStyle w:val="EndNoteBibliography"/>
        <w:spacing w:after="0"/>
      </w:pPr>
      <w:bookmarkStart w:id="33" w:name="_ENREF_33"/>
      <w:r w:rsidRPr="00172CFB">
        <w:t>Grissell, E.E., Schauff, M.E., 1990. A handbook of the families of Nearctic Chalcidoidea (Hymenoptera). A handbook of the families of Nearctic Chalcidoidea (Hymenoptera).</w:t>
      </w:r>
      <w:bookmarkEnd w:id="33"/>
    </w:p>
    <w:p w:rsidR="00172CFB" w:rsidRPr="00172CFB" w:rsidRDefault="00172CFB" w:rsidP="00172CFB">
      <w:pPr>
        <w:pStyle w:val="EndNoteBibliography"/>
        <w:spacing w:after="0"/>
      </w:pPr>
      <w:bookmarkStart w:id="34" w:name="_ENREF_34"/>
      <w:r w:rsidRPr="00172CFB">
        <w:t>Henderson, D.H., 1982. Fine structure and neurophysiology of a gustatory sensillum on the ovipositors of Metasyrphus venablesi and Eupeodes volucris (Diptera: Syrphidae). Canadian Journal of Zoology 60, 3187-3195.</w:t>
      </w:r>
      <w:bookmarkEnd w:id="34"/>
    </w:p>
    <w:p w:rsidR="00172CFB" w:rsidRPr="00172CFB" w:rsidRDefault="00172CFB" w:rsidP="00172CFB">
      <w:pPr>
        <w:pStyle w:val="EndNoteBibliography"/>
        <w:spacing w:after="0"/>
      </w:pPr>
      <w:bookmarkStart w:id="35" w:name="_ENREF_35"/>
      <w:r w:rsidRPr="00172CFB">
        <w:t>Holland, N.J., Fleming, T.H., 2002. Co-pollinators and specialization in the pollinating seed-consumer mutualism between senita cacti and senita moths. Oecologia 133, 534-540.</w:t>
      </w:r>
      <w:bookmarkEnd w:id="35"/>
    </w:p>
    <w:p w:rsidR="00172CFB" w:rsidRPr="00172CFB" w:rsidRDefault="00172CFB" w:rsidP="00172CFB">
      <w:pPr>
        <w:pStyle w:val="EndNoteBibliography"/>
        <w:spacing w:after="0"/>
      </w:pPr>
      <w:bookmarkStart w:id="36" w:name="_ENREF_36"/>
      <w:r w:rsidRPr="00172CFB">
        <w:t>Holzapfel, C., Mahall, B.E., 1999. Bidirectional facilitation and interference between shrubs and annuals in the Mojave Desert. Ecology 80, 1747-1761.</w:t>
      </w:r>
      <w:bookmarkEnd w:id="36"/>
    </w:p>
    <w:p w:rsidR="00172CFB" w:rsidRPr="00172CFB" w:rsidRDefault="00172CFB" w:rsidP="00172CFB">
      <w:pPr>
        <w:pStyle w:val="EndNoteBibliography"/>
        <w:spacing w:after="0"/>
      </w:pPr>
      <w:bookmarkStart w:id="37" w:name="_ENREF_37"/>
      <w:r w:rsidRPr="00172CFB">
        <w:t>Hurd Jr, P.D., Linsley, E.G., 1975. Some insects other than bees associated with Larrea tridentata in the southwestern United States. Proceedings of the Entomological Society of Washington.</w:t>
      </w:r>
      <w:bookmarkEnd w:id="37"/>
    </w:p>
    <w:p w:rsidR="00172CFB" w:rsidRPr="00172CFB" w:rsidRDefault="00172CFB" w:rsidP="00172CFB">
      <w:pPr>
        <w:pStyle w:val="EndNoteBibliography"/>
        <w:spacing w:after="0"/>
      </w:pPr>
      <w:bookmarkStart w:id="38"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38"/>
    </w:p>
    <w:p w:rsidR="00172CFB" w:rsidRPr="00172CFB" w:rsidRDefault="00172CFB" w:rsidP="00172CFB">
      <w:pPr>
        <w:pStyle w:val="EndNoteBibliography"/>
        <w:spacing w:after="0"/>
      </w:pPr>
      <w:bookmarkStart w:id="39" w:name="_ENREF_39"/>
      <w:r w:rsidRPr="00172CFB">
        <w:t>Inouye, D.W., Larson, B.M., Ssymank, A., Kevan, P.G., 2015. Flies and flowers III: ecology of foraging and pollination. Journal of Pollination Ecology 16, 115-133.</w:t>
      </w:r>
      <w:bookmarkEnd w:id="39"/>
    </w:p>
    <w:p w:rsidR="00172CFB" w:rsidRPr="00172CFB" w:rsidRDefault="00172CFB" w:rsidP="00172CFB">
      <w:pPr>
        <w:pStyle w:val="EndNoteBibliography"/>
        <w:spacing w:after="0"/>
      </w:pPr>
      <w:bookmarkStart w:id="40" w:name="_ENREF_40"/>
      <w:r w:rsidRPr="00172CFB">
        <w:t>Jennings, W.B., 2001. Comparative flowering phenology of plants in the western Mojave Desert. Madroño, 162-171.</w:t>
      </w:r>
      <w:bookmarkEnd w:id="40"/>
    </w:p>
    <w:p w:rsidR="00172CFB" w:rsidRPr="00172CFB" w:rsidRDefault="00172CFB" w:rsidP="00172CFB">
      <w:pPr>
        <w:pStyle w:val="EndNoteBibliography"/>
        <w:spacing w:after="0"/>
      </w:pPr>
      <w:bookmarkStart w:id="41" w:name="_ENREF_41"/>
      <w:r w:rsidRPr="00172CFB">
        <w:lastRenderedPageBreak/>
        <w:t>Jones, C.R., 1922. A contribution to our knowledge of the Syrphidae of Colorado. Agricultural Experiment Station of the Agricultural College of Colorado.</w:t>
      </w:r>
      <w:bookmarkEnd w:id="41"/>
    </w:p>
    <w:p w:rsidR="00172CFB" w:rsidRPr="00172CFB" w:rsidRDefault="00172CFB" w:rsidP="00172CFB">
      <w:pPr>
        <w:pStyle w:val="EndNoteBibliography"/>
        <w:spacing w:after="0"/>
      </w:pPr>
      <w:bookmarkStart w:id="42" w:name="_ENREF_42"/>
      <w:r w:rsidRPr="00172CFB">
        <w:t>Kearns, C.A., Inouye, D.W., 1993. Techniques for pollination biologists. University press of Colorado.</w:t>
      </w:r>
      <w:bookmarkEnd w:id="42"/>
    </w:p>
    <w:p w:rsidR="00172CFB" w:rsidRPr="00172CFB" w:rsidRDefault="00172CFB" w:rsidP="00172CFB">
      <w:pPr>
        <w:pStyle w:val="EndNoteBibliography"/>
        <w:spacing w:after="0"/>
      </w:pPr>
      <w:bookmarkStart w:id="43"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43"/>
    </w:p>
    <w:p w:rsidR="00172CFB" w:rsidRPr="00172CFB" w:rsidRDefault="00172CFB" w:rsidP="00172CFB">
      <w:pPr>
        <w:pStyle w:val="EndNoteBibliography"/>
        <w:spacing w:after="0"/>
      </w:pPr>
      <w:bookmarkStart w:id="44" w:name="_ENREF_44"/>
      <w:r w:rsidRPr="00172CFB">
        <w:t>Laverty, T.M., 1992. Plant interactions for pollinator visits: a test of the magnet species effect. Oecologia 89, 502-508.</w:t>
      </w:r>
      <w:bookmarkEnd w:id="44"/>
    </w:p>
    <w:p w:rsidR="00172CFB" w:rsidRPr="00172CFB" w:rsidRDefault="00172CFB" w:rsidP="00172CFB">
      <w:pPr>
        <w:pStyle w:val="EndNoteBibliography"/>
        <w:spacing w:after="0"/>
      </w:pPr>
      <w:bookmarkStart w:id="45" w:name="_ENREF_45"/>
      <w:r w:rsidRPr="00172CFB">
        <w:t>Mahall, B.E., Callaway, R.M., 1991. Root communication among desert shrubs. Proceedings of the National Academy of Sciences 88, 874-876.</w:t>
      </w:r>
      <w:bookmarkEnd w:id="45"/>
    </w:p>
    <w:p w:rsidR="00172CFB" w:rsidRPr="00172CFB" w:rsidRDefault="00172CFB" w:rsidP="00172CFB">
      <w:pPr>
        <w:pStyle w:val="EndNoteBibliography"/>
        <w:spacing w:after="0"/>
      </w:pPr>
      <w:bookmarkStart w:id="46" w:name="_ENREF_46"/>
      <w:r w:rsidRPr="00172CFB">
        <w:t>Mahall, B.E., Callaway, R.M., 1992. Root communication mechanisms and intracommunity distributions of two Mojave Desert shrubs. Ecology 73, 2145-2151.</w:t>
      </w:r>
      <w:bookmarkEnd w:id="46"/>
    </w:p>
    <w:p w:rsidR="00172CFB" w:rsidRPr="00172CFB" w:rsidRDefault="00172CFB" w:rsidP="00172CFB">
      <w:pPr>
        <w:pStyle w:val="EndNoteBibliography"/>
        <w:spacing w:after="0"/>
      </w:pPr>
      <w:bookmarkStart w:id="47" w:name="_ENREF_47"/>
      <w:r w:rsidRPr="00172CFB">
        <w:t>Marshall, S., 2012. Flies. The natural history and diversity of Diptera.</w:t>
      </w:r>
      <w:bookmarkEnd w:id="47"/>
    </w:p>
    <w:p w:rsidR="00172CFB" w:rsidRPr="00172CFB" w:rsidRDefault="00172CFB" w:rsidP="00172CFB">
      <w:pPr>
        <w:pStyle w:val="EndNoteBibliography"/>
        <w:spacing w:after="0"/>
      </w:pPr>
      <w:bookmarkStart w:id="48" w:name="_ENREF_48"/>
      <w:r w:rsidRPr="00172CFB">
        <w:t>McIntire, E.J., Fajardo, A., 2014. Facilitation as a ubiquitous driver of biodiversity. New Phytologist 201, 403-416.</w:t>
      </w:r>
      <w:bookmarkEnd w:id="48"/>
    </w:p>
    <w:p w:rsidR="00172CFB" w:rsidRPr="00172CFB" w:rsidRDefault="00172CFB" w:rsidP="00172CFB">
      <w:pPr>
        <w:pStyle w:val="EndNoteBibliography"/>
        <w:spacing w:after="0"/>
      </w:pPr>
      <w:bookmarkStart w:id="49" w:name="_ENREF_49"/>
      <w:r w:rsidRPr="00172CFB">
        <w:t>McKinney, A.M., Goodell, K., 2010. Shading by invasive shrub reduces seed production and pollinator services in a native herb. Biological Invasions 12, 2751-2763.</w:t>
      </w:r>
      <w:bookmarkEnd w:id="49"/>
    </w:p>
    <w:p w:rsidR="00172CFB" w:rsidRPr="00172CFB" w:rsidRDefault="00172CFB" w:rsidP="00172CFB">
      <w:pPr>
        <w:pStyle w:val="EndNoteBibliography"/>
        <w:spacing w:after="0"/>
      </w:pPr>
      <w:bookmarkStart w:id="50" w:name="_ENREF_50"/>
      <w:r w:rsidRPr="00172CFB">
        <w:t>McPeek, M.A., Peckarsky, B.L., 1998. Life histories and the strengths of species interactions: combining mortality, growth, and fecundity effects. Ecology 79, 867-879.</w:t>
      </w:r>
      <w:bookmarkEnd w:id="50"/>
    </w:p>
    <w:p w:rsidR="00172CFB" w:rsidRPr="00172CFB" w:rsidRDefault="00172CFB" w:rsidP="00172CFB">
      <w:pPr>
        <w:pStyle w:val="EndNoteBibliography"/>
        <w:spacing w:after="0"/>
      </w:pPr>
      <w:bookmarkStart w:id="51" w:name="_ENREF_51"/>
      <w:r w:rsidRPr="00172CFB">
        <w:t>Michener, C.D., 2000. The bees of the world. JHU press.</w:t>
      </w:r>
      <w:bookmarkEnd w:id="51"/>
    </w:p>
    <w:p w:rsidR="00172CFB" w:rsidRPr="00172CFB" w:rsidRDefault="00172CFB" w:rsidP="00172CFB">
      <w:pPr>
        <w:pStyle w:val="EndNoteBibliography"/>
        <w:spacing w:after="0"/>
      </w:pPr>
      <w:bookmarkStart w:id="52" w:name="_ENREF_52"/>
      <w:r w:rsidRPr="00172CFB">
        <w:t>Michener, C.D., McGinley, R.J., Danforth, B.N., 1994. The bee genera of North and Central America (Hymenoptera: Apoidea). Smithsonian Institution Press.</w:t>
      </w:r>
      <w:bookmarkEnd w:id="52"/>
    </w:p>
    <w:p w:rsidR="00172CFB" w:rsidRPr="00172CFB" w:rsidRDefault="00172CFB" w:rsidP="00172CFB">
      <w:pPr>
        <w:pStyle w:val="EndNoteBibliography"/>
        <w:spacing w:after="0"/>
      </w:pPr>
      <w:bookmarkStart w:id="53" w:name="_ENREF_53"/>
      <w:r w:rsidRPr="00172CFB">
        <w:t>Minckley, R.L., Cane, J.H., Kervin, L., Roulston, T., 1999. Spatial predictability and resource specialization of bees (Hymenoptera: Apoidea) at a superabundant, widespread resource. Biological Journal of the Linnean Society 67, 119-147.</w:t>
      </w:r>
      <w:bookmarkEnd w:id="53"/>
    </w:p>
    <w:p w:rsidR="00172CFB" w:rsidRPr="00172CFB" w:rsidRDefault="00172CFB" w:rsidP="00172CFB">
      <w:pPr>
        <w:pStyle w:val="EndNoteBibliography"/>
        <w:spacing w:after="0"/>
      </w:pPr>
      <w:bookmarkStart w:id="54" w:name="_ENREF_54"/>
      <w:r w:rsidRPr="00172CFB">
        <w:t>Miranda, G., Young, A., Locke, M., Marshall, S., Skevington, J., Thompson, F., 2013. Key to the genera of Nearctic Syrphidae. Canadian Journal of Arthropod Identification 23, 351.</w:t>
      </w:r>
      <w:bookmarkEnd w:id="54"/>
    </w:p>
    <w:p w:rsidR="00172CFB" w:rsidRPr="00172CFB" w:rsidRDefault="00172CFB" w:rsidP="00172CFB">
      <w:pPr>
        <w:pStyle w:val="EndNoteBibliography"/>
        <w:spacing w:after="0"/>
      </w:pPr>
      <w:bookmarkStart w:id="55" w:name="_ENREF_55"/>
      <w:r w:rsidRPr="00172CFB">
        <w:t>Molina-Montenegro, M.A., Badano, E.I., Cavieres, L.A., 2008. Positive interactions among plant species for pollinator service: assessing the ‘magnet species’ concept with invasive species. Oikos 117, 1833-1839.</w:t>
      </w:r>
      <w:bookmarkEnd w:id="55"/>
    </w:p>
    <w:p w:rsidR="00172CFB" w:rsidRPr="00172CFB" w:rsidRDefault="00172CFB" w:rsidP="00172CFB">
      <w:pPr>
        <w:pStyle w:val="EndNoteBibliography"/>
        <w:spacing w:after="0"/>
      </w:pPr>
      <w:bookmarkStart w:id="56" w:name="_ENREF_56"/>
      <w:r w:rsidRPr="00172CFB">
        <w:t>Morhardt, S., Morhardt, E., 2004. California desert flowers: an introduction to families, genera, and species. Univ of California Press.</w:t>
      </w:r>
      <w:bookmarkEnd w:id="56"/>
    </w:p>
    <w:p w:rsidR="00172CFB" w:rsidRPr="00172CFB" w:rsidRDefault="00172CFB" w:rsidP="00172CFB">
      <w:pPr>
        <w:pStyle w:val="EndNoteBibliography"/>
        <w:spacing w:after="0"/>
      </w:pPr>
      <w:bookmarkStart w:id="57" w:name="_ENREF_57"/>
      <w:r w:rsidRPr="00172CFB">
        <w:t>Morse, D.H., 1981. Interactions among syrphid flies and bumblebees on flowers. Ecology 62, 81-88.</w:t>
      </w:r>
      <w:bookmarkEnd w:id="57"/>
    </w:p>
    <w:p w:rsidR="00172CFB" w:rsidRPr="00172CFB" w:rsidRDefault="00172CFB" w:rsidP="00172CFB">
      <w:pPr>
        <w:pStyle w:val="EndNoteBibliography"/>
        <w:spacing w:after="0"/>
      </w:pPr>
      <w:bookmarkStart w:id="58" w:name="_ENREF_58"/>
      <w:r w:rsidRPr="00172CFB">
        <w:t>Mosquin, T., 1971. Competition for pollinators as a stimulus for the evolution of flowering time. Oikos, 398-402.</w:t>
      </w:r>
      <w:bookmarkEnd w:id="58"/>
    </w:p>
    <w:p w:rsidR="00172CFB" w:rsidRPr="00172CFB" w:rsidRDefault="00172CFB" w:rsidP="00172CFB">
      <w:pPr>
        <w:pStyle w:val="EndNoteBibliography"/>
        <w:spacing w:after="0"/>
      </w:pPr>
      <w:bookmarkStart w:id="59"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59"/>
    </w:p>
    <w:p w:rsidR="00172CFB" w:rsidRPr="00172CFB" w:rsidRDefault="00172CFB" w:rsidP="00172CFB">
      <w:pPr>
        <w:pStyle w:val="EndNoteBibliography"/>
        <w:spacing w:after="0"/>
      </w:pPr>
      <w:bookmarkStart w:id="60" w:name="_ENREF_60"/>
      <w:r w:rsidRPr="00172CFB">
        <w:t>Oliver, I., Beattie, A.J., 1993. A possible method for the rapid assessment of biodiversity. Conservation biology 7, 562-568.</w:t>
      </w:r>
      <w:bookmarkEnd w:id="60"/>
    </w:p>
    <w:p w:rsidR="00172CFB" w:rsidRPr="00172CFB" w:rsidRDefault="00172CFB" w:rsidP="00172CFB">
      <w:pPr>
        <w:pStyle w:val="EndNoteBibliography"/>
        <w:spacing w:after="0"/>
      </w:pPr>
      <w:bookmarkStart w:id="61" w:name="_ENREF_61"/>
      <w:r w:rsidRPr="00172CFB">
        <w:t>Pellmyr, O., 2003. Yuccas, yucca moths, and coevolution: a review. Annals of the Missouri Botanical Garden, 35-55.</w:t>
      </w:r>
      <w:bookmarkEnd w:id="61"/>
    </w:p>
    <w:p w:rsidR="00172CFB" w:rsidRPr="00172CFB" w:rsidRDefault="00172CFB" w:rsidP="00172CFB">
      <w:pPr>
        <w:pStyle w:val="EndNoteBibliography"/>
        <w:spacing w:after="0"/>
      </w:pPr>
      <w:bookmarkStart w:id="62" w:name="_ENREF_62"/>
      <w:r w:rsidRPr="00172CFB">
        <w:lastRenderedPageBreak/>
        <w:t>Proctor, E., Nol, E., Burke, D., Crins, W.J., 2012. Responses of insect pollinators and understory plants to silviculture in northern hardwood forests. Biodiversity and Conservation 21, 1703-1740.</w:t>
      </w:r>
      <w:bookmarkEnd w:id="62"/>
    </w:p>
    <w:p w:rsidR="00172CFB" w:rsidRPr="00172CFB" w:rsidRDefault="00172CFB" w:rsidP="00172CFB">
      <w:pPr>
        <w:pStyle w:val="EndNoteBibliography"/>
        <w:spacing w:after="0"/>
      </w:pPr>
      <w:bookmarkStart w:id="63" w:name="_ENREF_63"/>
      <w:r w:rsidRPr="00172CFB">
        <w:t>Pugnaire, F.I., Haase, P., Puigdefabregas, J., 1996. Facilitation between higher plant species in a semiarid environment. Ecology 77, 1420-1426.</w:t>
      </w:r>
      <w:bookmarkEnd w:id="63"/>
    </w:p>
    <w:p w:rsidR="00172CFB" w:rsidRPr="00172CFB" w:rsidRDefault="00172CFB" w:rsidP="00172CFB">
      <w:pPr>
        <w:pStyle w:val="EndNoteBibliography"/>
        <w:spacing w:after="0"/>
      </w:pPr>
      <w:bookmarkStart w:id="64" w:name="_ENREF_64"/>
      <w:r w:rsidRPr="00172CFB">
        <w:t>Pyke, G.H., 1984. Optimal foraging theory: a critical review. Annual review of ecology and systematics 15, 523-575.</w:t>
      </w:r>
      <w:bookmarkEnd w:id="64"/>
    </w:p>
    <w:p w:rsidR="00172CFB" w:rsidRPr="00172CFB" w:rsidRDefault="00172CFB" w:rsidP="00172CFB">
      <w:pPr>
        <w:pStyle w:val="EndNoteBibliography"/>
        <w:spacing w:after="0"/>
      </w:pPr>
      <w:bookmarkStart w:id="65" w:name="_ENREF_65"/>
      <w:r w:rsidRPr="00172CFB">
        <w:t>Pyke, G.H., Pulliam, H.R., Charnov, E.L., 1977. Optimal foraging: a selective review of theory and tests. The quarterly review of biology 52, 137-154.</w:t>
      </w:r>
      <w:bookmarkEnd w:id="65"/>
    </w:p>
    <w:p w:rsidR="00172CFB" w:rsidRPr="00172CFB" w:rsidRDefault="00172CFB" w:rsidP="00172CFB">
      <w:pPr>
        <w:pStyle w:val="EndNoteBibliography"/>
        <w:spacing w:after="0"/>
      </w:pPr>
      <w:bookmarkStart w:id="66" w:name="_ENREF_66"/>
      <w:r w:rsidRPr="00172CFB">
        <w:t>Reid, A.M., Lortie, C.J., 2012. Cushion plants are foundation species with positive effects extending to higher trophic levels. Ecosphere 3.</w:t>
      </w:r>
      <w:bookmarkEnd w:id="66"/>
    </w:p>
    <w:p w:rsidR="00172CFB" w:rsidRPr="00172CFB" w:rsidRDefault="00172CFB" w:rsidP="00172CFB">
      <w:pPr>
        <w:pStyle w:val="EndNoteBibliography"/>
        <w:spacing w:after="0"/>
      </w:pPr>
      <w:bookmarkStart w:id="67" w:name="_ENREF_67"/>
      <w:r w:rsidRPr="00172CFB">
        <w:t>Robertson, A.W., Mountjoy, C., Faulkner, B.E., Roberts, M.V., Macnair, M.R., 1999. Bumble bee selection of Mimulus guttatus flowers: the effects of pollen quality and reward depletion. Ecology 80, 2594-2606.</w:t>
      </w:r>
      <w:bookmarkEnd w:id="67"/>
    </w:p>
    <w:p w:rsidR="00172CFB" w:rsidRPr="00172CFB" w:rsidRDefault="00172CFB" w:rsidP="00172CFB">
      <w:pPr>
        <w:pStyle w:val="EndNoteBibliography"/>
        <w:spacing w:after="0"/>
      </w:pPr>
      <w:bookmarkStart w:id="68"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68"/>
    </w:p>
    <w:p w:rsidR="00172CFB" w:rsidRPr="00172CFB" w:rsidRDefault="00172CFB" w:rsidP="00172CFB">
      <w:pPr>
        <w:pStyle w:val="EndNoteBibliography"/>
        <w:spacing w:after="0"/>
      </w:pPr>
      <w:bookmarkStart w:id="69" w:name="_ENREF_69"/>
      <w:r w:rsidRPr="00172CFB">
        <w:t>Rousset, O., Lepart, J., 2000. Positive and negative interactions at different life stages of a colonizing species (Quercus humilis). Journal of Ecology 88, 401-412.</w:t>
      </w:r>
      <w:bookmarkEnd w:id="69"/>
    </w:p>
    <w:p w:rsidR="00172CFB" w:rsidRPr="00172CFB" w:rsidRDefault="00172CFB" w:rsidP="00172CFB">
      <w:pPr>
        <w:pStyle w:val="EndNoteBibliography"/>
        <w:spacing w:after="0"/>
      </w:pPr>
      <w:bookmarkStart w:id="70" w:name="_ENREF_70"/>
      <w:r w:rsidRPr="00172CFB">
        <w:t>Rundel, P.W., Gibson, A.C., 2005. Ecological communities and processes in a Mojave Desert ecosystem. Cambridge University Press.</w:t>
      </w:r>
      <w:bookmarkEnd w:id="70"/>
    </w:p>
    <w:p w:rsidR="00172CFB" w:rsidRPr="00172CFB" w:rsidRDefault="00172CFB" w:rsidP="00172CFB">
      <w:pPr>
        <w:pStyle w:val="EndNoteBibliography"/>
        <w:spacing w:after="0"/>
      </w:pPr>
      <w:bookmarkStart w:id="71" w:name="_ENREF_71"/>
      <w:r w:rsidRPr="00172CFB">
        <w:t>Rutowski, R.L., Alcock, J., 1980. Temporal variation in male copulatory behaviour in the solitary bee Nomadopsis puellae (Hymenoptera: Andrenidae). Behaviour 73, 175-187.</w:t>
      </w:r>
      <w:bookmarkEnd w:id="71"/>
    </w:p>
    <w:p w:rsidR="00172CFB" w:rsidRPr="00172CFB" w:rsidRDefault="00172CFB" w:rsidP="00172CFB">
      <w:pPr>
        <w:pStyle w:val="EndNoteBibliography"/>
        <w:spacing w:after="0"/>
      </w:pPr>
      <w:bookmarkStart w:id="72" w:name="_ENREF_72"/>
      <w:r w:rsidRPr="00172CFB">
        <w:t>Ruttan, A., Filazzola, A., Lortie, C.J., 2016. Shrub-annual facilitation complexes mediate insect community structure in arid environments. Journal of Arid Environments 134, 1-9.</w:t>
      </w:r>
      <w:bookmarkEnd w:id="72"/>
    </w:p>
    <w:p w:rsidR="00172CFB" w:rsidRPr="00172CFB" w:rsidRDefault="00172CFB" w:rsidP="00172CFB">
      <w:pPr>
        <w:pStyle w:val="EndNoteBibliography"/>
        <w:spacing w:after="0"/>
      </w:pPr>
      <w:bookmarkStart w:id="73" w:name="_ENREF_73"/>
      <w:r w:rsidRPr="00172CFB">
        <w:t>Saul-Gershenz, L., Millar, J., McElfresh, J., 2012. Mojave National Preserve. National Park Service U.S. Department of the Interior. , https://</w:t>
      </w:r>
      <w:hyperlink r:id="rId8" w:history="1">
        <w:r w:rsidRPr="00172CFB">
          <w:rPr>
            <w:rStyle w:val="Hyperlink"/>
          </w:rPr>
          <w:t>www.nps.gov/moja/learn/nature/upload/201204MOJAscience.pdf</w:t>
        </w:r>
      </w:hyperlink>
      <w:r w:rsidRPr="00172CFB">
        <w:t>.</w:t>
      </w:r>
      <w:bookmarkEnd w:id="73"/>
    </w:p>
    <w:p w:rsidR="00172CFB" w:rsidRPr="00172CFB" w:rsidRDefault="00172CFB" w:rsidP="00172CFB">
      <w:pPr>
        <w:pStyle w:val="EndNoteBibliography"/>
        <w:spacing w:after="0"/>
      </w:pPr>
      <w:bookmarkStart w:id="74"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74"/>
    </w:p>
    <w:p w:rsidR="00172CFB" w:rsidRPr="00172CFB" w:rsidRDefault="00172CFB" w:rsidP="00172CFB">
      <w:pPr>
        <w:pStyle w:val="EndNoteBibliography"/>
        <w:spacing w:after="0"/>
      </w:pPr>
      <w:bookmarkStart w:id="75" w:name="_ENREF_75"/>
      <w:r w:rsidRPr="00172CFB">
        <w:t>Schemske, D.W., 1981. Floral convergence and pollinator sharing in two bee‐pollinated tropical herbs. Ecology 62, 946-954.</w:t>
      </w:r>
      <w:bookmarkEnd w:id="75"/>
    </w:p>
    <w:p w:rsidR="00172CFB" w:rsidRPr="00172CFB" w:rsidRDefault="00172CFB" w:rsidP="00172CFB">
      <w:pPr>
        <w:pStyle w:val="EndNoteBibliography"/>
        <w:spacing w:after="0"/>
      </w:pPr>
      <w:bookmarkStart w:id="76" w:name="_ENREF_76"/>
      <w:r w:rsidRPr="00172CFB">
        <w:t>Shavit, O., Dafni, A., Ne'eman, G., 2009. Competition between honeybees (Apis mellifera) and native solitary bees in the Mediterranean region of Israel—Implications for conservation. Israel Journal of Plant Sciences 57, 171-183.</w:t>
      </w:r>
      <w:bookmarkEnd w:id="76"/>
    </w:p>
    <w:p w:rsidR="00172CFB" w:rsidRPr="00172CFB" w:rsidRDefault="00172CFB" w:rsidP="00172CFB">
      <w:pPr>
        <w:pStyle w:val="EndNoteBibliography"/>
        <w:spacing w:after="0"/>
      </w:pPr>
      <w:bookmarkStart w:id="77"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77"/>
    </w:p>
    <w:p w:rsidR="00172CFB" w:rsidRPr="00172CFB" w:rsidRDefault="00172CFB" w:rsidP="00172CFB">
      <w:pPr>
        <w:pStyle w:val="EndNoteBibliography"/>
        <w:spacing w:after="0"/>
      </w:pPr>
      <w:bookmarkStart w:id="78" w:name="_ENREF_78"/>
      <w:r w:rsidRPr="00172CFB">
        <w:t>Simpson, B.B., Neff, J.L., 1987. Pollination Ecology in the Southwest. Aliso: A Journal of Systematic and Evolutionary Botany 11, 417-440.</w:t>
      </w:r>
      <w:bookmarkEnd w:id="78"/>
    </w:p>
    <w:p w:rsidR="00172CFB" w:rsidRPr="00172CFB" w:rsidRDefault="00172CFB" w:rsidP="00172CFB">
      <w:pPr>
        <w:pStyle w:val="EndNoteBibliography"/>
        <w:spacing w:after="0"/>
      </w:pPr>
      <w:bookmarkStart w:id="79" w:name="_ENREF_79"/>
      <w:r w:rsidRPr="00172CFB">
        <w:t>Suzán, H., Nabhan, G.P., Patten, D.T., 1994. Nurse plant and floral biology of a rare night‐blooming cereus, Peniocereus striatus (Brandegee) F. Buxbaum. Conservation Biology 8, 461-470.</w:t>
      </w:r>
      <w:bookmarkEnd w:id="79"/>
    </w:p>
    <w:p w:rsidR="00172CFB" w:rsidRPr="00172CFB" w:rsidRDefault="00172CFB" w:rsidP="00172CFB">
      <w:pPr>
        <w:pStyle w:val="EndNoteBibliography"/>
        <w:spacing w:after="0"/>
      </w:pPr>
      <w:bookmarkStart w:id="80" w:name="_ENREF_80"/>
      <w:r w:rsidRPr="00172CFB">
        <w:lastRenderedPageBreak/>
        <w:t>Terry, T.J., Nelson, C.R., 2017. Composition and seasonal abundance of hover flies (Diptera: Syrphidae) at a midelevation site in central Utah. Western North American Naturalist 77, 487-499.</w:t>
      </w:r>
      <w:bookmarkEnd w:id="80"/>
    </w:p>
    <w:p w:rsidR="00172CFB" w:rsidRPr="00172CFB" w:rsidRDefault="00172CFB" w:rsidP="00172CFB">
      <w:pPr>
        <w:pStyle w:val="EndNoteBibliography"/>
        <w:spacing w:after="0"/>
      </w:pPr>
      <w:bookmarkStart w:id="81" w:name="_ENREF_81"/>
      <w:r w:rsidRPr="00172CFB">
        <w:t>Teskey, H., Vockeroth, J., Wood, D., 1981. Manual of Nearctic Diptera. Ottawa, Research Branch, Agriculture Canada, Monograph 27.</w:t>
      </w:r>
      <w:bookmarkEnd w:id="81"/>
    </w:p>
    <w:p w:rsidR="00172CFB" w:rsidRPr="00172CFB" w:rsidRDefault="00172CFB" w:rsidP="00172CFB">
      <w:pPr>
        <w:pStyle w:val="EndNoteBibliography"/>
        <w:spacing w:after="0"/>
      </w:pPr>
      <w:bookmarkStart w:id="82" w:name="_ENREF_82"/>
      <w:r w:rsidRPr="00172CFB">
        <w:t>Thomson, J.D., 1978. Effects of Stand Composition on Insect Visitation in Two-Species Mixtures of Hieracium. American Midland Naturalist 100, 431-440.</w:t>
      </w:r>
      <w:bookmarkEnd w:id="82"/>
    </w:p>
    <w:p w:rsidR="00172CFB" w:rsidRPr="00172CFB" w:rsidRDefault="00172CFB" w:rsidP="00172CFB">
      <w:pPr>
        <w:pStyle w:val="EndNoteBibliography"/>
        <w:spacing w:after="0"/>
      </w:pPr>
      <w:bookmarkStart w:id="83" w:name="_ENREF_83"/>
      <w:r w:rsidRPr="00172CFB">
        <w:t>Tielbörger, K., Kadmon, R., 2000. Temporal environmental variation tips the balance between facilitation and interference in desert plants. Ecology 81, 1544-1553.</w:t>
      </w:r>
      <w:bookmarkEnd w:id="83"/>
    </w:p>
    <w:p w:rsidR="00172CFB" w:rsidRPr="00172CFB" w:rsidRDefault="00172CFB" w:rsidP="00172CFB">
      <w:pPr>
        <w:pStyle w:val="EndNoteBibliography"/>
        <w:spacing w:after="0"/>
      </w:pPr>
      <w:bookmarkStart w:id="84" w:name="_ENREF_84"/>
      <w:r w:rsidRPr="00172CFB">
        <w:t>Triplehorn, C., Johnson, N.F., 2005. Borror and delong’s introduction to the study of insects. Brooks. Cole, Belmont, California, USA.</w:t>
      </w:r>
      <w:bookmarkEnd w:id="84"/>
    </w:p>
    <w:p w:rsidR="00172CFB" w:rsidRPr="00172CFB" w:rsidRDefault="00172CFB" w:rsidP="00172CFB">
      <w:pPr>
        <w:pStyle w:val="EndNoteBibliography"/>
        <w:spacing w:after="0"/>
      </w:pPr>
      <w:bookmarkStart w:id="85"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85"/>
    </w:p>
    <w:p w:rsidR="00172CFB" w:rsidRPr="00172CFB" w:rsidRDefault="00172CFB" w:rsidP="00172CFB">
      <w:pPr>
        <w:pStyle w:val="EndNoteBibliography"/>
        <w:spacing w:after="0"/>
      </w:pPr>
      <w:bookmarkStart w:id="86" w:name="_ENREF_86"/>
      <w:r w:rsidRPr="00172CFB">
        <w:t>Valiente‐Banuet, A., Verdú, M., 2007. Facilitation can increase the phylogenetic diversity of plant communities. Ecology letters 10, 1029-1036.</w:t>
      </w:r>
      <w:bookmarkEnd w:id="86"/>
    </w:p>
    <w:p w:rsidR="00172CFB" w:rsidRPr="00172CFB" w:rsidRDefault="00172CFB" w:rsidP="00172CFB">
      <w:pPr>
        <w:pStyle w:val="EndNoteBibliography"/>
        <w:spacing w:after="0"/>
      </w:pPr>
      <w:bookmarkStart w:id="87" w:name="_ENREF_87"/>
      <w:r w:rsidRPr="00172CFB">
        <w:t>Vasek, F.C., 1980. Creosote bush: long‐lived clones in the Mojave Desert. American Journal of Botany 67, 246-255.</w:t>
      </w:r>
      <w:bookmarkEnd w:id="87"/>
    </w:p>
    <w:p w:rsidR="00172CFB" w:rsidRPr="00172CFB" w:rsidRDefault="00172CFB" w:rsidP="00172CFB">
      <w:pPr>
        <w:pStyle w:val="EndNoteBibliography"/>
        <w:spacing w:after="0"/>
      </w:pPr>
      <w:bookmarkStart w:id="88" w:name="_ENREF_88"/>
      <w:r w:rsidRPr="00172CFB">
        <w:t>Vockeroth, J., 1992. The flower flies of the subfamily Syrphinae of Canada, Alaska, and Greenland: Diptera, Syrphidae. Agriculture Canada.</w:t>
      </w:r>
      <w:bookmarkEnd w:id="88"/>
    </w:p>
    <w:p w:rsidR="00172CFB" w:rsidRPr="00172CFB" w:rsidRDefault="00172CFB" w:rsidP="00172CFB">
      <w:pPr>
        <w:pStyle w:val="EndNoteBibliography"/>
        <w:spacing w:after="0"/>
      </w:pPr>
      <w:bookmarkStart w:id="89" w:name="_ENREF_89"/>
      <w:r w:rsidRPr="00172CFB">
        <w:t>Wainwright, C.M., 1978. Hymenopteran territoriality and its influences on the pollination ecology of Lupinus arizonicus. The Southwestern Naturalist, 605-615.</w:t>
      </w:r>
      <w:bookmarkEnd w:id="89"/>
    </w:p>
    <w:p w:rsidR="00172CFB" w:rsidRPr="00172CFB" w:rsidRDefault="00172CFB" w:rsidP="00172CFB">
      <w:pPr>
        <w:pStyle w:val="EndNoteBibliography"/>
        <w:spacing w:after="0"/>
      </w:pPr>
      <w:bookmarkStart w:id="90" w:name="_ENREF_90"/>
      <w:r w:rsidRPr="00172CFB">
        <w:t>Walters, B.B., Stiles, E.W., 1996. Effect of canopy gaps and flower patch size on pollinator visitation of Impatiens capensis. Bulletin of the Torrey Botanical Club, 184-188.</w:t>
      </w:r>
      <w:bookmarkEnd w:id="90"/>
    </w:p>
    <w:p w:rsidR="00172CFB" w:rsidRPr="00172CFB" w:rsidRDefault="00172CFB" w:rsidP="00172CFB">
      <w:pPr>
        <w:pStyle w:val="EndNoteBibliography"/>
        <w:spacing w:after="0"/>
      </w:pPr>
      <w:bookmarkStart w:id="91" w:name="_ENREF_91"/>
      <w:r w:rsidRPr="00172CFB">
        <w:t>Waser, N.M., 1986. Flower constancy: definition, cause, and measurement. The American Naturalist 127, 593-603.</w:t>
      </w:r>
      <w:bookmarkEnd w:id="91"/>
    </w:p>
    <w:p w:rsidR="00172CFB" w:rsidRPr="00172CFB" w:rsidRDefault="00172CFB" w:rsidP="00172CFB">
      <w:pPr>
        <w:pStyle w:val="EndNoteBibliography"/>
        <w:spacing w:after="0"/>
      </w:pPr>
      <w:bookmarkStart w:id="92" w:name="_ENREF_92"/>
      <w:r w:rsidRPr="00172CFB">
        <w:t>Wootton, J.T., 1994. The nature and consequences of indirect effects in ecological communities. Annual Review of Ecology and Systematics 25, 443-466.</w:t>
      </w:r>
      <w:bookmarkEnd w:id="92"/>
    </w:p>
    <w:p w:rsidR="00172CFB" w:rsidRPr="00172CFB" w:rsidRDefault="00172CFB" w:rsidP="00172CFB">
      <w:pPr>
        <w:pStyle w:val="EndNoteBibliography"/>
      </w:pPr>
      <w:bookmarkStart w:id="93" w:name="_ENREF_93"/>
      <w:r w:rsidRPr="00172CFB">
        <w:t>Yeaton, R.I., 1978. A cyclical relationship between Larrea tridentata and Opuntia leptocaulis in the northern Chihuahuan Desert. The Journal of Ecology, 651-656.</w:t>
      </w:r>
      <w:bookmarkEnd w:id="93"/>
    </w:p>
    <w:p w:rsidR="000F6F41" w:rsidRPr="00BA5800" w:rsidRDefault="00D7348A" w:rsidP="000F6F41">
      <w:r>
        <w:fldChar w:fldCharType="end"/>
      </w:r>
      <w:r w:rsidR="000F6F41" w:rsidRPr="00454DDC">
        <w:rPr>
          <w:u w:val="single"/>
        </w:rPr>
        <w:t>Figures</w:t>
      </w:r>
    </w:p>
    <w:p w:rsidR="000F6F41" w:rsidRDefault="000F6F41" w:rsidP="000F6F41">
      <w:r>
        <w:rPr>
          <w:noProof/>
        </w:rPr>
        <w:lastRenderedPageBreak/>
        <w:drawing>
          <wp:inline distT="0" distB="0" distL="0" distR="0" wp14:anchorId="64DA02C2" wp14:editId="1AA8C317">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rsidR="000F6F41" w:rsidRDefault="000F6F41" w:rsidP="000F6F41">
      <w:r>
        <w:t xml:space="preserve">Figure 1: The contribution of each recognizable taxonomic group (RTU) to the total number of flowers visited (weighted by video length) for each treatment. </w:t>
      </w:r>
    </w:p>
    <w:p w:rsidR="000F6F41" w:rsidRDefault="000F6F41" w:rsidP="000F6F41"/>
    <w:p w:rsidR="000F6F41" w:rsidRDefault="000F6F41" w:rsidP="000F6F41">
      <w:r>
        <w:rPr>
          <w:noProof/>
        </w:rPr>
        <w:drawing>
          <wp:inline distT="0" distB="0" distL="0" distR="0" wp14:anchorId="5751116F" wp14:editId="5C16C57C">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0">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rsidR="000F6F41" w:rsidRDefault="000F6F41" w:rsidP="000F6F41">
      <w:r w:rsidRPr="000C3C6E">
        <w:t xml:space="preserve">Figure 2: </w:t>
      </w:r>
      <w:r>
        <w:t xml:space="preserve">RTU specific responses in visit duration before and during blooming at each microsite. </w:t>
      </w:r>
    </w:p>
    <w:p w:rsidR="000F6F41" w:rsidRDefault="000F6F41" w:rsidP="000F6F41"/>
    <w:p w:rsidR="000F6F41" w:rsidRDefault="000F6F41" w:rsidP="000F6F41">
      <w:pPr>
        <w:spacing w:line="240" w:lineRule="auto"/>
      </w:pPr>
      <w:r>
        <w:rPr>
          <w:noProof/>
        </w:rPr>
        <w:lastRenderedPageBreak/>
        <w:drawing>
          <wp:inline distT="0" distB="0" distL="0" distR="0" wp14:anchorId="70A3110B" wp14:editId="3AD1BB86">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1">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1B13C625" wp14:editId="60A53156">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2">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rsidR="000F6F41" w:rsidRDefault="000F6F41" w:rsidP="000F6F41"/>
    <w:p w:rsidR="000F6F41" w:rsidRDefault="000F6F41" w:rsidP="000F6F41">
      <w:pPr>
        <w:spacing w:line="240" w:lineRule="auto"/>
      </w:pPr>
      <w:r>
        <w:rPr>
          <w:noProof/>
        </w:rPr>
        <w:drawing>
          <wp:inline distT="0" distB="0" distL="0" distR="0" wp14:anchorId="3C629D6A" wp14:editId="2E3DB7F0">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3">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rsidR="000F6F41" w:rsidRDefault="000F6F41" w:rsidP="000F6F41">
      <w:pPr>
        <w:spacing w:line="240" w:lineRule="auto"/>
      </w:pPr>
      <w:r>
        <w:t xml:space="preserve">Figure 4: Pollinator visitation rates increased with the number of Larrea tridentata flowers. </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r>
        <w:rPr>
          <w:noProof/>
        </w:rPr>
        <w:drawing>
          <wp:inline distT="0" distB="0" distL="0" distR="0" wp14:anchorId="10C63028" wp14:editId="1E322A54">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4">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pPr>
        <w:spacing w:line="240" w:lineRule="auto"/>
      </w:pPr>
    </w:p>
    <w:p w:rsidR="000F6F41" w:rsidRDefault="000F6F41" w:rsidP="000F6F41">
      <w:r>
        <w:rPr>
          <w:noProof/>
        </w:rPr>
        <w:lastRenderedPageBreak/>
        <w:drawing>
          <wp:inline distT="0" distB="0" distL="0" distR="0" wp14:anchorId="058E8A0C" wp14:editId="4852A44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5">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rsidR="000F6F41" w:rsidRDefault="000F6F41" w:rsidP="00ED4DC3"/>
    <w:p w:rsidR="000F6F41" w:rsidRDefault="000F6F41" w:rsidP="00ED4DC3"/>
    <w:p w:rsidR="000F6F41" w:rsidRDefault="000F6F41" w:rsidP="00ED4DC3"/>
    <w:p w:rsidR="000F6F41" w:rsidRDefault="000F6F41"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Default="006164D7" w:rsidP="00ED4DC3"/>
    <w:p w:rsidR="006164D7" w:rsidRPr="00B30E8C" w:rsidRDefault="00BA5800" w:rsidP="006164D7">
      <w:pPr>
        <w:rPr>
          <w:u w:val="single"/>
        </w:rPr>
      </w:pPr>
      <w:r>
        <w:rPr>
          <w:u w:val="single"/>
        </w:rPr>
        <w:lastRenderedPageBreak/>
        <w:t>Tables</w:t>
      </w:r>
    </w:p>
    <w:p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1705"/>
        <w:gridCol w:w="1057"/>
        <w:gridCol w:w="1512"/>
        <w:gridCol w:w="1594"/>
        <w:gridCol w:w="1518"/>
        <w:gridCol w:w="1512"/>
        <w:gridCol w:w="1007"/>
      </w:tblGrid>
      <w:tr w:rsidR="006164D7" w:rsidRPr="00144BC1"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b w:val="0"/>
              </w:rPr>
            </w:pPr>
          </w:p>
        </w:tc>
        <w:tc>
          <w:tcPr>
            <w:tcW w:w="4163"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rPr>
                <w:rFonts w:ascii="Times New Roman" w:hAnsi="Times New Roman" w:cs="Times New Roman"/>
                <w:sz w:val="20"/>
                <w:szCs w:val="20"/>
                <w:u w:val="single"/>
              </w:rPr>
            </w:pPr>
          </w:p>
        </w:tc>
        <w:tc>
          <w:tcPr>
            <w:tcW w:w="105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rsidTr="006164D7">
        <w:trPr>
          <w:trHeight w:val="432"/>
        </w:trPr>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p w:rsidR="006164D7" w:rsidRPr="00144BC1" w:rsidRDefault="006164D7" w:rsidP="006164D7">
            <w:pPr>
              <w:jc w:val="center"/>
              <w:rPr>
                <w:rFonts w:ascii="Times New Roman" w:hAnsi="Times New Roman" w:cs="Times New Roman"/>
                <w:b w:val="0"/>
                <w:sz w:val="20"/>
                <w:szCs w:val="20"/>
              </w:rPr>
            </w:pP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594"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c>
          <w:tcPr>
            <w:tcW w:w="1518"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0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p>
        </w:tc>
      </w:tr>
      <w:tr w:rsidR="006164D7" w:rsidRPr="00144BC1" w:rsidTr="006164D7">
        <w:tc>
          <w:tcPr>
            <w:cnfStyle w:val="001000000000" w:firstRow="0" w:lastRow="0" w:firstColumn="1" w:lastColumn="0" w:oddVBand="0" w:evenVBand="0" w:oddHBand="0" w:evenHBand="0" w:firstRowFirstColumn="0" w:firstRowLastColumn="0" w:lastRowFirstColumn="0" w:lastRowLastColumn="0"/>
            <w:tcW w:w="1705" w:type="dxa"/>
          </w:tcPr>
          <w:p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1057"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12" w:type="dxa"/>
          </w:tcPr>
          <w:p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594" w:type="dxa"/>
          </w:tcPr>
          <w:p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rsidR="006164D7" w:rsidRDefault="006164D7" w:rsidP="006164D7"/>
    <w:p w:rsidR="006164D7" w:rsidRDefault="006164D7" w:rsidP="006164D7">
      <w:r>
        <w:t xml:space="preserve">Table 2: Results from  GLMM (glmmTMB) testing for the influence of heterospecific annual floral density and shrub blooming density on the frequency of pollinator floral visits and foraging bouts. Each variable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9810" w:type="dxa"/>
        <w:tblLook w:val="06A0" w:firstRow="1" w:lastRow="0" w:firstColumn="1" w:lastColumn="0" w:noHBand="1" w:noVBand="1"/>
      </w:tblPr>
      <w:tblGrid>
        <w:gridCol w:w="1800"/>
        <w:gridCol w:w="900"/>
        <w:gridCol w:w="900"/>
        <w:gridCol w:w="810"/>
        <w:gridCol w:w="1408"/>
        <w:gridCol w:w="265"/>
        <w:gridCol w:w="1117"/>
        <w:gridCol w:w="900"/>
        <w:gridCol w:w="720"/>
        <w:gridCol w:w="990"/>
      </w:tblGrid>
      <w:tr w:rsidR="006164D7" w:rsidRPr="00005812" w:rsidTr="006164D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800" w:type="dxa"/>
          </w:tcPr>
          <w:p w:rsidR="006164D7" w:rsidRPr="00005812" w:rsidRDefault="006164D7" w:rsidP="006164D7">
            <w:pPr>
              <w:jc w:val="center"/>
              <w:rPr>
                <w:b w:val="0"/>
                <w:sz w:val="22"/>
                <w:szCs w:val="22"/>
              </w:rPr>
            </w:pPr>
          </w:p>
        </w:tc>
        <w:tc>
          <w:tcPr>
            <w:tcW w:w="4018"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005812" w:rsidTr="006164D7">
        <w:trPr>
          <w:trHeight w:val="234"/>
        </w:trPr>
        <w:tc>
          <w:tcPr>
            <w:cnfStyle w:val="001000000000" w:firstRow="0" w:lastRow="0" w:firstColumn="1" w:lastColumn="0" w:oddVBand="0" w:evenVBand="0" w:oddHBand="0" w:evenHBand="0" w:firstRowFirstColumn="0" w:firstRowLastColumn="0" w:lastRowFirstColumn="0" w:lastRowLastColumn="0"/>
            <w:tcW w:w="1800" w:type="dxa"/>
            <w:tcBorders>
              <w:bottom w:val="nil"/>
            </w:tcBorders>
          </w:tcPr>
          <w:p w:rsidR="006164D7" w:rsidRPr="00005812" w:rsidRDefault="006164D7" w:rsidP="006164D7">
            <w:pPr>
              <w:jc w:val="center"/>
              <w:rPr>
                <w:sz w:val="22"/>
                <w:szCs w:val="22"/>
                <w:u w:val="single"/>
              </w:rPr>
            </w:pP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408"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rsidTr="006164D7">
        <w:trPr>
          <w:trHeight w:val="275"/>
        </w:trPr>
        <w:tc>
          <w:tcPr>
            <w:cnfStyle w:val="001000000000" w:firstRow="0" w:lastRow="0" w:firstColumn="1" w:lastColumn="0" w:oddVBand="0" w:evenVBand="0" w:oddHBand="0" w:evenHBand="0" w:firstRowFirstColumn="0" w:firstRowLastColumn="0" w:lastRowFirstColumn="0" w:lastRowLastColumn="0"/>
            <w:tcW w:w="1800" w:type="dxa"/>
            <w:tcBorders>
              <w:top w:val="nil"/>
              <w:bottom w:val="nil"/>
            </w:tcBorders>
          </w:tcPr>
          <w:p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0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408"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-2.245</w:t>
            </w:r>
          </w:p>
        </w:tc>
        <w:tc>
          <w:tcPr>
            <w:tcW w:w="990" w:type="dxa"/>
            <w:tcBorders>
              <w:top w:val="single" w:sz="4" w:space="0" w:color="auto"/>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rsidTr="006164D7">
        <w:trPr>
          <w:trHeight w:val="293"/>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334467" w:rsidRDefault="006164D7" w:rsidP="006164D7">
            <w:pPr>
              <w:jc w:val="center"/>
              <w:rPr>
                <w:b w:val="0"/>
                <w:sz w:val="20"/>
                <w:szCs w:val="20"/>
              </w:rPr>
            </w:pPr>
            <w:r w:rsidRPr="00334467">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408"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-8.584</w:t>
            </w:r>
          </w:p>
        </w:tc>
        <w:tc>
          <w:tcPr>
            <w:tcW w:w="990" w:type="dxa"/>
            <w:tcBorders>
              <w:top w:val="nil"/>
            </w:tcBorders>
          </w:tcPr>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rsidTr="006164D7">
        <w:trPr>
          <w:trHeight w:val="320"/>
        </w:trPr>
        <w:tc>
          <w:tcPr>
            <w:cnfStyle w:val="001000000000" w:firstRow="0" w:lastRow="0" w:firstColumn="1" w:lastColumn="0" w:oddVBand="0" w:evenVBand="0" w:oddHBand="0" w:evenHBand="0" w:firstRowFirstColumn="0" w:firstRowLastColumn="0" w:lastRowFirstColumn="0" w:lastRowLastColumn="0"/>
            <w:tcW w:w="1800" w:type="dxa"/>
          </w:tcPr>
          <w:p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408"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rsidTr="006164D7">
        <w:trPr>
          <w:trHeight w:val="497"/>
        </w:trPr>
        <w:tc>
          <w:tcPr>
            <w:cnfStyle w:val="001000000000" w:firstRow="0" w:lastRow="0" w:firstColumn="1" w:lastColumn="0" w:oddVBand="0" w:evenVBand="0" w:oddHBand="0" w:evenHBand="0" w:firstRowFirstColumn="0" w:firstRowLastColumn="0" w:lastRowFirstColumn="0" w:lastRowLastColumn="0"/>
            <w:tcW w:w="1800" w:type="dxa"/>
            <w:tcBorders>
              <w:bottom w:val="single" w:sz="4" w:space="0" w:color="auto"/>
            </w:tcBorders>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w:t>
            </w:r>
          </w:p>
          <w:p w:rsidR="006164D7" w:rsidRPr="0033446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density</w:t>
            </w: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rsidTr="006164D7">
        <w:trPr>
          <w:trHeight w:val="33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auto"/>
              <w:bottom w:val="nil"/>
            </w:tcBorders>
          </w:tcPr>
          <w:p w:rsidR="006164D7" w:rsidRPr="000211E2" w:rsidRDefault="006164D7" w:rsidP="006164D7">
            <w:pPr>
              <w:jc w:val="center"/>
              <w:rPr>
                <w:b w:val="0"/>
                <w:sz w:val="20"/>
                <w:szCs w:val="20"/>
              </w:rPr>
            </w:pPr>
            <w:r w:rsidRPr="000211E2">
              <w:rPr>
                <w:sz w:val="20"/>
                <w:szCs w:val="20"/>
              </w:rPr>
              <w:t>Microsite (shrub)</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408"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-2.127</w:t>
            </w:r>
          </w:p>
        </w:tc>
        <w:tc>
          <w:tcPr>
            <w:tcW w:w="990" w:type="dxa"/>
            <w:tcBorders>
              <w:top w:val="single" w:sz="4" w:space="0" w:color="auto"/>
              <w:bottom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Borders>
              <w:top w:val="nil"/>
            </w:tcBorders>
          </w:tcPr>
          <w:p w:rsidR="006164D7" w:rsidRPr="000211E2" w:rsidRDefault="006164D7" w:rsidP="006164D7">
            <w:pPr>
              <w:jc w:val="center"/>
              <w:rPr>
                <w:b w:val="0"/>
                <w:sz w:val="20"/>
                <w:szCs w:val="20"/>
              </w:rPr>
            </w:pPr>
            <w:r w:rsidRPr="000211E2">
              <w:rPr>
                <w:sz w:val="20"/>
                <w:szCs w:val="20"/>
              </w:rPr>
              <w:t>Blooming (bloom)</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408"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-7.235</w:t>
            </w:r>
          </w:p>
        </w:tc>
        <w:tc>
          <w:tcPr>
            <w:tcW w:w="990" w:type="dxa"/>
            <w:tcBorders>
              <w:top w:val="nil"/>
            </w:tcBorders>
          </w:tcPr>
          <w:p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rsidTr="006164D7">
        <w:trPr>
          <w:trHeight w:val="258"/>
        </w:trPr>
        <w:tc>
          <w:tcPr>
            <w:cnfStyle w:val="001000000000" w:firstRow="0" w:lastRow="0" w:firstColumn="1" w:lastColumn="0" w:oddVBand="0" w:evenVBand="0" w:oddHBand="0" w:evenHBand="0" w:firstRowFirstColumn="0" w:firstRowLastColumn="0" w:lastRowFirstColumn="0" w:lastRowLastColumn="0"/>
            <w:tcW w:w="1800" w:type="dxa"/>
          </w:tcPr>
          <w:p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408"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rsidTr="006164D7">
        <w:trPr>
          <w:trHeight w:val="620"/>
        </w:trPr>
        <w:tc>
          <w:tcPr>
            <w:cnfStyle w:val="001000000000" w:firstRow="0" w:lastRow="0" w:firstColumn="1" w:lastColumn="0" w:oddVBand="0" w:evenVBand="0" w:oddHBand="0" w:evenHBand="0" w:firstRowFirstColumn="0" w:firstRowLastColumn="0" w:lastRowFirstColumn="0" w:lastRowLastColumn="0"/>
            <w:tcW w:w="1800" w:type="dxa"/>
          </w:tcPr>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blooming shrub </w:t>
            </w:r>
          </w:p>
          <w:p w:rsidR="006164D7" w:rsidRPr="000211E2"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density</w:t>
            </w: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08"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-0.835</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rsidR="006164D7" w:rsidRDefault="006164D7" w:rsidP="006164D7">
      <w:r>
        <w:lastRenderedPageBreak/>
        <w:t xml:space="preserve">Table 3: Results from quasi-poisson generalized linear mixed models (MASS, glmmPQL) testing for RTU specific interactions with blooming stage. The interaction term was added to the base model that includes microsite (shrub and open), blooming stage (pre-blooming and full bloom) and conspecific floral density was as predictors. The log-transformed length of video was used as an offset as a measure of exposure. The repID (shrub ID + microsite) was used a random effect to account for the repeated measures study design. </w:t>
      </w:r>
      <w:r w:rsidRPr="00BA750B">
        <w:t>Significance was denoted at α = 0.05 and shown in bold.</w:t>
      </w:r>
      <w:r>
        <w:t xml:space="preserve"> </w:t>
      </w:r>
    </w:p>
    <w:tbl>
      <w:tblPr>
        <w:tblStyle w:val="PlainTable2"/>
        <w:tblpPr w:leftFromText="180" w:rightFromText="180" w:vertAnchor="text" w:horzAnchor="margin" w:tblpXSpec="center" w:tblpY="202"/>
        <w:tblW w:w="10530" w:type="dxa"/>
        <w:tblLook w:val="06A0" w:firstRow="1" w:lastRow="0" w:firstColumn="1" w:lastColumn="0" w:noHBand="1" w:noVBand="1"/>
      </w:tblPr>
      <w:tblGrid>
        <w:gridCol w:w="2289"/>
        <w:gridCol w:w="1099"/>
        <w:gridCol w:w="1497"/>
        <w:gridCol w:w="1418"/>
        <w:gridCol w:w="303"/>
        <w:gridCol w:w="1645"/>
        <w:gridCol w:w="966"/>
        <w:gridCol w:w="1313"/>
      </w:tblGrid>
      <w:tr w:rsidR="006164D7" w:rsidRPr="000C2546"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6164D7" w:rsidRPr="00005812" w:rsidRDefault="006164D7" w:rsidP="006164D7">
            <w:pPr>
              <w:rPr>
                <w:b w:val="0"/>
                <w:sz w:val="22"/>
                <w:szCs w:val="22"/>
              </w:rPr>
            </w:pPr>
          </w:p>
        </w:tc>
        <w:tc>
          <w:tcPr>
            <w:tcW w:w="401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303" w:type="dxa"/>
            <w:tcBorders>
              <w:bottom w:val="nil"/>
            </w:tcBorders>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924" w:type="dxa"/>
            <w:gridSpan w:val="3"/>
          </w:tcPr>
          <w:p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Plant visits</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sz w:val="20"/>
                <w:szCs w:val="20"/>
                <w:u w:val="single"/>
              </w:rPr>
            </w:pPr>
          </w:p>
        </w:tc>
        <w:tc>
          <w:tcPr>
            <w:tcW w:w="1099"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497"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418"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303" w:type="dxa"/>
            <w:tcBorders>
              <w:top w:val="nil"/>
              <w:bottom w:val="nil"/>
            </w:tcBorders>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6164D7" w:rsidRPr="00DD3A3D" w:rsidTr="006164D7">
        <w:trPr>
          <w:trHeight w:val="210"/>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Microsite (shrub)</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497"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418" w:type="dxa"/>
            <w:tcBorders>
              <w:top w:val="nil"/>
            </w:tcBorders>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303" w:type="dxa"/>
            <w:tcBorders>
              <w:top w:val="nil"/>
            </w:tcBorders>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131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Blooming (bloom)</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6164D7" w:rsidRPr="00DD3A3D"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216D74" w:rsidRDefault="006164D7" w:rsidP="006164D7">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6164D7" w:rsidTr="006164D7">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099"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497"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303"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rsidR="006164D7" w:rsidRPr="00216D74"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1313"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6164D7" w:rsidRPr="00DD3A3D" w:rsidTr="006164D7">
        <w:trPr>
          <w:trHeight w:val="282"/>
        </w:trPr>
        <w:tc>
          <w:tcPr>
            <w:cnfStyle w:val="001000000000" w:firstRow="0" w:lastRow="0" w:firstColumn="1" w:lastColumn="0" w:oddVBand="0" w:evenVBand="0" w:oddHBand="0" w:evenHBand="0" w:firstRowFirstColumn="0" w:firstRowLastColumn="0" w:lastRowFirstColumn="0" w:lastRowLastColumn="0"/>
            <w:tcW w:w="2289" w:type="dxa"/>
          </w:tcPr>
          <w:p w:rsidR="006164D7" w:rsidRPr="0079431F" w:rsidRDefault="006164D7" w:rsidP="006164D7">
            <w:pPr>
              <w:jc w:val="center"/>
              <w:rPr>
                <w:b w:val="0"/>
                <w:sz w:val="20"/>
                <w:szCs w:val="20"/>
              </w:rPr>
            </w:pPr>
            <w:r w:rsidRPr="0079431F">
              <w:rPr>
                <w:sz w:val="20"/>
                <w:szCs w:val="20"/>
              </w:rPr>
              <w:t>RTU*blooming</w:t>
            </w:r>
          </w:p>
        </w:tc>
        <w:tc>
          <w:tcPr>
            <w:tcW w:w="1099"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497"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418"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30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131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rsidR="006164D7" w:rsidRDefault="006164D7" w:rsidP="006164D7"/>
    <w:p w:rsidR="006164D7" w:rsidRPr="00DA662B" w:rsidRDefault="006164D7" w:rsidP="006164D7">
      <w:pPr>
        <w:rPr>
          <w:rStyle w:val="gnkrckgcgsb"/>
        </w:rPr>
      </w:pPr>
      <w:r>
        <w:t xml:space="preserve">Table 4: Results from post-hoc test (lsmeans, Tukey’s) for the quasipoisson GLMM , contrasting RTU specific responses between pre-blooming and blooming. </w:t>
      </w:r>
      <w:r w:rsidRPr="00BA750B">
        <w:t>Significance was denoted at α = 0.05 and shown in bold.</w:t>
      </w:r>
      <w:r>
        <w:t xml:space="preserve"> </w:t>
      </w:r>
    </w:p>
    <w:tbl>
      <w:tblPr>
        <w:tblStyle w:val="PlainTable2"/>
        <w:tblpPr w:leftFromText="180" w:rightFromText="180" w:vertAnchor="text" w:horzAnchor="margin" w:tblpXSpec="center" w:tblpY="103"/>
        <w:tblW w:w="10255" w:type="dxa"/>
        <w:tblLook w:val="06A0" w:firstRow="1" w:lastRow="0" w:firstColumn="1" w:lastColumn="0" w:noHBand="1" w:noVBand="1"/>
      </w:tblPr>
      <w:tblGrid>
        <w:gridCol w:w="1440"/>
        <w:gridCol w:w="1080"/>
        <w:gridCol w:w="990"/>
        <w:gridCol w:w="1047"/>
        <w:gridCol w:w="1140"/>
        <w:gridCol w:w="1139"/>
        <w:gridCol w:w="1140"/>
        <w:gridCol w:w="1139"/>
        <w:gridCol w:w="1140"/>
      </w:tblGrid>
      <w:tr w:rsidR="006164D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rsidR="006164D7" w:rsidRPr="008A3170"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4257"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Floral Visits</w:t>
            </w:r>
          </w:p>
        </w:tc>
        <w:tc>
          <w:tcPr>
            <w:tcW w:w="4558" w:type="dxa"/>
            <w:gridSpan w:val="4"/>
          </w:tcPr>
          <w:p w:rsidR="006164D7" w:rsidRPr="0079431F" w:rsidRDefault="006164D7"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79431F">
              <w:rPr>
                <w:rStyle w:val="gnkrckgcgsb"/>
                <w:rFonts w:ascii="Times New Roman" w:hAnsi="Times New Roman" w:cs="Times New Roman"/>
                <w:color w:val="000000"/>
                <w:sz w:val="22"/>
                <w:szCs w:val="22"/>
                <w:bdr w:val="none" w:sz="0" w:space="0" w:color="auto" w:frame="1"/>
              </w:rPr>
              <w:t>Plant Visits</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6164D7" w:rsidTr="006164D7">
        <w:trPr>
          <w:trHeight w:val="162"/>
        </w:trPr>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6164D7" w:rsidTr="006164D7">
        <w:tc>
          <w:tcPr>
            <w:cnfStyle w:val="001000000000" w:firstRow="0" w:lastRow="0" w:firstColumn="1" w:lastColumn="0" w:oddVBand="0" w:evenVBand="0" w:oddHBand="0" w:evenHBand="0" w:firstRowFirstColumn="0" w:firstRowLastColumn="0" w:lastRowFirstColumn="0" w:lastRowLastColumn="0"/>
            <w:tcW w:w="1440" w:type="dxa"/>
          </w:tcPr>
          <w:p w:rsidR="006164D7" w:rsidRPr="0079431F" w:rsidRDefault="006164D7"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108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99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1047"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1139"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140" w:type="dxa"/>
          </w:tcPr>
          <w:p w:rsidR="006164D7" w:rsidRPr="008A3170" w:rsidRDefault="006164D7"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spacing w:line="240" w:lineRule="auto"/>
      </w:pPr>
      <w:r>
        <w:t xml:space="preserve">Table 5: Results from Gamma generalized linear mixed models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PlainTable2"/>
        <w:tblW w:w="10260" w:type="dxa"/>
        <w:tblLook w:val="04A0" w:firstRow="1" w:lastRow="0" w:firstColumn="1" w:lastColumn="0" w:noHBand="0" w:noVBand="1"/>
      </w:tblPr>
      <w:tblGrid>
        <w:gridCol w:w="1465"/>
        <w:gridCol w:w="1466"/>
        <w:gridCol w:w="1466"/>
        <w:gridCol w:w="1273"/>
        <w:gridCol w:w="1658"/>
        <w:gridCol w:w="1466"/>
        <w:gridCol w:w="1466"/>
      </w:tblGrid>
      <w:tr w:rsidR="006164D7" w:rsidRPr="000226F3"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4D23C7" w:rsidRDefault="006164D7" w:rsidP="006164D7">
            <w:pPr>
              <w:jc w:val="center"/>
              <w:rPr>
                <w:b w:val="0"/>
                <w:sz w:val="22"/>
                <w:szCs w:val="22"/>
              </w:rPr>
            </w:pPr>
          </w:p>
        </w:tc>
        <w:tc>
          <w:tcPr>
            <w:tcW w:w="4205"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590" w:type="dxa"/>
            <w:gridSpan w:val="3"/>
          </w:tcPr>
          <w:p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u w:val="single"/>
              </w:rPr>
            </w:pP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273"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658"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466" w:type="dxa"/>
          </w:tcPr>
          <w:p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rsidTr="006164D7">
        <w:trPr>
          <w:trHeight w:val="432"/>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58"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Blooming</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p w:rsidR="006164D7" w:rsidRPr="002A4DF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273"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p>
        </w:tc>
        <w:tc>
          <w:tcPr>
            <w:tcW w:w="1658"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0.08050</w:t>
            </w: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p w:rsidR="006164D7" w:rsidRPr="002A4DF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rsidTr="006164D7">
        <w:tc>
          <w:tcPr>
            <w:cnfStyle w:val="001000000000" w:firstRow="0" w:lastRow="0" w:firstColumn="1" w:lastColumn="0" w:oddVBand="0" w:evenVBand="0" w:oddHBand="0" w:evenHBand="0" w:firstRowFirstColumn="0" w:firstRowLastColumn="0" w:lastRowFirstColumn="0" w:lastRowLastColumn="0"/>
            <w:tcW w:w="1465" w:type="dxa"/>
          </w:tcPr>
          <w:p w:rsidR="006164D7" w:rsidRPr="00100EEB" w:rsidRDefault="006164D7" w:rsidP="006164D7">
            <w:pPr>
              <w:jc w:val="center"/>
              <w:rPr>
                <w:b w:val="0"/>
                <w:sz w:val="22"/>
                <w:szCs w:val="22"/>
              </w:rPr>
            </w:pPr>
            <w:r w:rsidRPr="00100EEB">
              <w:rPr>
                <w:sz w:val="22"/>
                <w:szCs w:val="22"/>
              </w:rPr>
              <w:t>Microsite * Blooming</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1466" w:type="dxa"/>
          </w:tcPr>
          <w:p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273"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658"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p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466" w:type="dxa"/>
          </w:tcPr>
          <w:p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rsidR="006164D7" w:rsidRDefault="006164D7" w:rsidP="006164D7">
      <w:pPr>
        <w:spacing w:line="240" w:lineRule="auto"/>
        <w:jc w:val="cente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lastRenderedPageBreak/>
        <w:t>Table 6: Results from quasipoisson GLMM (MASS, glmmPQL) testing for the influence of L. tridentata, and two metrics of conspecific density on conspecific and heterospecific pollen deposition. Sample nested in flower nested in plant were used as a random effect to account for samples coming from same plant.</w:t>
      </w:r>
      <w:r w:rsidRPr="009219EE">
        <w:t xml:space="preserve"> </w:t>
      </w:r>
      <w:r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p>
        </w:tc>
        <w:tc>
          <w:tcPr>
            <w:tcW w:w="4433"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u w:val="single"/>
              </w:rPr>
            </w:pPr>
          </w:p>
        </w:tc>
        <w:tc>
          <w:tcPr>
            <w:tcW w:w="126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rsidTr="006164D7">
        <w:tc>
          <w:tcPr>
            <w:cnfStyle w:val="001000000000" w:firstRow="0" w:lastRow="0" w:firstColumn="1" w:lastColumn="0" w:oddVBand="0" w:evenVBand="0" w:oddHBand="0" w:evenHBand="0" w:firstRowFirstColumn="0" w:firstRowLastColumn="0" w:lastRowFirstColumn="0" w:lastRowLastColumn="0"/>
            <w:tcW w:w="1629" w:type="dxa"/>
          </w:tcPr>
          <w:p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164D7" w:rsidRDefault="006164D7" w:rsidP="006164D7">
      <w:r>
        <w:t xml:space="preserve">Table 7: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Pr="00BA750B">
        <w:t>Significance was denoted at α = 0.05 and shown in bold.</w:t>
      </w:r>
      <w:r>
        <w:t xml:space="preserve"> </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F71F7B" w:rsidRDefault="006164D7" w:rsidP="006164D7">
            <w:pPr>
              <w:spacing w:line="480" w:lineRule="auto"/>
              <w:rPr>
                <w:b w:val="0"/>
                <w:sz w:val="22"/>
                <w:szCs w:val="22"/>
              </w:rPr>
            </w:pPr>
          </w:p>
        </w:tc>
        <w:tc>
          <w:tcPr>
            <w:tcW w:w="2944"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2970" w:type="dxa"/>
            <w:gridSpan w:val="3"/>
          </w:tcPr>
          <w:p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b w:val="0"/>
                <w:sz w:val="20"/>
                <w:szCs w:val="20"/>
                <w:u w:val="single"/>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24"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33"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c>
          <w:tcPr>
            <w:tcW w:w="90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r w:rsidRPr="0079431F">
              <w:rPr>
                <w:sz w:val="20"/>
                <w:szCs w:val="20"/>
              </w:rPr>
              <w:t>value</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sz w:val="20"/>
                <w:szCs w:val="20"/>
              </w:rPr>
              <w:t>p – value</w:t>
            </w:r>
          </w:p>
        </w:tc>
      </w:tr>
      <w:tr w:rsidR="006164D7" w:rsidRPr="00F71F7B"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Microsite</w:t>
            </w:r>
          </w:p>
          <w:p w:rsidR="006164D7" w:rsidRPr="0079431F" w:rsidRDefault="006164D7" w:rsidP="006164D7">
            <w:pPr>
              <w:jc w:val="center"/>
              <w:rPr>
                <w:b w:val="0"/>
                <w:sz w:val="20"/>
                <w:szCs w:val="20"/>
              </w:rPr>
            </w:pPr>
            <w:r w:rsidRPr="0079431F">
              <w:rPr>
                <w:sz w:val="20"/>
                <w:szCs w:val="20"/>
              </w:rPr>
              <w:t>(shrub)</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8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6164D7" w:rsidRPr="00F71F7B"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rsidR="006164D7" w:rsidRPr="0079431F" w:rsidRDefault="006164D7" w:rsidP="006164D7">
            <w:pPr>
              <w:jc w:val="center"/>
              <w:rPr>
                <w:sz w:val="20"/>
                <w:szCs w:val="20"/>
              </w:rPr>
            </w:pPr>
            <w:r w:rsidRPr="0079431F">
              <w:rPr>
                <w:sz w:val="20"/>
                <w:szCs w:val="20"/>
              </w:rPr>
              <w:t>Blooming</w:t>
            </w:r>
          </w:p>
          <w:p w:rsidR="006164D7" w:rsidRPr="0079431F" w:rsidRDefault="006164D7" w:rsidP="006164D7">
            <w:pPr>
              <w:jc w:val="center"/>
              <w:rPr>
                <w:b w:val="0"/>
                <w:sz w:val="20"/>
                <w:szCs w:val="20"/>
              </w:rPr>
            </w:pPr>
            <w:r w:rsidRPr="0079431F">
              <w:rPr>
                <w:sz w:val="20"/>
                <w:szCs w:val="20"/>
              </w:rPr>
              <w:t>(in bloom)</w:t>
            </w:r>
          </w:p>
        </w:tc>
        <w:tc>
          <w:tcPr>
            <w:tcW w:w="99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rsidR="006164D7" w:rsidRPr="00C66340"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900" w:type="dxa"/>
          </w:tcPr>
          <w:p w:rsidR="006164D7" w:rsidRPr="0079431F" w:rsidRDefault="006164D7" w:rsidP="006164D7">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p w:rsidR="006164D7" w:rsidRPr="0079431F"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080" w:type="dxa"/>
          </w:tcPr>
          <w:p w:rsidR="006164D7" w:rsidRPr="0079431F" w:rsidRDefault="006164D7" w:rsidP="006164D7">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6164D7" w:rsidRPr="00F71F7B" w:rsidTr="006164D7">
        <w:tc>
          <w:tcPr>
            <w:cnfStyle w:val="001000000000" w:firstRow="0" w:lastRow="0" w:firstColumn="1" w:lastColumn="0" w:oddVBand="0" w:evenVBand="0" w:oddHBand="0" w:evenHBand="0" w:firstRowFirstColumn="0" w:firstRowLastColumn="0" w:lastRowFirstColumn="0" w:lastRowLastColumn="0"/>
            <w:tcW w:w="1350" w:type="dxa"/>
          </w:tcPr>
          <w:p w:rsidR="006164D7" w:rsidRPr="008159F4" w:rsidRDefault="006164D7" w:rsidP="006164D7">
            <w:pPr>
              <w:jc w:val="center"/>
              <w:rPr>
                <w:sz w:val="20"/>
                <w:szCs w:val="20"/>
              </w:rPr>
            </w:pPr>
            <w:r w:rsidRPr="0079431F">
              <w:rPr>
                <w:sz w:val="20"/>
                <w:szCs w:val="20"/>
              </w:rPr>
              <w:t>Microsite * Blooming</w:t>
            </w:r>
          </w:p>
        </w:tc>
        <w:tc>
          <w:tcPr>
            <w:tcW w:w="99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rsidR="006164D7" w:rsidRPr="0079431F"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080" w:type="dxa"/>
          </w:tcPr>
          <w:p w:rsidR="006164D7" w:rsidRPr="0079431F"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00" w:type="dxa"/>
          </w:tcPr>
          <w:p w:rsidR="006164D7" w:rsidRPr="0079431F" w:rsidRDefault="006164D7"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90" w:type="dxa"/>
          </w:tcPr>
          <w:p w:rsidR="006164D7" w:rsidRPr="0079431F"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080" w:type="dxa"/>
          </w:tcPr>
          <w:p w:rsidR="006164D7" w:rsidRPr="00C66340"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rsidR="006164D7" w:rsidRDefault="006164D7" w:rsidP="006164D7"/>
    <w:p w:rsidR="006164D7" w:rsidRDefault="006164D7" w:rsidP="006164D7">
      <w:r>
        <w:t xml:space="preserve">Table 8: Results from poisson generalized linear mixed models (lme4, glmer.nb) testing for differences in bee abundance and arthropod species richness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 </w:t>
      </w:r>
    </w:p>
    <w:tbl>
      <w:tblPr>
        <w:tblStyle w:val="PlainTable2"/>
        <w:tblW w:w="9450" w:type="dxa"/>
        <w:tblLook w:val="06A0" w:firstRow="1" w:lastRow="0" w:firstColumn="1" w:lastColumn="0" w:noHBand="1" w:noVBand="1"/>
      </w:tblPr>
      <w:tblGrid>
        <w:gridCol w:w="1392"/>
        <w:gridCol w:w="1081"/>
        <w:gridCol w:w="1396"/>
        <w:gridCol w:w="1311"/>
        <w:gridCol w:w="1120"/>
        <w:gridCol w:w="1077"/>
        <w:gridCol w:w="2073"/>
      </w:tblGrid>
      <w:tr w:rsidR="006164D7" w:rsidRPr="0046589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rPr>
            </w:pPr>
          </w:p>
        </w:tc>
        <w:tc>
          <w:tcPr>
            <w:tcW w:w="1081" w:type="dxa"/>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2707" w:type="dxa"/>
            <w:gridSpan w:val="2"/>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Species Richness</w:t>
            </w:r>
          </w:p>
        </w:tc>
        <w:tc>
          <w:tcPr>
            <w:tcW w:w="4270" w:type="dxa"/>
            <w:gridSpan w:val="3"/>
          </w:tcPr>
          <w:p w:rsidR="006164D7" w:rsidRPr="0046589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465892" w:rsidRDefault="006164D7" w:rsidP="006164D7">
            <w:pPr>
              <w:jc w:val="center"/>
              <w:rPr>
                <w:b w:val="0"/>
                <w:sz w:val="22"/>
                <w:szCs w:val="22"/>
                <w:u w:val="single"/>
              </w:rPr>
            </w:pPr>
          </w:p>
        </w:tc>
        <w:tc>
          <w:tcPr>
            <w:tcW w:w="108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396"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1311"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c>
          <w:tcPr>
            <w:tcW w:w="1120"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465892">
              <w:rPr>
                <w:b/>
                <w:sz w:val="22"/>
                <w:szCs w:val="22"/>
              </w:rPr>
              <w:t>Coef</w:t>
            </w:r>
          </w:p>
        </w:tc>
        <w:tc>
          <w:tcPr>
            <w:tcW w:w="1077"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r w:rsidRPr="00465892">
              <w:rPr>
                <w:sz w:val="22"/>
                <w:szCs w:val="22"/>
              </w:rPr>
              <w:t>value</w:t>
            </w:r>
          </w:p>
        </w:tc>
        <w:tc>
          <w:tcPr>
            <w:tcW w:w="2073" w:type="dxa"/>
          </w:tcPr>
          <w:p w:rsidR="006164D7" w:rsidRPr="00465892" w:rsidRDefault="006164D7" w:rsidP="006164D7">
            <w:pPr>
              <w:jc w:val="center"/>
              <w:cnfStyle w:val="000000000000" w:firstRow="0" w:lastRow="0" w:firstColumn="0" w:lastColumn="0" w:oddVBand="0" w:evenVBand="0" w:oddHBand="0" w:evenHBand="0" w:firstRowFirstColumn="0" w:firstRowLastColumn="0" w:lastRowFirstColumn="0" w:lastRowLastColumn="0"/>
              <w:rPr>
                <w:sz w:val="22"/>
                <w:szCs w:val="22"/>
              </w:rPr>
            </w:pPr>
            <w:r w:rsidRPr="00465892">
              <w:rPr>
                <w:sz w:val="22"/>
                <w:szCs w:val="22"/>
              </w:rPr>
              <w:t>p – value</w:t>
            </w:r>
          </w:p>
        </w:tc>
      </w:tr>
      <w:tr w:rsidR="006164D7" w:rsidRPr="00465892" w:rsidTr="006164D7">
        <w:trPr>
          <w:trHeight w:val="333"/>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6164D7" w:rsidRPr="00465892" w:rsidTr="006164D7">
        <w:trPr>
          <w:trHeight w:val="270"/>
        </w:trPr>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31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1120"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1077"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2073"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6164D7" w:rsidRPr="00465892" w:rsidTr="006164D7">
        <w:tc>
          <w:tcPr>
            <w:cnfStyle w:val="001000000000" w:firstRow="0" w:lastRow="0" w:firstColumn="1" w:lastColumn="0" w:oddVBand="0" w:evenVBand="0" w:oddHBand="0" w:evenHBand="0" w:firstRowFirstColumn="0" w:firstRowLastColumn="0" w:lastRowFirstColumn="0" w:lastRowLastColumn="0"/>
            <w:tcW w:w="1392" w:type="dxa"/>
          </w:tcPr>
          <w:p w:rsidR="006164D7" w:rsidRPr="00DA662B" w:rsidRDefault="006164D7" w:rsidP="006164D7">
            <w:pPr>
              <w:jc w:val="center"/>
              <w:rPr>
                <w:b w:val="0"/>
                <w:sz w:val="20"/>
                <w:szCs w:val="20"/>
              </w:rPr>
            </w:pPr>
            <w:r w:rsidRPr="00DA662B">
              <w:rPr>
                <w:sz w:val="20"/>
                <w:szCs w:val="20"/>
              </w:rPr>
              <w:t>Microsite * Blooming</w:t>
            </w:r>
          </w:p>
        </w:tc>
        <w:tc>
          <w:tcPr>
            <w:tcW w:w="1081"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1396" w:type="dxa"/>
          </w:tcPr>
          <w:p w:rsidR="006164D7" w:rsidRPr="00DA662B"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311" w:type="dxa"/>
          </w:tcPr>
          <w:p w:rsidR="006164D7" w:rsidRPr="00DA662B"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120"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77"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2073" w:type="dxa"/>
          </w:tcPr>
          <w:p w:rsidR="006164D7" w:rsidRPr="00DA662B"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rsidR="006164D7" w:rsidRDefault="006164D7" w:rsidP="006164D7"/>
    <w:p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097"/>
        <w:gridCol w:w="774"/>
        <w:gridCol w:w="971"/>
        <w:gridCol w:w="1434"/>
        <w:gridCol w:w="804"/>
        <w:gridCol w:w="1028"/>
        <w:gridCol w:w="1042"/>
        <w:gridCol w:w="775"/>
        <w:gridCol w:w="714"/>
        <w:gridCol w:w="1346"/>
      </w:tblGrid>
      <w:tr w:rsidR="006164D7" w:rsidRPr="002A3859" w:rsidTr="00BA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2A3859" w:rsidRDefault="006164D7" w:rsidP="006164D7">
            <w:pPr>
              <w:jc w:val="center"/>
              <w:rPr>
                <w:b w:val="0"/>
              </w:rPr>
            </w:pPr>
          </w:p>
        </w:tc>
        <w:tc>
          <w:tcPr>
            <w:tcW w:w="3189"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Percent cover</w:t>
            </w:r>
          </w:p>
        </w:tc>
        <w:tc>
          <w:tcPr>
            <w:tcW w:w="2882"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sidRPr="000226F3">
              <w:rPr>
                <w:b w:val="0"/>
              </w:rPr>
              <w:t>Annual Richness</w:t>
            </w:r>
          </w:p>
        </w:tc>
        <w:tc>
          <w:tcPr>
            <w:tcW w:w="2842" w:type="dxa"/>
            <w:gridSpan w:val="3"/>
          </w:tcPr>
          <w:p w:rsidR="006164D7" w:rsidRPr="000226F3" w:rsidRDefault="006164D7" w:rsidP="006173B1">
            <w:pPr>
              <w:jc w:val="center"/>
              <w:cnfStyle w:val="100000000000" w:firstRow="1" w:lastRow="0" w:firstColumn="0" w:lastColumn="0" w:oddVBand="0" w:evenVBand="0" w:oddHBand="0" w:evenHBand="0" w:firstRowFirstColumn="0" w:firstRowLastColumn="0" w:lastRowFirstColumn="0" w:lastRowLastColumn="0"/>
              <w:rPr>
                <w:b w:val="0"/>
              </w:rPr>
            </w:pPr>
            <w:r>
              <w:rPr>
                <w:b w:val="0"/>
              </w:rPr>
              <w:t>Annual Bloom Density</w:t>
            </w:r>
          </w:p>
        </w:tc>
      </w:tr>
      <w:tr w:rsidR="006164D7" w:rsidRPr="002A3859" w:rsidTr="00BA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67077F" w:rsidRDefault="006164D7" w:rsidP="006164D7">
            <w:pPr>
              <w:jc w:val="center"/>
              <w:rPr>
                <w:b w:val="0"/>
                <w:u w:val="single"/>
              </w:rPr>
            </w:pPr>
          </w:p>
        </w:tc>
        <w:tc>
          <w:tcPr>
            <w:tcW w:w="77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7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438"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80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32"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045"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716"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350" w:type="dxa"/>
          </w:tcPr>
          <w:p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6164D7" w:rsidRPr="002A3859" w:rsidTr="00BA5800">
        <w:trPr>
          <w:trHeight w:val="432"/>
        </w:trPr>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Microsite</w:t>
            </w:r>
          </w:p>
        </w:tc>
        <w:tc>
          <w:tcPr>
            <w:tcW w:w="776" w:type="dxa"/>
          </w:tcPr>
          <w:p w:rsidR="006164D7" w:rsidRPr="00CC322B" w:rsidRDefault="00BA5800" w:rsidP="00617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b/>
                <w:color w:val="000000"/>
                <w:sz w:val="20"/>
                <w:szCs w:val="20"/>
                <w:bdr w:val="none" w:sz="0" w:space="0" w:color="auto" w:frame="1"/>
              </w:rPr>
            </w:pPr>
            <w:r>
              <w:rPr>
                <w:rFonts w:eastAsia="Times New Roman"/>
                <w:b/>
                <w:color w:val="000000"/>
                <w:sz w:val="20"/>
                <w:szCs w:val="20"/>
                <w:bdr w:val="none" w:sz="0" w:space="0" w:color="auto" w:frame="1"/>
              </w:rPr>
              <w:t>2.1442</w:t>
            </w:r>
            <w:r w:rsidR="006164D7" w:rsidRPr="00017CFA">
              <w:rPr>
                <w:rFonts w:eastAsia="Times New Roman"/>
                <w:b/>
                <w:color w:val="000000"/>
                <w:sz w:val="20"/>
                <w:szCs w:val="20"/>
                <w:bdr w:val="none" w:sz="0" w:space="0" w:color="auto" w:frame="1"/>
              </w:rPr>
              <w:t xml:space="preserve">  </w:t>
            </w:r>
          </w:p>
        </w:tc>
        <w:tc>
          <w:tcPr>
            <w:tcW w:w="975" w:type="dxa"/>
          </w:tcPr>
          <w:p w:rsidR="006164D7" w:rsidRPr="00A57DB7" w:rsidRDefault="006164D7" w:rsidP="006173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A57DB7">
              <w:rPr>
                <w:rFonts w:eastAsia="Times New Roman"/>
                <w:color w:val="000000"/>
                <w:sz w:val="20"/>
                <w:szCs w:val="20"/>
                <w:bdr w:val="none" w:sz="0" w:space="0" w:color="auto" w:frame="1"/>
              </w:rPr>
              <w:t>165.399</w:t>
            </w:r>
          </w:p>
        </w:tc>
        <w:tc>
          <w:tcPr>
            <w:tcW w:w="1438"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C322B">
              <w:rPr>
                <w:b/>
                <w:sz w:val="20"/>
                <w:szCs w:val="20"/>
              </w:rPr>
              <w:t>&lt;0.0001</w:t>
            </w:r>
          </w:p>
        </w:tc>
        <w:tc>
          <w:tcPr>
            <w:tcW w:w="805" w:type="dxa"/>
          </w:tcPr>
          <w:p w:rsidR="006164D7" w:rsidRPr="00CC322B" w:rsidRDefault="00BA5800"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0.0719</w:t>
            </w:r>
            <w:r w:rsidR="006164D7" w:rsidRPr="00017CFA">
              <w:rPr>
                <w:rStyle w:val="gnkrckgcgsb"/>
                <w:rFonts w:ascii="Times New Roman" w:hAnsi="Times New Roman" w:cs="Times New Roman"/>
                <w:color w:val="000000"/>
                <w:bdr w:val="none" w:sz="0" w:space="0" w:color="auto" w:frame="1"/>
              </w:rPr>
              <w:t xml:space="preserve">  </w:t>
            </w:r>
          </w:p>
        </w:tc>
        <w:tc>
          <w:tcPr>
            <w:tcW w:w="1032"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0.7071</w:t>
            </w:r>
          </w:p>
        </w:tc>
        <w:tc>
          <w:tcPr>
            <w:tcW w:w="104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0.40</w:t>
            </w:r>
          </w:p>
        </w:tc>
        <w:tc>
          <w:tcPr>
            <w:tcW w:w="776"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71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0.438</w:t>
            </w:r>
          </w:p>
        </w:tc>
      </w:tr>
      <w:tr w:rsidR="006164D7" w:rsidRPr="00242819" w:rsidTr="00BA5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Blooming</w:t>
            </w:r>
          </w:p>
        </w:tc>
        <w:tc>
          <w:tcPr>
            <w:tcW w:w="776" w:type="dxa"/>
          </w:tcPr>
          <w:p w:rsidR="006164D7" w:rsidRPr="00CC322B"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34.180</w:t>
            </w:r>
          </w:p>
        </w:tc>
        <w:tc>
          <w:tcPr>
            <w:tcW w:w="1438"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b/>
                <w:sz w:val="20"/>
                <w:szCs w:val="20"/>
              </w:rPr>
              <w:t>&lt;0.0001</w:t>
            </w:r>
          </w:p>
        </w:tc>
        <w:tc>
          <w:tcPr>
            <w:tcW w:w="805" w:type="dxa"/>
          </w:tcPr>
          <w:p w:rsidR="006164D7" w:rsidRPr="00CC322B" w:rsidRDefault="006173B1"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0.1407</w:t>
            </w:r>
            <w:r w:rsidR="006164D7" w:rsidRPr="00017CFA">
              <w:rPr>
                <w:rStyle w:val="gnkrckgcgsb"/>
                <w:rFonts w:ascii="Times New Roman" w:hAnsi="Times New Roman" w:cs="Times New Roman"/>
                <w:color w:val="000000"/>
                <w:bdr w:val="none" w:sz="0" w:space="0" w:color="auto" w:frame="1"/>
              </w:rPr>
              <w:t xml:space="preserve">    </w:t>
            </w:r>
          </w:p>
        </w:tc>
        <w:tc>
          <w:tcPr>
            <w:tcW w:w="1032" w:type="dxa"/>
          </w:tcPr>
          <w:p w:rsidR="006164D7" w:rsidRPr="006173B1"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CC322B">
              <w:rPr>
                <w:rStyle w:val="gnkrckgcgsb"/>
                <w:rFonts w:ascii="Times New Roman" w:hAnsi="Times New Roman" w:cs="Times New Roman"/>
                <w:color w:val="000000"/>
                <w:bdr w:val="none" w:sz="0" w:space="0" w:color="auto" w:frame="1"/>
              </w:rPr>
              <w:t>2.7010</w:t>
            </w:r>
          </w:p>
        </w:tc>
        <w:tc>
          <w:tcPr>
            <w:tcW w:w="1045"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sz w:val="20"/>
                <w:szCs w:val="20"/>
              </w:rPr>
              <w:t>0.10</w:t>
            </w:r>
          </w:p>
        </w:tc>
        <w:tc>
          <w:tcPr>
            <w:tcW w:w="776" w:type="dxa"/>
          </w:tcPr>
          <w:p w:rsidR="006164D7" w:rsidRPr="00CC322B" w:rsidRDefault="006164D7" w:rsidP="006173B1">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716"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1350" w:type="dxa"/>
          </w:tcPr>
          <w:p w:rsidR="006164D7" w:rsidRPr="00CC322B" w:rsidRDefault="006164D7" w:rsidP="006173B1">
            <w:pPr>
              <w:jc w:val="center"/>
              <w:cnfStyle w:val="000000100000" w:firstRow="0" w:lastRow="0" w:firstColumn="0" w:lastColumn="0" w:oddVBand="0" w:evenVBand="0" w:oddHBand="1" w:evenHBand="0" w:firstRowFirstColumn="0" w:firstRowLastColumn="0" w:lastRowFirstColumn="0" w:lastRowLastColumn="0"/>
              <w:rPr>
                <w:sz w:val="20"/>
                <w:szCs w:val="20"/>
              </w:rPr>
            </w:pPr>
            <w:r w:rsidRPr="00CC322B">
              <w:rPr>
                <w:b/>
                <w:sz w:val="20"/>
                <w:szCs w:val="20"/>
              </w:rPr>
              <w:t>0.0003</w:t>
            </w:r>
          </w:p>
        </w:tc>
      </w:tr>
      <w:tr w:rsidR="006164D7" w:rsidRPr="002A3859" w:rsidTr="00BA5800">
        <w:tc>
          <w:tcPr>
            <w:cnfStyle w:val="001000000000" w:firstRow="0" w:lastRow="0" w:firstColumn="1" w:lastColumn="0" w:oddVBand="0" w:evenVBand="0" w:oddHBand="0" w:evenHBand="0" w:firstRowFirstColumn="0" w:firstRowLastColumn="0" w:lastRowFirstColumn="0" w:lastRowLastColumn="0"/>
            <w:tcW w:w="1072" w:type="dxa"/>
          </w:tcPr>
          <w:p w:rsidR="006164D7" w:rsidRPr="00A57DB7" w:rsidRDefault="006164D7" w:rsidP="006164D7">
            <w:pPr>
              <w:jc w:val="center"/>
              <w:rPr>
                <w:b w:val="0"/>
                <w:sz w:val="22"/>
                <w:szCs w:val="22"/>
              </w:rPr>
            </w:pPr>
            <w:r w:rsidRPr="00A57DB7">
              <w:rPr>
                <w:b w:val="0"/>
                <w:sz w:val="22"/>
                <w:szCs w:val="22"/>
              </w:rPr>
              <w:t>Microsite * blooming</w:t>
            </w:r>
          </w:p>
        </w:tc>
        <w:tc>
          <w:tcPr>
            <w:tcW w:w="776" w:type="dxa"/>
          </w:tcPr>
          <w:p w:rsidR="006164D7" w:rsidRPr="00CC322B"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975" w:type="dxa"/>
          </w:tcPr>
          <w:p w:rsidR="006164D7" w:rsidRPr="00A57DB7" w:rsidRDefault="006164D7" w:rsidP="006173B1">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A57DB7">
              <w:rPr>
                <w:rStyle w:val="gnkrckgcgsb"/>
                <w:rFonts w:ascii="Times New Roman" w:hAnsi="Times New Roman" w:cs="Times New Roman"/>
                <w:color w:val="000000"/>
                <w:bdr w:val="none" w:sz="0" w:space="0" w:color="auto" w:frame="1"/>
              </w:rPr>
              <w:t>22.806</w:t>
            </w:r>
          </w:p>
        </w:tc>
        <w:tc>
          <w:tcPr>
            <w:tcW w:w="1438"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C322B">
              <w:rPr>
                <w:b/>
                <w:sz w:val="20"/>
                <w:szCs w:val="20"/>
              </w:rPr>
              <w:t>&lt;0.0001</w:t>
            </w:r>
          </w:p>
        </w:tc>
        <w:tc>
          <w:tcPr>
            <w:tcW w:w="80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1032"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c>
          <w:tcPr>
            <w:tcW w:w="1045"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c>
          <w:tcPr>
            <w:tcW w:w="77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16"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6164D7" w:rsidRPr="00CC322B" w:rsidRDefault="006164D7" w:rsidP="006173B1">
            <w:pPr>
              <w:jc w:val="center"/>
              <w:cnfStyle w:val="000000000000" w:firstRow="0" w:lastRow="0" w:firstColumn="0" w:lastColumn="0" w:oddVBand="0" w:evenVBand="0" w:oddHBand="0" w:evenHBand="0" w:firstRowFirstColumn="0" w:firstRowLastColumn="0" w:lastRowFirstColumn="0" w:lastRowLastColumn="0"/>
              <w:rPr>
                <w:sz w:val="20"/>
                <w:szCs w:val="20"/>
              </w:rPr>
            </w:pPr>
            <w:r w:rsidRPr="00CC322B">
              <w:rPr>
                <w:sz w:val="20"/>
                <w:szCs w:val="20"/>
              </w:rPr>
              <w:t>NA</w:t>
            </w:r>
          </w:p>
        </w:tc>
      </w:tr>
    </w:tbl>
    <w:p w:rsidR="006164D7" w:rsidRDefault="006164D7" w:rsidP="006164D7">
      <w:r>
        <w:rPr>
          <w:rStyle w:val="gnkrckgcgsb"/>
          <w:rFonts w:eastAsia="Times New Roman"/>
          <w:color w:val="000000"/>
          <w:bdr w:val="none" w:sz="0" w:space="0" w:color="auto" w:frame="1"/>
        </w:rPr>
        <w:t xml:space="preserve"> Table 9: </w:t>
      </w:r>
      <w:r>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p w:rsidR="006164D7" w:rsidRDefault="006164D7" w:rsidP="006164D7">
      <w:pPr>
        <w:spacing w:line="240" w:lineRule="auto"/>
      </w:pPr>
    </w:p>
    <w:p w:rsidR="006164D7" w:rsidRPr="00722EB2" w:rsidRDefault="006164D7" w:rsidP="006164D7">
      <w:pPr>
        <w:pStyle w:val="HTMLPreformatted"/>
        <w:shd w:val="clear" w:color="auto" w:fill="FFFFFF"/>
        <w:wordWrap w:val="0"/>
        <w:spacing w:line="205" w:lineRule="atLeast"/>
        <w:rPr>
          <w:rFonts w:ascii="Lucida Console" w:hAnsi="Lucida Console"/>
          <w:color w:val="000000"/>
          <w:bdr w:val="none" w:sz="0" w:space="0" w:color="auto" w:frame="1"/>
        </w:rPr>
      </w:pPr>
    </w:p>
    <w:p w:rsidR="006164D7" w:rsidRDefault="006164D7" w:rsidP="00ED4DC3"/>
    <w:p w:rsidR="000F6F41" w:rsidRDefault="000F6F41" w:rsidP="00ED4DC3"/>
    <w:p w:rsidR="000F6F41" w:rsidRDefault="000F6F41" w:rsidP="00ED4DC3"/>
    <w:p w:rsidR="000F6F41" w:rsidRDefault="000F6F41" w:rsidP="00ED4DC3"/>
    <w:p w:rsidR="000F6F41" w:rsidRDefault="000F6F41" w:rsidP="00ED4DC3"/>
    <w:p w:rsidR="000F6F41" w:rsidRDefault="000F6F41"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455F85" w:rsidRDefault="00455F85" w:rsidP="00ED4DC3"/>
    <w:p w:rsidR="00AF5F23" w:rsidRDefault="00AF5F23" w:rsidP="00ED4DC3"/>
    <w:p w:rsidR="000F6F41" w:rsidRPr="00ED4DC3" w:rsidRDefault="000F6F41" w:rsidP="00ED4DC3"/>
    <w:p w:rsidR="00AF5F23" w:rsidRDefault="00AF5F23" w:rsidP="00ED4DC3">
      <w:pPr>
        <w:keepNext/>
        <w:keepLines/>
        <w:spacing w:before="40" w:after="0"/>
        <w:outlineLvl w:val="2"/>
        <w:rPr>
          <w:rFonts w:eastAsiaTheme="majorEastAsia" w:cstheme="majorBidi"/>
        </w:rPr>
      </w:pPr>
      <w:r>
        <w:rPr>
          <w:rFonts w:eastAsiaTheme="majorEastAsia" w:cstheme="majorBidi"/>
        </w:rPr>
        <w:lastRenderedPageBreak/>
        <w:t>Appendix:</w:t>
      </w:r>
    </w:p>
    <w:p w:rsidR="00AF5F23" w:rsidRDefault="00AF5F23" w:rsidP="00ED4DC3">
      <w:pPr>
        <w:keepNext/>
        <w:keepLines/>
        <w:spacing w:before="40" w:after="0"/>
        <w:outlineLvl w:val="2"/>
        <w:rPr>
          <w:rFonts w:eastAsiaTheme="majorEastAsia" w:cstheme="majorBidi"/>
        </w:rPr>
      </w:pPr>
    </w:p>
    <w:p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lastRenderedPageBreak/>
              <w:t>Hemiptera</w:t>
            </w: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F36AB0"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6" w:history="1">
              <w:r w:rsidR="00ED4DC3" w:rsidRPr="00ED4DC3">
                <w:rPr>
                  <w:bCs/>
                  <w:sz w:val="20"/>
                  <w:szCs w:val="20"/>
                </w:rPr>
                <w:t>Pompiloidea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F36AB0"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7" w:history="1">
              <w:r w:rsidR="00ED4DC3" w:rsidRPr="00ED4DC3">
                <w:rPr>
                  <w:bCs/>
                  <w:sz w:val="20"/>
                  <w:szCs w:val="20"/>
                </w:rPr>
                <w:t>Vespoidea</w:t>
              </w:r>
            </w:hyperlink>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lastRenderedPageBreak/>
              <w:t>Parasitica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F36AB0"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8" w:history="1">
              <w:r w:rsidR="00ED4DC3" w:rsidRPr="00ED4DC3">
                <w:rPr>
                  <w:bCs/>
                  <w:sz w:val="20"/>
                  <w:szCs w:val="20"/>
                </w:rPr>
                <w:t>Cynipoidea</w:t>
              </w:r>
            </w:hyperlink>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rsidR="00ED4DC3" w:rsidRPr="00ED4DC3" w:rsidRDefault="00ED4DC3" w:rsidP="00ED4DC3">
            <w:pPr>
              <w:rPr>
                <w:sz w:val="20"/>
                <w:szCs w:val="20"/>
              </w:rPr>
            </w:pPr>
            <w:r w:rsidRPr="00ED4DC3">
              <w:rPr>
                <w:sz w:val="20"/>
                <w:szCs w:val="20"/>
              </w:rPr>
              <w:t>Lepidoptera</w:t>
            </w: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Pr>
          <w:p w:rsidR="00ED4DC3" w:rsidRPr="00ED4DC3" w:rsidRDefault="00ED4DC3" w:rsidP="00ED4DC3">
            <w:pPr>
              <w:rPr>
                <w:sz w:val="20"/>
                <w:szCs w:val="20"/>
              </w:rPr>
            </w:pPr>
            <w:r w:rsidRPr="00ED4DC3">
              <w:rPr>
                <w:sz w:val="20"/>
                <w:szCs w:val="20"/>
              </w:rPr>
              <w:t>Lepidoptera</w:t>
            </w: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rsidR="00ED4DC3" w:rsidRPr="00ED4DC3" w:rsidRDefault="00ED4DC3" w:rsidP="00ED4DC3">
      <w:pPr>
        <w:spacing w:line="240" w:lineRule="auto"/>
      </w:pPr>
    </w:p>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ED4DC3" w:rsidRDefault="00ED4DC3" w:rsidP="009C7F0B"/>
    <w:p w:rsidR="00193054" w:rsidRDefault="00FD1DD7" w:rsidP="00193054">
      <w:r>
        <w:t xml:space="preserve">B: </w:t>
      </w:r>
      <w:r w:rsidR="00193054">
        <w:t>Full models and model selection</w:t>
      </w:r>
    </w:p>
    <w:p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rsidTr="0007687C">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rsidR="00F23CDB" w:rsidRDefault="00F23CDB" w:rsidP="00193054"/>
    <w:p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Tr="0007687C">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rsidR="00193054" w:rsidRDefault="00193054" w:rsidP="00F23CDB"/>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F23CDB" w:rsidRDefault="00F23CDB"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6813CE" w:rsidRDefault="00FD1DD7"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C1</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Quasipoisson GLMM (glmmPQL, MASS) with three 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0.0007829</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rsidTr="006164D7">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rsidR="006813CE" w:rsidRDefault="006813CE" w:rsidP="006813CE"/>
    <w:p w:rsidR="006813CE" w:rsidRDefault="006813CE" w:rsidP="00ED1FA7">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suppressAutoHyphens/>
        <w:spacing w:line="205" w:lineRule="atLeast"/>
        <w:rPr>
          <w:rFonts w:ascii="Times New Roman" w:hAnsi="Times New Roman" w:cs="Times New Roman"/>
          <w:color w:val="000000"/>
          <w:sz w:val="24"/>
          <w:szCs w:val="24"/>
        </w:rPr>
      </w:pPr>
    </w:p>
    <w:p w:rsidR="00ED1FA7" w:rsidRDefault="00ED1FA7"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X: Post-hoc contrasts on significant interaction for abundance (Melyridae excluded) for   microsite by blooming. Significant is at alpha &lt; 0.05 and indicated in bold.</w:t>
      </w:r>
    </w:p>
    <w:p w:rsidR="00ED4DC3" w:rsidRDefault="00ED4DC3" w:rsidP="00ED4DC3">
      <w:pPr>
        <w:pStyle w:val="HTMLPreformatted"/>
        <w:shd w:val="clear" w:color="auto" w:fill="FFFFFF"/>
        <w:suppressAutoHyphens/>
        <w:spacing w:line="205" w:lineRule="atLeast"/>
        <w:rPr>
          <w:rFonts w:ascii="Times New Roman" w:hAnsi="Times New Roman" w:cs="Times New Roman"/>
          <w:color w:val="000000"/>
          <w:sz w:val="24"/>
          <w:szCs w:val="24"/>
        </w:rPr>
      </w:pPr>
    </w:p>
    <w:p w:rsidR="00ED4DC3" w:rsidRPr="005B5261" w:rsidRDefault="00ED4DC3" w:rsidP="00ED4DC3">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0.3962370</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0.1074971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3.686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0.0013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-0.4060998</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0.1031742</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-3.936</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0.0005</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0.2668669</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0.1060437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2.517</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0.0574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-0.8023367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0.1044866</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-7.679</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-0.1293701</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0.1073211</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-1.205</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0.6234</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0.6729667</w:t>
            </w:r>
          </w:p>
        </w:tc>
        <w:tc>
          <w:tcPr>
            <w:tcW w:w="1558"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0.1029908</w:t>
            </w:r>
          </w:p>
        </w:tc>
        <w:tc>
          <w:tcPr>
            <w:tcW w:w="1559"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6.534</w:t>
            </w:r>
          </w:p>
        </w:tc>
        <w:tc>
          <w:tcPr>
            <w:tcW w:w="1559" w:type="dxa"/>
          </w:tcPr>
          <w:p w:rsidR="00ED4DC3" w:rsidRPr="005B5261" w:rsidRDefault="00ED4DC3" w:rsidP="00193054">
            <w:pPr>
              <w:jc w:val="center"/>
              <w:rPr>
                <w:b/>
                <w:sz w:val="22"/>
                <w:szCs w:val="22"/>
              </w:rPr>
            </w:pPr>
            <w:r w:rsidRPr="005B5261">
              <w:rPr>
                <w:rStyle w:val="gnkrckgcgsb"/>
                <w:b/>
                <w:color w:val="000000"/>
                <w:sz w:val="22"/>
                <w:szCs w:val="22"/>
                <w:bdr w:val="none" w:sz="0" w:space="0" w:color="auto" w:frame="1"/>
              </w:rPr>
              <w:t>&lt;.0001</w:t>
            </w:r>
          </w:p>
        </w:tc>
      </w:tr>
    </w:tbl>
    <w:p w:rsidR="00ED4DC3" w:rsidRDefault="00ED4DC3" w:rsidP="00ED4DC3"/>
    <w:p w:rsidR="00ED4DC3"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 xml:space="preserve">Table X: Post-hoc contrasts </w:t>
      </w:r>
      <w:r>
        <w:rPr>
          <w:rFonts w:ascii="Times New Roman" w:hAnsi="Times New Roman" w:cs="Times New Roman"/>
          <w:color w:val="000000"/>
          <w:sz w:val="24"/>
          <w:szCs w:val="24"/>
        </w:rPr>
        <w:t xml:space="preserve">interaction for abundance (Melyridae only) for microsite by  </w:t>
      </w:r>
    </w:p>
    <w:p w:rsidR="00ED4DC3" w:rsidRPr="005B5261" w:rsidRDefault="00ED4DC3" w:rsidP="00ED4DC3">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rsidR="00ED4DC3" w:rsidRDefault="00ED4DC3" w:rsidP="00ED4DC3">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D4DC3" w:rsidTr="00193054">
        <w:trPr>
          <w:cnfStyle w:val="100000000000" w:firstRow="1" w:lastRow="0" w:firstColumn="0" w:lastColumn="0" w:oddVBand="0" w:evenVBand="0" w:oddHBand="0" w:evenHBand="0" w:firstRowFirstColumn="0" w:firstRowLastColumn="0" w:lastRowFirstColumn="0" w:lastRowLastColumn="0"/>
        </w:trPr>
        <w:tc>
          <w:tcPr>
            <w:tcW w:w="2515" w:type="dxa"/>
          </w:tcPr>
          <w:p w:rsidR="00ED4DC3" w:rsidRPr="005B5261" w:rsidRDefault="00ED4DC3" w:rsidP="00193054">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rsidR="00ED4DC3" w:rsidRDefault="00ED4DC3" w:rsidP="00193054">
            <w:pPr>
              <w:jc w:val="center"/>
            </w:pPr>
            <w:r>
              <w:t>Estimate</w:t>
            </w:r>
          </w:p>
        </w:tc>
        <w:tc>
          <w:tcPr>
            <w:tcW w:w="1558" w:type="dxa"/>
          </w:tcPr>
          <w:p w:rsidR="00ED4DC3" w:rsidRDefault="00ED4DC3" w:rsidP="00193054">
            <w:pPr>
              <w:jc w:val="center"/>
            </w:pPr>
            <w:r>
              <w:t>SE</w:t>
            </w:r>
          </w:p>
        </w:tc>
        <w:tc>
          <w:tcPr>
            <w:tcW w:w="1559" w:type="dxa"/>
          </w:tcPr>
          <w:p w:rsidR="00ED4DC3" w:rsidRDefault="00ED4DC3" w:rsidP="00193054">
            <w:pPr>
              <w:jc w:val="center"/>
            </w:pPr>
            <w:r>
              <w:t>Z</w:t>
            </w:r>
          </w:p>
        </w:tc>
        <w:tc>
          <w:tcPr>
            <w:tcW w:w="1559" w:type="dxa"/>
          </w:tcPr>
          <w:p w:rsidR="00ED4DC3" w:rsidRDefault="00ED4DC3" w:rsidP="00193054">
            <w:pPr>
              <w:jc w:val="center"/>
            </w:pPr>
            <w:r>
              <w:t>p</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0.2989089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0.1633482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0.2592</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post,open</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1.1920062</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0.1932688</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0.8388073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0.1826136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pre,shrub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0.8930973</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0.1906721</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&lt;.0001</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post,open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0.5398984</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0.1799142</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rsidR="00ED4DC3" w:rsidRPr="005D6BF2" w:rsidRDefault="00ED4DC3" w:rsidP="00193054">
            <w:pPr>
              <w:jc w:val="center"/>
              <w:rPr>
                <w:b/>
                <w:sz w:val="22"/>
                <w:szCs w:val="22"/>
              </w:rPr>
            </w:pPr>
            <w:r w:rsidRPr="005D6BF2">
              <w:rPr>
                <w:rStyle w:val="gnkrckgcgsb"/>
                <w:b/>
                <w:color w:val="000000"/>
                <w:sz w:val="22"/>
                <w:szCs w:val="22"/>
                <w:bdr w:val="none" w:sz="0" w:space="0" w:color="auto" w:frame="1"/>
              </w:rPr>
              <w:t>0.0143</w:t>
            </w:r>
          </w:p>
        </w:tc>
      </w:tr>
      <w:tr w:rsidR="00ED4DC3" w:rsidTr="00193054">
        <w:tc>
          <w:tcPr>
            <w:tcW w:w="2515" w:type="dxa"/>
          </w:tcPr>
          <w:p w:rsidR="00ED4DC3" w:rsidRPr="005B5261" w:rsidRDefault="00ED4DC3" w:rsidP="00193054">
            <w:pPr>
              <w:jc w:val="center"/>
              <w:rPr>
                <w:sz w:val="22"/>
                <w:szCs w:val="22"/>
              </w:rPr>
            </w:pPr>
            <w:r w:rsidRPr="005B5261">
              <w:rPr>
                <w:rStyle w:val="gnkrckgcgsb"/>
                <w:color w:val="000000"/>
                <w:sz w:val="22"/>
                <w:szCs w:val="22"/>
                <w:bdr w:val="none" w:sz="0" w:space="0" w:color="auto" w:frame="1"/>
              </w:rPr>
              <w:t>pre,shrub - post,shrub</w:t>
            </w:r>
          </w:p>
        </w:tc>
        <w:tc>
          <w:tcPr>
            <w:tcW w:w="151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-0.3531989</w:t>
            </w:r>
          </w:p>
        </w:tc>
        <w:tc>
          <w:tcPr>
            <w:tcW w:w="1558"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0.1815186</w:t>
            </w:r>
          </w:p>
        </w:tc>
        <w:tc>
          <w:tcPr>
            <w:tcW w:w="1559" w:type="dxa"/>
          </w:tcPr>
          <w:p w:rsidR="00ED4DC3" w:rsidRPr="005D6BF2" w:rsidRDefault="00ED4DC3" w:rsidP="00193054">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rsidR="00ED4DC3" w:rsidRPr="005D6BF2" w:rsidRDefault="00ED4DC3" w:rsidP="00193054">
            <w:pPr>
              <w:jc w:val="center"/>
              <w:rPr>
                <w:b/>
                <w:sz w:val="22"/>
                <w:szCs w:val="22"/>
              </w:rPr>
            </w:pPr>
            <w:r w:rsidRPr="005D6BF2">
              <w:rPr>
                <w:rStyle w:val="gnkrckgcgsb"/>
                <w:color w:val="000000"/>
                <w:sz w:val="22"/>
                <w:szCs w:val="22"/>
                <w:bdr w:val="none" w:sz="0" w:space="0" w:color="auto" w:frame="1"/>
              </w:rPr>
              <w:t>0.2090</w:t>
            </w:r>
          </w:p>
        </w:tc>
      </w:tr>
    </w:tbl>
    <w:p w:rsidR="00ED4DC3" w:rsidRDefault="00ED4DC3" w:rsidP="00ED4DC3"/>
    <w:p w:rsidR="00174190" w:rsidRDefault="00174190" w:rsidP="00ED4DC3"/>
    <w:p w:rsidR="00174190" w:rsidRDefault="00174190" w:rsidP="00ED4DC3"/>
    <w:p w:rsidR="004663E5" w:rsidRDefault="004663E5" w:rsidP="004663E5">
      <w:r>
        <w:t xml:space="preserve">Table 12: Results from post-hoc test (lsmeans, Tukey’s) for the Gamma generalized linear mixed model on significant interaction for proportion of flowers visited. </w:t>
      </w:r>
      <w:r w:rsidRPr="00BA750B">
        <w:t>Significance was denoted at α = 0.05 and shown in bold.</w:t>
      </w:r>
      <w:r w:rsidR="00174190">
        <w:t xml:space="preserve"> Proportion of flowers visited</w:t>
      </w:r>
    </w:p>
    <w:tbl>
      <w:tblPr>
        <w:tblStyle w:val="TableGrid"/>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79431F" w:rsidTr="006164D7">
        <w:tc>
          <w:tcPr>
            <w:tcW w:w="3055" w:type="dxa"/>
          </w:tcPr>
          <w:p w:rsidR="004663E5" w:rsidRPr="008A3170"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rsidR="004663E5" w:rsidRPr="008159F4" w:rsidRDefault="004663E5" w:rsidP="006164D7">
            <w:pPr>
              <w:pStyle w:val="HTMLPreformatted"/>
              <w:wordWrap w:val="0"/>
              <w:spacing w:line="205"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Proportion of flowers visited</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Contrast</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Estimate</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SE</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t.ratio</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bdr w:val="none" w:sz="0" w:space="0" w:color="auto" w:frame="1"/>
              </w:rPr>
            </w:pPr>
            <w:r w:rsidRPr="00462796">
              <w:rPr>
                <w:rStyle w:val="gnkrckgcgsb"/>
                <w:rFonts w:ascii="Times New Roman" w:hAnsi="Times New Roman" w:cs="Times New Roman"/>
                <w:b/>
                <w:color w:val="000000"/>
                <w:sz w:val="22"/>
                <w:bdr w:val="none" w:sz="0" w:space="0" w:color="auto" w:frame="1"/>
              </w:rPr>
              <w:t>p</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post,open</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0.03537548</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0.04843350</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0.730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0.8849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-0.08050042</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0.08029773</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-1.003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0.7479</w:t>
            </w:r>
          </w:p>
        </w:tc>
      </w:tr>
      <w:tr w:rsidR="004663E5" w:rsidRPr="008A3170" w:rsidTr="006164D7">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0.15930471</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0.08775466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1.815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0.2660</w:t>
            </w:r>
          </w:p>
        </w:tc>
      </w:tr>
      <w:tr w:rsidR="004663E5" w:rsidRPr="008A3170" w:rsidTr="006164D7">
        <w:trPr>
          <w:trHeight w:val="275"/>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pre,shrub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-0.11587589</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0.08384195</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-1.382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b/>
                <w:color w:val="000000"/>
                <w:bdr w:val="none" w:sz="0" w:space="0" w:color="auto" w:frame="1"/>
              </w:rPr>
            </w:pPr>
            <w:r>
              <w:t>0.5106</w:t>
            </w:r>
          </w:p>
        </w:tc>
      </w:tr>
      <w:tr w:rsidR="004663E5" w:rsidRPr="008A3170" w:rsidTr="006164D7">
        <w:trPr>
          <w:trHeight w:val="162"/>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post,open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0.12392924</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0.09113159</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1.360  </w:t>
            </w:r>
          </w:p>
        </w:tc>
        <w:tc>
          <w:tcPr>
            <w:tcW w:w="114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bdr w:val="none" w:sz="0" w:space="0" w:color="auto" w:frame="1"/>
              </w:rPr>
            </w:pPr>
            <w:r>
              <w:t>0.5247</w:t>
            </w:r>
          </w:p>
        </w:tc>
      </w:tr>
      <w:tr w:rsidR="004663E5" w:rsidRPr="008A3170" w:rsidTr="006164D7">
        <w:trPr>
          <w:trHeight w:val="293"/>
        </w:trPr>
        <w:tc>
          <w:tcPr>
            <w:tcW w:w="3055"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b/>
                <w:color w:val="000000"/>
                <w:sz w:val="22"/>
                <w:szCs w:val="22"/>
                <w:bdr w:val="none" w:sz="0" w:space="0" w:color="auto" w:frame="1"/>
              </w:rPr>
            </w:pPr>
            <w:r w:rsidRPr="00462796">
              <w:rPr>
                <w:rStyle w:val="gnkrckgcgsb"/>
                <w:rFonts w:ascii="Times New Roman" w:hAnsi="Times New Roman" w:cs="Times New Roman"/>
                <w:b/>
                <w:color w:val="000000"/>
                <w:sz w:val="22"/>
                <w:szCs w:val="22"/>
                <w:bdr w:val="none" w:sz="0" w:space="0" w:color="auto" w:frame="1"/>
              </w:rPr>
              <w:t>pre,shrub - post,shrub</w:t>
            </w:r>
          </w:p>
        </w:tc>
        <w:tc>
          <w:tcPr>
            <w:tcW w:w="198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0.23980513</w:t>
            </w:r>
          </w:p>
        </w:tc>
        <w:tc>
          <w:tcPr>
            <w:tcW w:w="1710"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0.05952906</w:t>
            </w:r>
          </w:p>
        </w:tc>
        <w:tc>
          <w:tcPr>
            <w:tcW w:w="1363" w:type="dxa"/>
          </w:tcPr>
          <w:p w:rsidR="004663E5" w:rsidRPr="00462796"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r>
              <w:t xml:space="preserve">4.028  </w:t>
            </w:r>
          </w:p>
        </w:tc>
        <w:tc>
          <w:tcPr>
            <w:tcW w:w="1140" w:type="dxa"/>
          </w:tcPr>
          <w:p w:rsidR="004663E5" w:rsidRPr="00462796" w:rsidRDefault="004663E5" w:rsidP="006164D7">
            <w:pPr>
              <w:pStyle w:val="HTMLPreformatted"/>
              <w:shd w:val="clear" w:color="auto" w:fill="FFFFFF"/>
              <w:wordWrap w:val="0"/>
              <w:spacing w:line="205" w:lineRule="atLeast"/>
              <w:jc w:val="center"/>
              <w:rPr>
                <w:rStyle w:val="gnkrckgcgsb"/>
                <w:rFonts w:ascii="Times New Roman" w:hAnsi="Times New Roman" w:cs="Times New Roman"/>
                <w:color w:val="000000"/>
                <w:bdr w:val="none" w:sz="0" w:space="0" w:color="auto" w:frame="1"/>
              </w:rPr>
            </w:pPr>
            <w:r>
              <w:t>0.0003</w:t>
            </w:r>
          </w:p>
        </w:tc>
      </w:tr>
    </w:tbl>
    <w:p w:rsidR="00ED4DC3" w:rsidRDefault="00ED4DC3" w:rsidP="00ED4DC3"/>
    <w:p w:rsidR="00174190" w:rsidRPr="00174190" w:rsidRDefault="00174190" w:rsidP="00174190"/>
    <w:p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51A" w:rsidRDefault="0042551A" w:rsidP="00E82973">
      <w:pPr>
        <w:spacing w:after="0" w:line="240" w:lineRule="auto"/>
      </w:pPr>
      <w:r>
        <w:separator/>
      </w:r>
    </w:p>
  </w:endnote>
  <w:endnote w:type="continuationSeparator" w:id="0">
    <w:p w:rsidR="0042551A" w:rsidRDefault="0042551A"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51A" w:rsidRDefault="0042551A" w:rsidP="00E82973">
      <w:pPr>
        <w:spacing w:after="0" w:line="240" w:lineRule="auto"/>
      </w:pPr>
      <w:r>
        <w:separator/>
      </w:r>
    </w:p>
  </w:footnote>
  <w:footnote w:type="continuationSeparator" w:id="0">
    <w:p w:rsidR="0042551A" w:rsidRDefault="0042551A"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220DA"/>
    <w:rsid w:val="00025219"/>
    <w:rsid w:val="0002609A"/>
    <w:rsid w:val="0003076A"/>
    <w:rsid w:val="00031660"/>
    <w:rsid w:val="000318B5"/>
    <w:rsid w:val="000327C0"/>
    <w:rsid w:val="00032F51"/>
    <w:rsid w:val="00036294"/>
    <w:rsid w:val="0004122F"/>
    <w:rsid w:val="0004758E"/>
    <w:rsid w:val="00051285"/>
    <w:rsid w:val="00051D07"/>
    <w:rsid w:val="00052F27"/>
    <w:rsid w:val="000538E5"/>
    <w:rsid w:val="00060278"/>
    <w:rsid w:val="00062E4F"/>
    <w:rsid w:val="00065309"/>
    <w:rsid w:val="000661F0"/>
    <w:rsid w:val="00066537"/>
    <w:rsid w:val="000705AA"/>
    <w:rsid w:val="0007112A"/>
    <w:rsid w:val="0007687C"/>
    <w:rsid w:val="0008110A"/>
    <w:rsid w:val="00086F3A"/>
    <w:rsid w:val="00092721"/>
    <w:rsid w:val="0009574D"/>
    <w:rsid w:val="00095AF0"/>
    <w:rsid w:val="00097D82"/>
    <w:rsid w:val="000A01F2"/>
    <w:rsid w:val="000A0F2F"/>
    <w:rsid w:val="000A41C5"/>
    <w:rsid w:val="000A42AE"/>
    <w:rsid w:val="000A445C"/>
    <w:rsid w:val="000A6F94"/>
    <w:rsid w:val="000B3F99"/>
    <w:rsid w:val="000B6B96"/>
    <w:rsid w:val="000B7824"/>
    <w:rsid w:val="000C14B2"/>
    <w:rsid w:val="000C15B1"/>
    <w:rsid w:val="000C18FD"/>
    <w:rsid w:val="000C32A3"/>
    <w:rsid w:val="000C4F48"/>
    <w:rsid w:val="000C57C4"/>
    <w:rsid w:val="000D1E96"/>
    <w:rsid w:val="000D2637"/>
    <w:rsid w:val="000D3971"/>
    <w:rsid w:val="000D4F99"/>
    <w:rsid w:val="000D5390"/>
    <w:rsid w:val="000E1331"/>
    <w:rsid w:val="000E26F1"/>
    <w:rsid w:val="000E29AB"/>
    <w:rsid w:val="000E36E5"/>
    <w:rsid w:val="000E3E9E"/>
    <w:rsid w:val="000E47A2"/>
    <w:rsid w:val="000E687C"/>
    <w:rsid w:val="000F015E"/>
    <w:rsid w:val="000F0175"/>
    <w:rsid w:val="000F23E8"/>
    <w:rsid w:val="000F2B2E"/>
    <w:rsid w:val="000F33DC"/>
    <w:rsid w:val="000F3418"/>
    <w:rsid w:val="000F42F3"/>
    <w:rsid w:val="000F4F15"/>
    <w:rsid w:val="000F6F41"/>
    <w:rsid w:val="000F6F48"/>
    <w:rsid w:val="000F77F5"/>
    <w:rsid w:val="00100A55"/>
    <w:rsid w:val="00103941"/>
    <w:rsid w:val="0010420D"/>
    <w:rsid w:val="0010779D"/>
    <w:rsid w:val="001079BE"/>
    <w:rsid w:val="00113395"/>
    <w:rsid w:val="00116B2E"/>
    <w:rsid w:val="00117EC0"/>
    <w:rsid w:val="00120D56"/>
    <w:rsid w:val="00120F70"/>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526C6"/>
    <w:rsid w:val="00155A6C"/>
    <w:rsid w:val="0015677D"/>
    <w:rsid w:val="001578B1"/>
    <w:rsid w:val="00162017"/>
    <w:rsid w:val="00165702"/>
    <w:rsid w:val="00166E77"/>
    <w:rsid w:val="00170E95"/>
    <w:rsid w:val="00172CFB"/>
    <w:rsid w:val="00174190"/>
    <w:rsid w:val="0017450D"/>
    <w:rsid w:val="001756B8"/>
    <w:rsid w:val="00175E68"/>
    <w:rsid w:val="0017664E"/>
    <w:rsid w:val="001777A8"/>
    <w:rsid w:val="00177D88"/>
    <w:rsid w:val="00182387"/>
    <w:rsid w:val="0018395C"/>
    <w:rsid w:val="00187C0E"/>
    <w:rsid w:val="0019001B"/>
    <w:rsid w:val="00191148"/>
    <w:rsid w:val="00191474"/>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451F"/>
    <w:rsid w:val="001C7812"/>
    <w:rsid w:val="001D1603"/>
    <w:rsid w:val="001D1EBB"/>
    <w:rsid w:val="001D4163"/>
    <w:rsid w:val="001D47AD"/>
    <w:rsid w:val="001D47FA"/>
    <w:rsid w:val="001D5345"/>
    <w:rsid w:val="001D5967"/>
    <w:rsid w:val="001D77C9"/>
    <w:rsid w:val="001E3034"/>
    <w:rsid w:val="001E4D6C"/>
    <w:rsid w:val="001F125D"/>
    <w:rsid w:val="001F2A3D"/>
    <w:rsid w:val="001F56B0"/>
    <w:rsid w:val="001F703F"/>
    <w:rsid w:val="00200D6D"/>
    <w:rsid w:val="00202548"/>
    <w:rsid w:val="0020327D"/>
    <w:rsid w:val="002032F8"/>
    <w:rsid w:val="00203C44"/>
    <w:rsid w:val="00205FB0"/>
    <w:rsid w:val="0020615C"/>
    <w:rsid w:val="00206724"/>
    <w:rsid w:val="002067A9"/>
    <w:rsid w:val="0020791B"/>
    <w:rsid w:val="00213078"/>
    <w:rsid w:val="002154B4"/>
    <w:rsid w:val="00215FBC"/>
    <w:rsid w:val="00216CE9"/>
    <w:rsid w:val="0021779D"/>
    <w:rsid w:val="00220CE8"/>
    <w:rsid w:val="002223A5"/>
    <w:rsid w:val="0022314A"/>
    <w:rsid w:val="002234E8"/>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4AD5"/>
    <w:rsid w:val="00265354"/>
    <w:rsid w:val="002708B2"/>
    <w:rsid w:val="002715FB"/>
    <w:rsid w:val="002738CC"/>
    <w:rsid w:val="002743B5"/>
    <w:rsid w:val="00274B48"/>
    <w:rsid w:val="002753D7"/>
    <w:rsid w:val="002802F3"/>
    <w:rsid w:val="00280601"/>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17"/>
    <w:rsid w:val="002A5E54"/>
    <w:rsid w:val="002A5E81"/>
    <w:rsid w:val="002A6C3D"/>
    <w:rsid w:val="002B04AB"/>
    <w:rsid w:val="002B09EE"/>
    <w:rsid w:val="002B36A1"/>
    <w:rsid w:val="002B43C8"/>
    <w:rsid w:val="002B55CE"/>
    <w:rsid w:val="002C048A"/>
    <w:rsid w:val="002C2444"/>
    <w:rsid w:val="002C2573"/>
    <w:rsid w:val="002D2F30"/>
    <w:rsid w:val="002D2FA3"/>
    <w:rsid w:val="002D48C8"/>
    <w:rsid w:val="002D5FDB"/>
    <w:rsid w:val="002D6D44"/>
    <w:rsid w:val="002E1596"/>
    <w:rsid w:val="002E1744"/>
    <w:rsid w:val="002E1C51"/>
    <w:rsid w:val="002E3387"/>
    <w:rsid w:val="002E4BF3"/>
    <w:rsid w:val="002E61F9"/>
    <w:rsid w:val="002E7858"/>
    <w:rsid w:val="002F39A4"/>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1D56"/>
    <w:rsid w:val="003625DA"/>
    <w:rsid w:val="0036272C"/>
    <w:rsid w:val="003674E7"/>
    <w:rsid w:val="00372608"/>
    <w:rsid w:val="003733D1"/>
    <w:rsid w:val="0037341F"/>
    <w:rsid w:val="003761D6"/>
    <w:rsid w:val="00380EA2"/>
    <w:rsid w:val="003816DB"/>
    <w:rsid w:val="00382C7C"/>
    <w:rsid w:val="00383159"/>
    <w:rsid w:val="00391B5D"/>
    <w:rsid w:val="003929E6"/>
    <w:rsid w:val="00396E3D"/>
    <w:rsid w:val="003A062B"/>
    <w:rsid w:val="003A239E"/>
    <w:rsid w:val="003A3F0D"/>
    <w:rsid w:val="003A44D0"/>
    <w:rsid w:val="003B10A7"/>
    <w:rsid w:val="003B1744"/>
    <w:rsid w:val="003B184A"/>
    <w:rsid w:val="003B37FB"/>
    <w:rsid w:val="003B6FAC"/>
    <w:rsid w:val="003B7688"/>
    <w:rsid w:val="003C08A3"/>
    <w:rsid w:val="003C0E16"/>
    <w:rsid w:val="003C31A0"/>
    <w:rsid w:val="003C7005"/>
    <w:rsid w:val="003D178A"/>
    <w:rsid w:val="003D576D"/>
    <w:rsid w:val="003D67FB"/>
    <w:rsid w:val="003D6EAB"/>
    <w:rsid w:val="003E00B3"/>
    <w:rsid w:val="003E099F"/>
    <w:rsid w:val="003E0D81"/>
    <w:rsid w:val="003E1E61"/>
    <w:rsid w:val="003E4152"/>
    <w:rsid w:val="003E48AD"/>
    <w:rsid w:val="003F074A"/>
    <w:rsid w:val="003F180D"/>
    <w:rsid w:val="003F1979"/>
    <w:rsid w:val="003F263E"/>
    <w:rsid w:val="003F3BC9"/>
    <w:rsid w:val="003F467B"/>
    <w:rsid w:val="003F7F68"/>
    <w:rsid w:val="00400D11"/>
    <w:rsid w:val="004012A4"/>
    <w:rsid w:val="00407020"/>
    <w:rsid w:val="004143CC"/>
    <w:rsid w:val="0041560D"/>
    <w:rsid w:val="00417A15"/>
    <w:rsid w:val="00420319"/>
    <w:rsid w:val="00421423"/>
    <w:rsid w:val="0042551A"/>
    <w:rsid w:val="004268A8"/>
    <w:rsid w:val="0042771C"/>
    <w:rsid w:val="00427CBB"/>
    <w:rsid w:val="00434127"/>
    <w:rsid w:val="00440D99"/>
    <w:rsid w:val="004412BC"/>
    <w:rsid w:val="00441462"/>
    <w:rsid w:val="00443C1E"/>
    <w:rsid w:val="004458E5"/>
    <w:rsid w:val="00445F94"/>
    <w:rsid w:val="00446089"/>
    <w:rsid w:val="00446485"/>
    <w:rsid w:val="004471FF"/>
    <w:rsid w:val="0045062A"/>
    <w:rsid w:val="00450D79"/>
    <w:rsid w:val="00452809"/>
    <w:rsid w:val="004529BA"/>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4223"/>
    <w:rsid w:val="004760E2"/>
    <w:rsid w:val="004771C2"/>
    <w:rsid w:val="00484208"/>
    <w:rsid w:val="00484D8B"/>
    <w:rsid w:val="004862EA"/>
    <w:rsid w:val="00486660"/>
    <w:rsid w:val="00487B61"/>
    <w:rsid w:val="004907D9"/>
    <w:rsid w:val="00490C64"/>
    <w:rsid w:val="004911BF"/>
    <w:rsid w:val="00492406"/>
    <w:rsid w:val="00494431"/>
    <w:rsid w:val="00497DCE"/>
    <w:rsid w:val="004A0473"/>
    <w:rsid w:val="004A0DC6"/>
    <w:rsid w:val="004A3324"/>
    <w:rsid w:val="004A335E"/>
    <w:rsid w:val="004A5724"/>
    <w:rsid w:val="004A7D29"/>
    <w:rsid w:val="004B25E3"/>
    <w:rsid w:val="004B2F48"/>
    <w:rsid w:val="004B323F"/>
    <w:rsid w:val="004B45F7"/>
    <w:rsid w:val="004B603E"/>
    <w:rsid w:val="004B6CF1"/>
    <w:rsid w:val="004B7910"/>
    <w:rsid w:val="004C2C45"/>
    <w:rsid w:val="004C3AD7"/>
    <w:rsid w:val="004C510F"/>
    <w:rsid w:val="004C6BBA"/>
    <w:rsid w:val="004D17FD"/>
    <w:rsid w:val="004D207D"/>
    <w:rsid w:val="004D279E"/>
    <w:rsid w:val="004D3DEB"/>
    <w:rsid w:val="004D4AA9"/>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54A6"/>
    <w:rsid w:val="005476A8"/>
    <w:rsid w:val="0055316F"/>
    <w:rsid w:val="00554FC4"/>
    <w:rsid w:val="00555C52"/>
    <w:rsid w:val="0055748B"/>
    <w:rsid w:val="005600FB"/>
    <w:rsid w:val="0056306C"/>
    <w:rsid w:val="00563FE2"/>
    <w:rsid w:val="0056436E"/>
    <w:rsid w:val="00566963"/>
    <w:rsid w:val="00566FC5"/>
    <w:rsid w:val="00572CB3"/>
    <w:rsid w:val="005738EF"/>
    <w:rsid w:val="00573E0F"/>
    <w:rsid w:val="00574F26"/>
    <w:rsid w:val="00576C94"/>
    <w:rsid w:val="00576D0F"/>
    <w:rsid w:val="0058207C"/>
    <w:rsid w:val="0058333A"/>
    <w:rsid w:val="00583993"/>
    <w:rsid w:val="00584114"/>
    <w:rsid w:val="0058452F"/>
    <w:rsid w:val="0058717E"/>
    <w:rsid w:val="005A0088"/>
    <w:rsid w:val="005A19FE"/>
    <w:rsid w:val="005A1CCA"/>
    <w:rsid w:val="005A3B82"/>
    <w:rsid w:val="005A3F10"/>
    <w:rsid w:val="005A4667"/>
    <w:rsid w:val="005B0BE8"/>
    <w:rsid w:val="005B32C5"/>
    <w:rsid w:val="005B5D06"/>
    <w:rsid w:val="005B7D33"/>
    <w:rsid w:val="005D216D"/>
    <w:rsid w:val="005D29E7"/>
    <w:rsid w:val="005D32A0"/>
    <w:rsid w:val="005D42B4"/>
    <w:rsid w:val="005D5F73"/>
    <w:rsid w:val="005E01B7"/>
    <w:rsid w:val="005E1F51"/>
    <w:rsid w:val="005E23FD"/>
    <w:rsid w:val="005E3967"/>
    <w:rsid w:val="005E6218"/>
    <w:rsid w:val="005E7AAA"/>
    <w:rsid w:val="005E7E8F"/>
    <w:rsid w:val="005F066B"/>
    <w:rsid w:val="005F091E"/>
    <w:rsid w:val="005F3195"/>
    <w:rsid w:val="005F32CC"/>
    <w:rsid w:val="005F3ED0"/>
    <w:rsid w:val="005F5B8B"/>
    <w:rsid w:val="005F7698"/>
    <w:rsid w:val="00600C7B"/>
    <w:rsid w:val="006024B6"/>
    <w:rsid w:val="006031B4"/>
    <w:rsid w:val="006038BD"/>
    <w:rsid w:val="00604685"/>
    <w:rsid w:val="00614FD3"/>
    <w:rsid w:val="0061512A"/>
    <w:rsid w:val="00615593"/>
    <w:rsid w:val="006164D7"/>
    <w:rsid w:val="006173B1"/>
    <w:rsid w:val="00617A4F"/>
    <w:rsid w:val="006214B5"/>
    <w:rsid w:val="00621E5A"/>
    <w:rsid w:val="0062424E"/>
    <w:rsid w:val="00625030"/>
    <w:rsid w:val="00625C53"/>
    <w:rsid w:val="00625FE7"/>
    <w:rsid w:val="0063198A"/>
    <w:rsid w:val="00632618"/>
    <w:rsid w:val="006366DA"/>
    <w:rsid w:val="006406F4"/>
    <w:rsid w:val="006419B7"/>
    <w:rsid w:val="00643122"/>
    <w:rsid w:val="00643D97"/>
    <w:rsid w:val="0064572F"/>
    <w:rsid w:val="0065371A"/>
    <w:rsid w:val="006576DB"/>
    <w:rsid w:val="0066022C"/>
    <w:rsid w:val="00661853"/>
    <w:rsid w:val="006658CA"/>
    <w:rsid w:val="00666C14"/>
    <w:rsid w:val="00672602"/>
    <w:rsid w:val="0067289D"/>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6E5F"/>
    <w:rsid w:val="00707592"/>
    <w:rsid w:val="0071130C"/>
    <w:rsid w:val="00716C5E"/>
    <w:rsid w:val="00717F8F"/>
    <w:rsid w:val="0072317D"/>
    <w:rsid w:val="00727557"/>
    <w:rsid w:val="00730D6E"/>
    <w:rsid w:val="007321E0"/>
    <w:rsid w:val="007325BC"/>
    <w:rsid w:val="007328D0"/>
    <w:rsid w:val="007341E3"/>
    <w:rsid w:val="00745FD2"/>
    <w:rsid w:val="00746197"/>
    <w:rsid w:val="007516B8"/>
    <w:rsid w:val="00753EBF"/>
    <w:rsid w:val="00755060"/>
    <w:rsid w:val="007567B4"/>
    <w:rsid w:val="007569BC"/>
    <w:rsid w:val="00760238"/>
    <w:rsid w:val="00761E2D"/>
    <w:rsid w:val="007630B0"/>
    <w:rsid w:val="0076315E"/>
    <w:rsid w:val="00763856"/>
    <w:rsid w:val="007638E6"/>
    <w:rsid w:val="00766A25"/>
    <w:rsid w:val="00767ADD"/>
    <w:rsid w:val="00770017"/>
    <w:rsid w:val="007734BF"/>
    <w:rsid w:val="00776A53"/>
    <w:rsid w:val="00781365"/>
    <w:rsid w:val="00781CC3"/>
    <w:rsid w:val="00783DC4"/>
    <w:rsid w:val="00786056"/>
    <w:rsid w:val="007862B9"/>
    <w:rsid w:val="00793AA4"/>
    <w:rsid w:val="00793E14"/>
    <w:rsid w:val="007A155B"/>
    <w:rsid w:val="007A3489"/>
    <w:rsid w:val="007A4538"/>
    <w:rsid w:val="007A50BC"/>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748"/>
    <w:rsid w:val="008906A8"/>
    <w:rsid w:val="00890B0D"/>
    <w:rsid w:val="00890E72"/>
    <w:rsid w:val="00892248"/>
    <w:rsid w:val="008928D2"/>
    <w:rsid w:val="0089305F"/>
    <w:rsid w:val="00893996"/>
    <w:rsid w:val="00897A78"/>
    <w:rsid w:val="008A2F1D"/>
    <w:rsid w:val="008A3031"/>
    <w:rsid w:val="008A7BDF"/>
    <w:rsid w:val="008B3334"/>
    <w:rsid w:val="008B5642"/>
    <w:rsid w:val="008B5BB6"/>
    <w:rsid w:val="008C48D4"/>
    <w:rsid w:val="008C52D8"/>
    <w:rsid w:val="008D167B"/>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2334"/>
    <w:rsid w:val="009325D3"/>
    <w:rsid w:val="00934480"/>
    <w:rsid w:val="009377C8"/>
    <w:rsid w:val="00942361"/>
    <w:rsid w:val="009432EC"/>
    <w:rsid w:val="00945494"/>
    <w:rsid w:val="009502E9"/>
    <w:rsid w:val="00954865"/>
    <w:rsid w:val="00954B2A"/>
    <w:rsid w:val="0095619A"/>
    <w:rsid w:val="00960541"/>
    <w:rsid w:val="00960BEF"/>
    <w:rsid w:val="00961A99"/>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A14"/>
    <w:rsid w:val="009A5626"/>
    <w:rsid w:val="009B04E1"/>
    <w:rsid w:val="009B1245"/>
    <w:rsid w:val="009B4254"/>
    <w:rsid w:val="009B777A"/>
    <w:rsid w:val="009C1DE1"/>
    <w:rsid w:val="009C5284"/>
    <w:rsid w:val="009C5CF4"/>
    <w:rsid w:val="009C654E"/>
    <w:rsid w:val="009C79E1"/>
    <w:rsid w:val="009C7F0B"/>
    <w:rsid w:val="009D139D"/>
    <w:rsid w:val="009D2353"/>
    <w:rsid w:val="009D294B"/>
    <w:rsid w:val="009D372C"/>
    <w:rsid w:val="009D38E9"/>
    <w:rsid w:val="009D4984"/>
    <w:rsid w:val="009D5841"/>
    <w:rsid w:val="009E1E49"/>
    <w:rsid w:val="009E3250"/>
    <w:rsid w:val="009E6032"/>
    <w:rsid w:val="009E6870"/>
    <w:rsid w:val="009E7102"/>
    <w:rsid w:val="009E7343"/>
    <w:rsid w:val="009F0816"/>
    <w:rsid w:val="009F2D63"/>
    <w:rsid w:val="009F59F6"/>
    <w:rsid w:val="009F5FB9"/>
    <w:rsid w:val="00A02089"/>
    <w:rsid w:val="00A0209F"/>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B5A"/>
    <w:rsid w:val="00A709B4"/>
    <w:rsid w:val="00A70AC3"/>
    <w:rsid w:val="00A70C6C"/>
    <w:rsid w:val="00A7382C"/>
    <w:rsid w:val="00A73C1F"/>
    <w:rsid w:val="00A73E9D"/>
    <w:rsid w:val="00A7413F"/>
    <w:rsid w:val="00A7666E"/>
    <w:rsid w:val="00A776DC"/>
    <w:rsid w:val="00A83AFE"/>
    <w:rsid w:val="00A84B2A"/>
    <w:rsid w:val="00A84D31"/>
    <w:rsid w:val="00A85C93"/>
    <w:rsid w:val="00A872DA"/>
    <w:rsid w:val="00A87B86"/>
    <w:rsid w:val="00A9165B"/>
    <w:rsid w:val="00A92A44"/>
    <w:rsid w:val="00A934AC"/>
    <w:rsid w:val="00A94C25"/>
    <w:rsid w:val="00A94DFD"/>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7D0B"/>
    <w:rsid w:val="00AC7E44"/>
    <w:rsid w:val="00AD184E"/>
    <w:rsid w:val="00AD2AB2"/>
    <w:rsid w:val="00AD34E2"/>
    <w:rsid w:val="00AD673C"/>
    <w:rsid w:val="00AD778C"/>
    <w:rsid w:val="00AD7929"/>
    <w:rsid w:val="00AD7D49"/>
    <w:rsid w:val="00AE0CF4"/>
    <w:rsid w:val="00AE0DA7"/>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6370"/>
    <w:rsid w:val="00B2730D"/>
    <w:rsid w:val="00B3009C"/>
    <w:rsid w:val="00B32E02"/>
    <w:rsid w:val="00B337C7"/>
    <w:rsid w:val="00B36A55"/>
    <w:rsid w:val="00B442FF"/>
    <w:rsid w:val="00B4473E"/>
    <w:rsid w:val="00B44DA7"/>
    <w:rsid w:val="00B4713D"/>
    <w:rsid w:val="00B53707"/>
    <w:rsid w:val="00B5381F"/>
    <w:rsid w:val="00B5465F"/>
    <w:rsid w:val="00B55CE3"/>
    <w:rsid w:val="00B56180"/>
    <w:rsid w:val="00B60B95"/>
    <w:rsid w:val="00B622BB"/>
    <w:rsid w:val="00B63BCB"/>
    <w:rsid w:val="00B64046"/>
    <w:rsid w:val="00B647FA"/>
    <w:rsid w:val="00B64F61"/>
    <w:rsid w:val="00B6701E"/>
    <w:rsid w:val="00B67A8E"/>
    <w:rsid w:val="00B72444"/>
    <w:rsid w:val="00B7274D"/>
    <w:rsid w:val="00B73292"/>
    <w:rsid w:val="00B74B05"/>
    <w:rsid w:val="00B7796B"/>
    <w:rsid w:val="00B80EB8"/>
    <w:rsid w:val="00B80FA6"/>
    <w:rsid w:val="00B82A1E"/>
    <w:rsid w:val="00B83C73"/>
    <w:rsid w:val="00B84F32"/>
    <w:rsid w:val="00B86602"/>
    <w:rsid w:val="00B87FCA"/>
    <w:rsid w:val="00B90697"/>
    <w:rsid w:val="00B91F7E"/>
    <w:rsid w:val="00B94DFB"/>
    <w:rsid w:val="00B95C88"/>
    <w:rsid w:val="00BA4D33"/>
    <w:rsid w:val="00BA5800"/>
    <w:rsid w:val="00BA7B1C"/>
    <w:rsid w:val="00BB5BDF"/>
    <w:rsid w:val="00BB7F37"/>
    <w:rsid w:val="00BC3132"/>
    <w:rsid w:val="00BC6D29"/>
    <w:rsid w:val="00BC7C76"/>
    <w:rsid w:val="00BC7CCF"/>
    <w:rsid w:val="00BD0BDE"/>
    <w:rsid w:val="00BD1516"/>
    <w:rsid w:val="00BD3EE0"/>
    <w:rsid w:val="00BD724C"/>
    <w:rsid w:val="00BE0DE2"/>
    <w:rsid w:val="00BE36F8"/>
    <w:rsid w:val="00BE3702"/>
    <w:rsid w:val="00BE67B9"/>
    <w:rsid w:val="00BE7919"/>
    <w:rsid w:val="00BF10C4"/>
    <w:rsid w:val="00BF177E"/>
    <w:rsid w:val="00BF3790"/>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62C7"/>
    <w:rsid w:val="00C468CB"/>
    <w:rsid w:val="00C47DCD"/>
    <w:rsid w:val="00C53E2A"/>
    <w:rsid w:val="00C56B3E"/>
    <w:rsid w:val="00C62BBE"/>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F6C"/>
    <w:rsid w:val="00CB4121"/>
    <w:rsid w:val="00CB665C"/>
    <w:rsid w:val="00CB6702"/>
    <w:rsid w:val="00CB6E0B"/>
    <w:rsid w:val="00CC0591"/>
    <w:rsid w:val="00CC0CD0"/>
    <w:rsid w:val="00CC0F91"/>
    <w:rsid w:val="00CC26BA"/>
    <w:rsid w:val="00CC611D"/>
    <w:rsid w:val="00CC717B"/>
    <w:rsid w:val="00CD1821"/>
    <w:rsid w:val="00CD1B1C"/>
    <w:rsid w:val="00CD2597"/>
    <w:rsid w:val="00CD495C"/>
    <w:rsid w:val="00CD541B"/>
    <w:rsid w:val="00CD6DB6"/>
    <w:rsid w:val="00CD7187"/>
    <w:rsid w:val="00CE06CC"/>
    <w:rsid w:val="00CE0A81"/>
    <w:rsid w:val="00CE2719"/>
    <w:rsid w:val="00CE2F41"/>
    <w:rsid w:val="00CE3BBD"/>
    <w:rsid w:val="00CE4665"/>
    <w:rsid w:val="00CF07A4"/>
    <w:rsid w:val="00CF11EB"/>
    <w:rsid w:val="00CF1CCD"/>
    <w:rsid w:val="00CF233D"/>
    <w:rsid w:val="00CF276A"/>
    <w:rsid w:val="00CF3634"/>
    <w:rsid w:val="00CF3764"/>
    <w:rsid w:val="00CF4765"/>
    <w:rsid w:val="00CF5643"/>
    <w:rsid w:val="00D00CEA"/>
    <w:rsid w:val="00D0306E"/>
    <w:rsid w:val="00D049A6"/>
    <w:rsid w:val="00D0505F"/>
    <w:rsid w:val="00D0670D"/>
    <w:rsid w:val="00D070CE"/>
    <w:rsid w:val="00D13E32"/>
    <w:rsid w:val="00D14DCE"/>
    <w:rsid w:val="00D16DAF"/>
    <w:rsid w:val="00D1726E"/>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63A0"/>
    <w:rsid w:val="00D4745C"/>
    <w:rsid w:val="00D51033"/>
    <w:rsid w:val="00D516EB"/>
    <w:rsid w:val="00D52F2C"/>
    <w:rsid w:val="00D55D2E"/>
    <w:rsid w:val="00D60677"/>
    <w:rsid w:val="00D6250C"/>
    <w:rsid w:val="00D63F7C"/>
    <w:rsid w:val="00D649B9"/>
    <w:rsid w:val="00D701FD"/>
    <w:rsid w:val="00D7348A"/>
    <w:rsid w:val="00D757D8"/>
    <w:rsid w:val="00D80339"/>
    <w:rsid w:val="00D8087E"/>
    <w:rsid w:val="00D83F24"/>
    <w:rsid w:val="00D84709"/>
    <w:rsid w:val="00D86641"/>
    <w:rsid w:val="00D86917"/>
    <w:rsid w:val="00D87350"/>
    <w:rsid w:val="00D906B9"/>
    <w:rsid w:val="00D9086D"/>
    <w:rsid w:val="00D923CA"/>
    <w:rsid w:val="00D945BD"/>
    <w:rsid w:val="00D9460D"/>
    <w:rsid w:val="00D97412"/>
    <w:rsid w:val="00DA24A9"/>
    <w:rsid w:val="00DA2A88"/>
    <w:rsid w:val="00DA321A"/>
    <w:rsid w:val="00DA3280"/>
    <w:rsid w:val="00DB0B02"/>
    <w:rsid w:val="00DB59BA"/>
    <w:rsid w:val="00DB6135"/>
    <w:rsid w:val="00DB72E3"/>
    <w:rsid w:val="00DC06FC"/>
    <w:rsid w:val="00DC18FB"/>
    <w:rsid w:val="00DC2086"/>
    <w:rsid w:val="00DC7D41"/>
    <w:rsid w:val="00DD0851"/>
    <w:rsid w:val="00DD3DBA"/>
    <w:rsid w:val="00DD4481"/>
    <w:rsid w:val="00DD7896"/>
    <w:rsid w:val="00DD7992"/>
    <w:rsid w:val="00DE356D"/>
    <w:rsid w:val="00DE358C"/>
    <w:rsid w:val="00DE3CA4"/>
    <w:rsid w:val="00DE4F7F"/>
    <w:rsid w:val="00DE6AA7"/>
    <w:rsid w:val="00DF1AA8"/>
    <w:rsid w:val="00E11AC6"/>
    <w:rsid w:val="00E159A9"/>
    <w:rsid w:val="00E162DE"/>
    <w:rsid w:val="00E164F4"/>
    <w:rsid w:val="00E17763"/>
    <w:rsid w:val="00E20414"/>
    <w:rsid w:val="00E20E21"/>
    <w:rsid w:val="00E21B3D"/>
    <w:rsid w:val="00E22B9E"/>
    <w:rsid w:val="00E31FD5"/>
    <w:rsid w:val="00E3586A"/>
    <w:rsid w:val="00E35A55"/>
    <w:rsid w:val="00E35D14"/>
    <w:rsid w:val="00E35D78"/>
    <w:rsid w:val="00E37267"/>
    <w:rsid w:val="00E42D05"/>
    <w:rsid w:val="00E44E27"/>
    <w:rsid w:val="00E51A53"/>
    <w:rsid w:val="00E5214A"/>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A0303"/>
    <w:rsid w:val="00EA0EEE"/>
    <w:rsid w:val="00EA32DC"/>
    <w:rsid w:val="00EA56AA"/>
    <w:rsid w:val="00EB08B5"/>
    <w:rsid w:val="00EB0988"/>
    <w:rsid w:val="00EB1713"/>
    <w:rsid w:val="00EB2220"/>
    <w:rsid w:val="00EB34FF"/>
    <w:rsid w:val="00EB4170"/>
    <w:rsid w:val="00EC154E"/>
    <w:rsid w:val="00EC4D44"/>
    <w:rsid w:val="00ED1FA7"/>
    <w:rsid w:val="00ED4DC3"/>
    <w:rsid w:val="00EE0390"/>
    <w:rsid w:val="00EE18A4"/>
    <w:rsid w:val="00EE66D2"/>
    <w:rsid w:val="00EE7F16"/>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6355"/>
    <w:rsid w:val="00F5662D"/>
    <w:rsid w:val="00F60018"/>
    <w:rsid w:val="00F60221"/>
    <w:rsid w:val="00F61385"/>
    <w:rsid w:val="00F627D9"/>
    <w:rsid w:val="00F645B9"/>
    <w:rsid w:val="00F64E08"/>
    <w:rsid w:val="00F72787"/>
    <w:rsid w:val="00F73E0E"/>
    <w:rsid w:val="00F74C2B"/>
    <w:rsid w:val="00F77274"/>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28AB4"/>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styleId="PlainTable2">
    <w:name w:val="Plain Table 2"/>
    <w:basedOn w:val="TableNormal"/>
    <w:uiPriority w:val="42"/>
    <w:rsid w:val="00ED4D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moja/learn/nature/upload/201204MOJAscience.pdf" TargetMode="External"/><Relationship Id="rId13" Type="http://schemas.openxmlformats.org/officeDocument/2006/relationships/image" Target="media/image5.jpeg"/><Relationship Id="rId18" Type="http://schemas.openxmlformats.org/officeDocument/2006/relationships/hyperlink" Target="https://bugguide.net/node/view/147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ugguide.net/node/view/117329" TargetMode="External"/><Relationship Id="rId2" Type="http://schemas.openxmlformats.org/officeDocument/2006/relationships/numbering" Target="numbering.xml"/><Relationship Id="rId16" Type="http://schemas.openxmlformats.org/officeDocument/2006/relationships/hyperlink" Target="https://bugguide.net/node/view/78779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B71D9-F5CC-4EA0-80C3-EA1F9200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8390</TotalTime>
  <Pages>36</Pages>
  <Words>21760</Words>
  <Characters>124037</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1177</cp:revision>
  <dcterms:created xsi:type="dcterms:W3CDTF">2018-02-28T22:36:00Z</dcterms:created>
  <dcterms:modified xsi:type="dcterms:W3CDTF">2018-09-07T18:21:00Z</dcterms:modified>
</cp:coreProperties>
</file>