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799E" w:rsidRDefault="00FE799E" w:rsidP="00FE799E">
      <w:r>
        <w:t>Larrea tridentata indirectly interacts with co-blooming annuals with species-specific effects that map onto arthropod and plant communities</w:t>
      </w:r>
    </w:p>
    <w:p w:rsidR="004D279E" w:rsidRDefault="004D279E" w:rsidP="00FE799E">
      <w:r>
        <w:t>Here I show that Larrea interacts with plants, but also with other trophic levels and indirectly for pollinators.</w:t>
      </w:r>
      <w:r w:rsidR="00AB7897">
        <w:t xml:space="preserve"> We explore the relative importance of plant-plant, plant-arthropod, and plant-pollinator interactions as the foundation plant shifts into a reproductive life stage.</w:t>
      </w:r>
    </w:p>
    <w:p w:rsidR="00FE799E" w:rsidRDefault="00FE799E" w:rsidP="00FE799E">
      <w:r>
        <w:t>Introduction</w:t>
      </w:r>
    </w:p>
    <w:p w:rsidR="004D279E" w:rsidRDefault="00FE799E" w:rsidP="00FE799E">
      <w:r>
        <w:t>Foundational plants have positive structural influences onto their associated plant communities. In arid environments, shrubs can act as keystone facilitators, directly benefiting associated plants via multiple mechanistic pathways across all life stages (</w:t>
      </w:r>
      <w:proofErr w:type="spellStart"/>
      <w:r>
        <w:t>Filazzola</w:t>
      </w:r>
      <w:proofErr w:type="spellEnd"/>
      <w:r>
        <w:t xml:space="preserve"> and </w:t>
      </w:r>
      <w:proofErr w:type="spellStart"/>
      <w:r>
        <w:t>Lortie</w:t>
      </w:r>
      <w:proofErr w:type="spellEnd"/>
      <w:r>
        <w:t>, 2014), such as stress amelioration, improved water and nutrient availability (</w:t>
      </w:r>
      <w:proofErr w:type="spellStart"/>
      <w:r>
        <w:t>Whitford</w:t>
      </w:r>
      <w:proofErr w:type="spellEnd"/>
      <w:r>
        <w:t xml:space="preserve"> et al, 1994) and seed tra</w:t>
      </w:r>
      <w:r w:rsidR="00BA7B1C">
        <w:t xml:space="preserve">pping (Flores and </w:t>
      </w:r>
      <w:proofErr w:type="spellStart"/>
      <w:r w:rsidR="00BA7B1C">
        <w:t>Jurado</w:t>
      </w:r>
      <w:proofErr w:type="spellEnd"/>
      <w:r w:rsidR="00BA7B1C">
        <w:t>, 2003)</w:t>
      </w:r>
      <w:r>
        <w:t xml:space="preserve">. </w:t>
      </w:r>
      <w:r w:rsidR="004D279E">
        <w:t xml:space="preserve">Most studies only consider plant-plant, and few pay </w:t>
      </w:r>
      <w:proofErr w:type="gramStart"/>
      <w:r w:rsidR="004D279E">
        <w:t>attention</w:t>
      </w:r>
      <w:proofErr w:type="gramEnd"/>
      <w:r w:rsidR="004D279E">
        <w:t xml:space="preserve"> to indirect interactions that arise from proximity or how foundation plants influence other trophic levels.</w:t>
      </w:r>
    </w:p>
    <w:p w:rsidR="00FE799E" w:rsidRDefault="00FE799E" w:rsidP="00FE799E">
      <w:r>
        <w:t xml:space="preserve">Interactions for pollinators between plants forms a continuum from competition to facilitation. If they both flower, then they likely interact for pollinators. Bruno et al. (2003) predicts temporal flips in relative interactions from competition to facilitation, however few studies have documented the effect. Another major objective of this study is to test for relative changes in interactions when foundational plants shift into a reproductive life stage. </w:t>
      </w:r>
      <w:r w:rsidR="0089305F">
        <w:t xml:space="preserve">Interactions have been documented to vary between years, but they can also vary within a year. A shift by such a dominant plant may alter the reproductive success of its neighbours. </w:t>
      </w:r>
      <w:r w:rsidR="00510EFE">
        <w:t>Shrubs can facilitate other plants by acting as a magnet, increasing floral display size or diversity. However, the same attributes that make a plant act as a magnet are the same that may cause it to compete. This is an indirect interaction, which is mediated by insects. Facilitation of shared pollinators can be particularly important in deserts because harsh environmental conditions can lead to large spatial variation in floral abundances and pollinator populations (</w:t>
      </w:r>
      <w:proofErr w:type="spellStart"/>
      <w:r w:rsidR="00510EFE">
        <w:t>Rathcke</w:t>
      </w:r>
      <w:proofErr w:type="spellEnd"/>
      <w:r w:rsidR="00510EFE">
        <w:t xml:space="preserve">, 1983). </w:t>
      </w:r>
    </w:p>
    <w:p w:rsidR="0025390F" w:rsidRDefault="0025390F" w:rsidP="00FE799E">
      <w:r>
        <w:t>Mechanisms?</w:t>
      </w:r>
    </w:p>
    <w:p w:rsidR="00B157A8" w:rsidRDefault="00B157A8" w:rsidP="00FE799E">
      <w:r>
        <w:t xml:space="preserve">Understanding mechanisms is important because… Facilitation pathways that don’t involve co-blooming are critically understudied. </w:t>
      </w:r>
      <w:r w:rsidR="00FD46DB">
        <w:t xml:space="preserve">There are several pathways to facilitation: Change in behaviour (attracting more to area), change in population (concentrate pop). By sampling arthropod community, can try to see the pathways better. </w:t>
      </w:r>
      <w:r w:rsidR="005425B8">
        <w:t>Community</w:t>
      </w:r>
      <w:r w:rsidR="00FD46DB">
        <w:t xml:space="preserve"> level interaction pathways very complicated. </w:t>
      </w:r>
    </w:p>
    <w:p w:rsidR="0025390F" w:rsidRDefault="00510EFE" w:rsidP="00510EFE">
      <w:r>
        <w:t>Creosote bush, Larrea tridentata (</w:t>
      </w:r>
      <w:proofErr w:type="spellStart"/>
      <w:r>
        <w:t>Zygophyllaceae</w:t>
      </w:r>
      <w:proofErr w:type="spellEnd"/>
      <w:r>
        <w:t>) is a generalist shrub - the full pollinator guild contains 22 specialist pollinators and more than 80 generalists (</w:t>
      </w:r>
      <w:proofErr w:type="spellStart"/>
      <w:r>
        <w:t>Minkley</w:t>
      </w:r>
      <w:proofErr w:type="spellEnd"/>
      <w:r>
        <w:t xml:space="preserve"> et al, 1999). The associated guilds are highly variable over space and most shrubs only interact with 20% of the full guild, but there is a stable core guild (Cane and </w:t>
      </w:r>
      <w:proofErr w:type="spellStart"/>
      <w:r>
        <w:t>Minkley</w:t>
      </w:r>
      <w:proofErr w:type="spellEnd"/>
      <w:r>
        <w:t>). L. tridentata has a large range and abundance. It has been a dominant flowering shrub for 25 000 years (</w:t>
      </w:r>
      <w:proofErr w:type="spellStart"/>
      <w:r>
        <w:t>Batancourt</w:t>
      </w:r>
      <w:proofErr w:type="spellEnd"/>
      <w:r>
        <w:t xml:space="preserve"> 1990), and individuals that are several thousand years old have been documented (</w:t>
      </w:r>
      <w:proofErr w:type="spellStart"/>
      <w:r>
        <w:t>Vasek</w:t>
      </w:r>
      <w:proofErr w:type="spellEnd"/>
      <w:r>
        <w:t xml:space="preserve">, 1980). It both competes through </w:t>
      </w:r>
      <w:proofErr w:type="spellStart"/>
      <w:r>
        <w:t>allelopathy</w:t>
      </w:r>
      <w:proofErr w:type="spellEnd"/>
      <w:r>
        <w:t xml:space="preserve">. It has been documented to act as a nurse shrub as well. It is a very reliable flowerer. Whether it competes for pollinators is not known. If they facilitate their </w:t>
      </w:r>
      <w:r>
        <w:lastRenderedPageBreak/>
        <w:t xml:space="preserve">understory, </w:t>
      </w:r>
      <w:proofErr w:type="gramStart"/>
      <w:r>
        <w:t>than</w:t>
      </w:r>
      <w:proofErr w:type="gramEnd"/>
      <w:r>
        <w:t xml:space="preserve"> they may be able to buffer their associates from a pollinator decline. But if they outcompete them, then their associates may be extra vulnerable. </w:t>
      </w:r>
      <w:r w:rsidR="0025390F">
        <w:t xml:space="preserve">Understanding interactions for pollination at a community level is critical for understanding potential impacts of any decline. </w:t>
      </w:r>
    </w:p>
    <w:p w:rsidR="00510EFE" w:rsidRDefault="00510EFE" w:rsidP="00510EFE">
      <w:r>
        <w:t xml:space="preserve">Here we test for the influence of larrea onto its commonly co-occurring annual Malacothrix glabrata. </w:t>
      </w:r>
    </w:p>
    <w:p w:rsidR="00510EFE" w:rsidRDefault="00510EFE" w:rsidP="00FE799E"/>
    <w:p w:rsidR="00B4473E" w:rsidRDefault="0035192F" w:rsidP="00FE799E">
      <w:r>
        <w:t>Hypothesis and Predictions</w:t>
      </w:r>
    </w:p>
    <w:p w:rsidR="00B72444" w:rsidRDefault="00B72444" w:rsidP="00FE799E">
      <w:r>
        <w:t>Therefore, we also look for responses in the associated arthropod communities. I predict that they will compete prior to Larrea blooming due to interference, and that Malacothrix will show increased visitation when larrea is blooming. More visits underneath than in open areas.</w:t>
      </w:r>
      <w:r w:rsidR="00494431">
        <w:t xml:space="preserve"> To disentangle effects via blooms, we tested before and during full bloom. If larrea acts as a magnet, we expect to see an increase in arthropod abundance in pan traps.  </w:t>
      </w:r>
    </w:p>
    <w:p w:rsidR="00FE799E" w:rsidRDefault="00FE799E" w:rsidP="00FE799E">
      <w:r>
        <w:t xml:space="preserve">Study site and weather. </w:t>
      </w:r>
    </w:p>
    <w:p w:rsidR="00FE799E" w:rsidRDefault="00FE799E" w:rsidP="00FE799E">
      <w:r>
        <w:t>The Mojave Desert is a biodiversity hotspot supporting 659 species of bees (Saul-</w:t>
      </w:r>
      <w:proofErr w:type="spellStart"/>
      <w:r>
        <w:t>Gershenz</w:t>
      </w:r>
      <w:proofErr w:type="spellEnd"/>
      <w:r>
        <w:t xml:space="preserve"> et al, 2012) and 1680 species of vascular plants (</w:t>
      </w:r>
      <w:proofErr w:type="spellStart"/>
      <w:r>
        <w:t>Rundel</w:t>
      </w:r>
      <w:proofErr w:type="spellEnd"/>
      <w:r>
        <w:t xml:space="preserve"> and Gibson, 2005). It’s desert, below precipitation etc. etc. The study site is located in Sunset Cove on the USNRS reserve Granites, elevation. </w:t>
      </w:r>
      <w:r w:rsidR="003B7688">
        <w:t xml:space="preserve">The site is a gently sloping cove, shrub and cactus dominated community. </w:t>
      </w:r>
      <w:r>
        <w:t xml:space="preserve">The most abundant shrub is </w:t>
      </w:r>
      <w:proofErr w:type="spellStart"/>
      <w:r>
        <w:t>Acamptappus</w:t>
      </w:r>
      <w:proofErr w:type="spellEnd"/>
      <w:r>
        <w:t xml:space="preserve"> </w:t>
      </w:r>
      <w:proofErr w:type="spellStart"/>
      <w:r>
        <w:t>spheorpus</w:t>
      </w:r>
      <w:proofErr w:type="spellEnd"/>
      <w:r>
        <w:t xml:space="preserve">, but larrea likely has the greatest biomass. Also common is ambrosia </w:t>
      </w:r>
      <w:proofErr w:type="spellStart"/>
      <w:r>
        <w:t>salsola</w:t>
      </w:r>
      <w:proofErr w:type="spellEnd"/>
      <w:r>
        <w:t xml:space="preserve">, </w:t>
      </w:r>
      <w:proofErr w:type="spellStart"/>
      <w:r>
        <w:t>eriogrnum</w:t>
      </w:r>
      <w:proofErr w:type="spellEnd"/>
      <w:r>
        <w:t xml:space="preserve"> </w:t>
      </w:r>
      <w:proofErr w:type="spellStart"/>
      <w:r>
        <w:t>fascilatum</w:t>
      </w:r>
      <w:proofErr w:type="spellEnd"/>
      <w:r>
        <w:t xml:space="preserve">, the </w:t>
      </w:r>
      <w:proofErr w:type="spellStart"/>
      <w:r>
        <w:t>chollas</w:t>
      </w:r>
      <w:proofErr w:type="spellEnd"/>
      <w:r>
        <w:t xml:space="preserve">, </w:t>
      </w:r>
      <w:proofErr w:type="spellStart"/>
      <w:r>
        <w:t>thamnosa</w:t>
      </w:r>
      <w:proofErr w:type="spellEnd"/>
      <w:r>
        <w:t xml:space="preserve"> </w:t>
      </w:r>
      <w:proofErr w:type="spellStart"/>
      <w:r>
        <w:t>montana</w:t>
      </w:r>
      <w:proofErr w:type="spellEnd"/>
      <w:r>
        <w:t xml:space="preserve">. The most common flowering annuals present during the study period were small </w:t>
      </w:r>
      <w:proofErr w:type="spellStart"/>
      <w:r>
        <w:t>Boraginace</w:t>
      </w:r>
      <w:proofErr w:type="spellEnd"/>
      <w:r>
        <w:t xml:space="preserve">, </w:t>
      </w:r>
      <w:proofErr w:type="spellStart"/>
      <w:r>
        <w:t>crpythanta</w:t>
      </w:r>
      <w:proofErr w:type="spellEnd"/>
      <w:r>
        <w:t xml:space="preserve"> </w:t>
      </w:r>
      <w:proofErr w:type="spellStart"/>
      <w:r>
        <w:t>sp</w:t>
      </w:r>
      <w:proofErr w:type="spellEnd"/>
      <w:r>
        <w:t xml:space="preserve">, Fremont phacelia, </w:t>
      </w:r>
      <w:proofErr w:type="spellStart"/>
      <w:r>
        <w:t>wallaces</w:t>
      </w:r>
      <w:proofErr w:type="spellEnd"/>
      <w:r>
        <w:t xml:space="preserve"> wooly daisy, </w:t>
      </w:r>
      <w:proofErr w:type="spellStart"/>
      <w:r>
        <w:t>gilia</w:t>
      </w:r>
      <w:proofErr w:type="spellEnd"/>
      <w:r>
        <w:t xml:space="preserve">. Later more phacelia, Malacothrix, </w:t>
      </w:r>
      <w:proofErr w:type="spellStart"/>
      <w:r>
        <w:t>fremonts</w:t>
      </w:r>
      <w:proofErr w:type="spellEnd"/>
      <w:r>
        <w:t xml:space="preserve"> pincushion were common.   The study took place between April 10th, 2017 and May 5th, 2017.</w:t>
      </w:r>
    </w:p>
    <w:p w:rsidR="002F7980" w:rsidRDefault="0019001B">
      <w:r>
        <w:t>Methods:</w:t>
      </w:r>
    </w:p>
    <w:p w:rsidR="00356BDB" w:rsidRDefault="00356BDB" w:rsidP="00AE2B73">
      <w:r>
        <w:t>Experimental design</w:t>
      </w:r>
    </w:p>
    <w:p w:rsidR="00AE2B73" w:rsidRPr="00FE799E" w:rsidRDefault="00356BDB" w:rsidP="00AE2B73">
      <w:pPr>
        <w:rPr>
          <w:i/>
        </w:rPr>
      </w:pPr>
      <w:r>
        <w:t>Microsite were located</w:t>
      </w:r>
      <w:r w:rsidR="00AE2B73" w:rsidRPr="00AE2B73">
        <w:t xml:space="preserve"> in a paired fashion; one inside the dripline of the focal plant</w:t>
      </w:r>
      <w:r>
        <w:t xml:space="preserve"> (“shrub”)</w:t>
      </w:r>
      <w:r w:rsidR="00AE2B73" w:rsidRPr="00AE2B73">
        <w:t xml:space="preserve"> and one a minimum of 1</w:t>
      </w:r>
      <w:r w:rsidR="00614FD3">
        <w:t>.5</w:t>
      </w:r>
      <w:r w:rsidR="00AE2B73" w:rsidRPr="00AE2B73">
        <w:t xml:space="preserve"> m away in an open area</w:t>
      </w:r>
      <w:r>
        <w:t xml:space="preserve"> (“open”)</w:t>
      </w:r>
      <w:r w:rsidR="00AE2B73">
        <w:t>, both on the south to ensure</w:t>
      </w:r>
      <w:r w:rsidR="00AE2B73" w:rsidRPr="00AE2B73">
        <w:t xml:space="preserve"> the plants were not shaded.</w:t>
      </w:r>
      <w:r w:rsidR="00AE2B73">
        <w:t xml:space="preserve"> The paired sites were used to minimize differences due to environment</w:t>
      </w:r>
      <w:r w:rsidR="00F3485C">
        <w:t>al</w:t>
      </w:r>
      <w:r w:rsidR="00AE2B73">
        <w:t xml:space="preserve"> heterogeneity. </w:t>
      </w:r>
      <w:r w:rsidR="00FE799E" w:rsidRPr="00F3485C">
        <w:rPr>
          <w:i/>
        </w:rPr>
        <w:t>Malacothrix glabrata</w:t>
      </w:r>
      <w:r w:rsidR="00FE799E">
        <w:t xml:space="preserve">, desert dandelion, was used as a </w:t>
      </w:r>
      <w:proofErr w:type="spellStart"/>
      <w:r w:rsidR="00FE799E">
        <w:t>phytometer</w:t>
      </w:r>
      <w:proofErr w:type="spellEnd"/>
      <w:r w:rsidR="00FE799E">
        <w:t xml:space="preserve">. </w:t>
      </w:r>
      <w:proofErr w:type="spellStart"/>
      <w:r w:rsidR="00FE799E">
        <w:t>Phytometer</w:t>
      </w:r>
      <w:proofErr w:type="spellEnd"/>
      <w:r w:rsidR="00FE799E">
        <w:t>, definition here, are commonly employed in agricultural studies to measure pollination services.</w:t>
      </w:r>
    </w:p>
    <w:p w:rsidR="00356BDB" w:rsidRDefault="00356BDB" w:rsidP="002F7980">
      <w:r>
        <w:t xml:space="preserve">Visitation to </w:t>
      </w:r>
      <w:proofErr w:type="spellStart"/>
      <w:r>
        <w:t>phytometer</w:t>
      </w:r>
      <w:proofErr w:type="spellEnd"/>
    </w:p>
    <w:p w:rsidR="00F3485C" w:rsidRDefault="002F7980" w:rsidP="002F7980">
      <w:r>
        <w:t xml:space="preserve">Each study day, </w:t>
      </w:r>
      <w:r w:rsidR="00966C92" w:rsidRPr="002F7980">
        <w:rPr>
          <w:i/>
        </w:rPr>
        <w:t>M</w:t>
      </w:r>
      <w:r w:rsidR="00F3485C">
        <w:rPr>
          <w:i/>
        </w:rPr>
        <w:t>.</w:t>
      </w:r>
      <w:r w:rsidR="00966C92" w:rsidRPr="002F7980">
        <w:rPr>
          <w:i/>
        </w:rPr>
        <w:t xml:space="preserve"> glabrata</w:t>
      </w:r>
      <w:r w:rsidR="00966C92">
        <w:t xml:space="preserve"> </w:t>
      </w:r>
      <w:r>
        <w:t>from natural</w:t>
      </w:r>
      <w:r w:rsidR="00CD495C">
        <w:t>ly occurring</w:t>
      </w:r>
      <w:r>
        <w:t xml:space="preserve">, nearby populations where it </w:t>
      </w:r>
      <w:r w:rsidR="00AE2B73">
        <w:t xml:space="preserve">seasonally </w:t>
      </w:r>
      <w:r>
        <w:t xml:space="preserve">coexists with </w:t>
      </w:r>
      <w:r w:rsidR="00F3485C" w:rsidRPr="00F3485C">
        <w:rPr>
          <w:i/>
        </w:rPr>
        <w:t>L</w:t>
      </w:r>
      <w:r w:rsidR="00F3485C">
        <w:rPr>
          <w:i/>
        </w:rPr>
        <w:t>.</w:t>
      </w:r>
      <w:r>
        <w:rPr>
          <w:i/>
        </w:rPr>
        <w:t xml:space="preserve"> tridentata</w:t>
      </w:r>
      <w:r w:rsidR="00AE2B73">
        <w:rPr>
          <w:i/>
        </w:rPr>
        <w:t>,</w:t>
      </w:r>
      <w:r>
        <w:rPr>
          <w:i/>
        </w:rPr>
        <w:t xml:space="preserve"> </w:t>
      </w:r>
      <w:r>
        <w:t>were trans</w:t>
      </w:r>
      <w:r w:rsidR="00CD495C">
        <w:t>planted into 15 cm</w:t>
      </w:r>
      <w:r w:rsidR="00356BDB">
        <w:t xml:space="preserve"> diameter</w:t>
      </w:r>
      <w:r w:rsidR="00CD495C">
        <w:t xml:space="preserve"> black pots. Transpla</w:t>
      </w:r>
      <w:r>
        <w:t>nts with similar floral num</w:t>
      </w:r>
      <w:r w:rsidR="00F3485C">
        <w:t>ber, size and habit were paired and one pot was placed per microsite.</w:t>
      </w:r>
    </w:p>
    <w:p w:rsidR="00356BDB" w:rsidRDefault="002F7980" w:rsidP="002F7980">
      <w:r>
        <w:t xml:space="preserve"> </w:t>
      </w:r>
      <w:r w:rsidR="00356BDB">
        <w:t xml:space="preserve">The number of flowers on Mal was x. </w:t>
      </w:r>
    </w:p>
    <w:p w:rsidR="00AE2C97" w:rsidRDefault="00AE2C97" w:rsidP="002F7980">
      <w:r>
        <w:t xml:space="preserve">Pollinator activity to </w:t>
      </w:r>
      <w:proofErr w:type="spellStart"/>
      <w:r>
        <w:t>phytometers</w:t>
      </w:r>
      <w:proofErr w:type="spellEnd"/>
      <w:r>
        <w:t xml:space="preserve"> was captured using Polaroid Cube+ HD cameras</w:t>
      </w:r>
      <w:r w:rsidR="000E687C">
        <w:t>. They capture video in 1080p, and have an approximate run time of 1.5 hours.</w:t>
      </w:r>
    </w:p>
    <w:p w:rsidR="00356BDB" w:rsidRDefault="00CD495C" w:rsidP="002F7980">
      <w:r>
        <w:lastRenderedPageBreak/>
        <w:t>Six</w:t>
      </w:r>
      <w:r w:rsidR="002F7980">
        <w:t xml:space="preserve"> shrub/open pairs were tested </w:t>
      </w:r>
      <w:r w:rsidR="000E687C">
        <w:t xml:space="preserve">each day </w:t>
      </w:r>
      <w:r w:rsidR="00D945BD">
        <w:t xml:space="preserve">between the hours of 11:30 </w:t>
      </w:r>
      <w:r w:rsidR="005E23FD">
        <w:t xml:space="preserve">am </w:t>
      </w:r>
      <w:r w:rsidR="00D945BD">
        <w:t xml:space="preserve">and 3:30 </w:t>
      </w:r>
      <w:r w:rsidR="005E23FD">
        <w:t xml:space="preserve">pm </w:t>
      </w:r>
      <w:r w:rsidR="00D945BD">
        <w:t xml:space="preserve">to </w:t>
      </w:r>
      <w:r w:rsidR="005E23FD">
        <w:t>capture peak</w:t>
      </w:r>
      <w:r w:rsidR="00D945BD">
        <w:t xml:space="preserve"> pollinator activity. </w:t>
      </w:r>
      <w:r w:rsidR="005E23FD">
        <w:t>Ten day of trials (60 shrub/open pairs) were prior to</w:t>
      </w:r>
      <w:r w:rsidR="00D945BD">
        <w:t xml:space="preserve"> </w:t>
      </w:r>
      <w:r w:rsidR="005E23FD">
        <w:t>L. tridentata blooming.</w:t>
      </w:r>
      <w:r w:rsidR="00D945BD">
        <w:t xml:space="preserve"> </w:t>
      </w:r>
      <w:r w:rsidR="00C210D3" w:rsidRPr="00C210D3">
        <w:t>Individuals</w:t>
      </w:r>
      <w:r w:rsidR="005E23FD">
        <w:t xml:space="preserve"> with fewer than five open blooms were considered non-blooming. T</w:t>
      </w:r>
      <w:r w:rsidR="005E23FD">
        <w:t>he</w:t>
      </w:r>
      <w:r w:rsidR="00D945BD">
        <w:t xml:space="preserve"> same shrubs were retested after the shrubs entered full bloom.</w:t>
      </w:r>
      <w:r w:rsidR="00FE799E">
        <w:t xml:space="preserve"> The</w:t>
      </w:r>
      <w:r w:rsidR="002F7980">
        <w:t xml:space="preserve"> </w:t>
      </w:r>
      <w:r w:rsidR="00092721">
        <w:t xml:space="preserve">average number of blooms </w:t>
      </w:r>
      <w:r>
        <w:t xml:space="preserve">for ‘blooming’ treatment </w:t>
      </w:r>
      <w:r w:rsidR="00092721">
        <w:t>was 300.2</w:t>
      </w:r>
      <w:r w:rsidR="003158EA">
        <w:t xml:space="preserve"> </w:t>
      </w:r>
      <w:r w:rsidR="00092721">
        <w:t>±</w:t>
      </w:r>
      <w:r w:rsidR="003158EA">
        <w:t xml:space="preserve"> </w:t>
      </w:r>
      <w:r w:rsidR="00092721">
        <w:t xml:space="preserve">176.72SD. The minimum tested was 102, the maximum was 1080. </w:t>
      </w:r>
      <w:r w:rsidR="002A0025">
        <w:t>In two cases, a</w:t>
      </w:r>
      <w:r w:rsidR="00D945BD">
        <w:t xml:space="preserve"> f</w:t>
      </w:r>
      <w:r w:rsidR="002A0025">
        <w:t xml:space="preserve">ocal shrub did not bloom and </w:t>
      </w:r>
      <w:r w:rsidR="00D945BD">
        <w:t xml:space="preserve">was replaced by a new blooming shrub. </w:t>
      </w:r>
      <w:r w:rsidR="000E687C">
        <w:t>The experiment began April 10</w:t>
      </w:r>
      <w:r w:rsidR="000E687C" w:rsidRPr="000E687C">
        <w:rPr>
          <w:vertAlign w:val="superscript"/>
        </w:rPr>
        <w:t>th</w:t>
      </w:r>
      <w:r w:rsidR="000E687C">
        <w:t xml:space="preserve"> and the final day was May 5</w:t>
      </w:r>
      <w:r w:rsidR="000E687C" w:rsidRPr="000E687C">
        <w:rPr>
          <w:vertAlign w:val="superscript"/>
        </w:rPr>
        <w:t>th</w:t>
      </w:r>
      <w:r w:rsidR="000E687C">
        <w:t xml:space="preserve"> resulting in 20 days of visitation footage. 3 (?) videos were omitted due to disturbance or battery failure.</w:t>
      </w:r>
    </w:p>
    <w:p w:rsidR="0042771C" w:rsidRDefault="009E3250" w:rsidP="002F7980">
      <w:r>
        <w:t xml:space="preserve">The blooms of the </w:t>
      </w:r>
      <w:r w:rsidRPr="00FA369A">
        <w:rPr>
          <w:i/>
        </w:rPr>
        <w:t>Malacothrix</w:t>
      </w:r>
      <w:r>
        <w:t xml:space="preserve"> were snipped to </w:t>
      </w:r>
      <w:r w:rsidR="00CD7187">
        <w:t xml:space="preserve">be </w:t>
      </w:r>
      <w:r>
        <w:t>equal</w:t>
      </w:r>
      <w:r w:rsidR="00CD7187">
        <w:t xml:space="preserve"> in number</w:t>
      </w:r>
      <w:r>
        <w:t xml:space="preserve"> between shrub and open sites, but left to vary between replicates</w:t>
      </w:r>
      <w:r w:rsidR="00117EC0">
        <w:t xml:space="preserve">, except for the first two days of the study. </w:t>
      </w:r>
    </w:p>
    <w:p w:rsidR="002F7980" w:rsidRDefault="007569BC" w:rsidP="00CF233D">
      <w:r>
        <w:t>F</w:t>
      </w:r>
      <w:r w:rsidR="0042771C">
        <w:t xml:space="preserve">loral density can influence pollinator visitation (Bosch and </w:t>
      </w:r>
      <w:proofErr w:type="spellStart"/>
      <w:r w:rsidR="0042771C">
        <w:t>Waser</w:t>
      </w:r>
      <w:proofErr w:type="spellEnd"/>
      <w:r w:rsidR="0042771C">
        <w:t>, 2001), we ensured that there were no blooming Malacothrix in the direct vicinity of the experiment.</w:t>
      </w:r>
      <w:r w:rsidR="00E3586A">
        <w:t xml:space="preserve"> Heterospecific annual floral density and annual </w:t>
      </w:r>
      <w:r w:rsidR="00CD7187">
        <w:t>species richness were measur</w:t>
      </w:r>
      <w:r w:rsidR="002F7980">
        <w:t>ed within a 0.</w:t>
      </w:r>
      <w:r w:rsidR="000E1331">
        <w:t>2</w:t>
      </w:r>
      <w:r w:rsidR="002F7980">
        <w:t>5 m</w:t>
      </w:r>
      <w:r w:rsidR="002F7980">
        <w:rPr>
          <w:vertAlign w:val="superscript"/>
        </w:rPr>
        <w:t>2</w:t>
      </w:r>
      <w:r w:rsidR="002F7980">
        <w:t xml:space="preserve"> quadr</w:t>
      </w:r>
      <w:r w:rsidR="00117EC0">
        <w:t xml:space="preserve">at in each </w:t>
      </w:r>
      <w:r w:rsidR="00E3586A">
        <w:t>microsite.</w:t>
      </w:r>
      <w:r w:rsidR="00117EC0">
        <w:t xml:space="preserve"> </w:t>
      </w:r>
      <w:r w:rsidR="00CF233D">
        <w:t xml:space="preserve">The number </w:t>
      </w:r>
      <w:r w:rsidR="00E3586A">
        <w:t xml:space="preserve">of </w:t>
      </w:r>
      <w:r w:rsidR="00CF233D">
        <w:t xml:space="preserve">heterospecific shrubs and cacti </w:t>
      </w:r>
      <w:r w:rsidR="00E3586A">
        <w:t>in bloom were</w:t>
      </w:r>
      <w:r w:rsidR="00CF233D">
        <w:t xml:space="preserve"> counted within a 2 m radius of </w:t>
      </w:r>
      <w:r w:rsidR="00E3586A">
        <w:t xml:space="preserve">each </w:t>
      </w:r>
      <w:r w:rsidR="00CF233D">
        <w:t>microsite.</w:t>
      </w:r>
    </w:p>
    <w:p w:rsidR="00117EC0" w:rsidRDefault="00CD7187">
      <w:r>
        <w:t>Video footage was reviewed in lab.</w:t>
      </w:r>
      <w:r w:rsidR="002154B4">
        <w:t xml:space="preserve"> Pollinator visitation</w:t>
      </w:r>
      <w:r>
        <w:t>, the</w:t>
      </w:r>
      <w:r w:rsidR="002154B4">
        <w:t xml:space="preserve"> number of flowers visited, </w:t>
      </w:r>
      <w:r>
        <w:t>duration of visit</w:t>
      </w:r>
      <w:r w:rsidR="002154B4">
        <w:t>, and identity of visitor.</w:t>
      </w:r>
      <w:r w:rsidR="00AC2E2E">
        <w:t xml:space="preserve"> </w:t>
      </w:r>
      <w:r>
        <w:t>A pollinator visit</w:t>
      </w:r>
      <w:r w:rsidR="00813388">
        <w:t xml:space="preserve"> was</w:t>
      </w:r>
      <w:r w:rsidR="00FE799E">
        <w:t xml:space="preserve"> defined as</w:t>
      </w:r>
      <w:r w:rsidR="00813388">
        <w:t xml:space="preserve"> when an insect flew onto the flower</w:t>
      </w:r>
      <w:r w:rsidR="00FE799E">
        <w:t>, touching the reproductive organs</w:t>
      </w:r>
      <w:r w:rsidR="00813388">
        <w:t>. We also tracked when insects crawled onto the flower</w:t>
      </w:r>
      <w:r>
        <w:t xml:space="preserve"> and touched other parts of the plant</w:t>
      </w:r>
      <w:r w:rsidR="00813388">
        <w:t xml:space="preserve">. </w:t>
      </w:r>
      <w:r w:rsidR="00FA369A">
        <w:t>Visitation rates are a commonly used proxy of pollination (cite).</w:t>
      </w:r>
    </w:p>
    <w:p w:rsidR="00D25D79" w:rsidRDefault="00D25D79" w:rsidP="00D25D79">
      <w:r>
        <w:t xml:space="preserve">Pollen deposition </w:t>
      </w:r>
    </w:p>
    <w:p w:rsidR="00D25D79" w:rsidRDefault="00D25D79" w:rsidP="00D25D79">
      <w:r>
        <w:t>To quantify how pollen deposition changes with proximity of L. tridentata, I c</w:t>
      </w:r>
      <w:r>
        <w:t>ollected stigma from M. glabrata</w:t>
      </w:r>
      <w:r>
        <w:t xml:space="preserve"> at a nearby site (3 km) with a naturally occurring population of Malacothrix and L. tridentata. It was not possible to do this at my main study site because I could not ensure that the Malacothrix had not been pollinated prior to moving them to my site. </w:t>
      </w:r>
    </w:p>
    <w:p w:rsidR="00D25D79" w:rsidRDefault="00D25D79" w:rsidP="00D25D79">
      <w:r>
        <w:t xml:space="preserve">I collected three </w:t>
      </w:r>
      <w:proofErr w:type="gramStart"/>
      <w:r>
        <w:t>stigma</w:t>
      </w:r>
      <w:proofErr w:type="gramEnd"/>
      <w:r>
        <w:t xml:space="preserve"> from each of three flowers from one Malacothrix (nine stigmas per plant) growing each of under the dripline and in a nearby open area, 298 in total. Open area at least 1 m away from dripline of any larrea. Only 13 pairs were tested because a heatwave followed by a wind storm killed the Malacothrix. The distances to the three closest Malacothrix neighbours were measured and to the nearest L. tridentata. The number of Malacothrix flowers per plant were counted, and each Larrea was rated on a Likert scale (1 to 5) to quantify how in bloom it is. The x, y and z were quantified – this with the Likert scale forms a proxy for the number of flowers. The stigmas were stored individually in micro centrifuge tubes filled with denatured alcohol.</w:t>
      </w:r>
    </w:p>
    <w:p w:rsidR="00D25D79" w:rsidRDefault="00D25D79" w:rsidP="00D25D79">
      <w:r>
        <w:t xml:space="preserve">The tubes were spun down in a centrifuge at 4200 rpm for 4.5 minutes and the pellet pipetted onto the slide. This along with the stigma were mounted in </w:t>
      </w:r>
      <w:proofErr w:type="spellStart"/>
      <w:r>
        <w:t>fuchsin</w:t>
      </w:r>
      <w:proofErr w:type="spellEnd"/>
      <w:r>
        <w:t xml:space="preserve"> jelly (Kearns book). </w:t>
      </w:r>
    </w:p>
    <w:p w:rsidR="00D25D79" w:rsidRDefault="00D25D79" w:rsidP="00D25D79">
      <w:r>
        <w:t xml:space="preserve">At 100 x magnification, 10 longitudinal transects (18 mm by x mm) of pollen were counted per slide. Heterospecific pollen grains were imaged using a Canon 60D SLR with 60mm macro lens into microscope </w:t>
      </w:r>
      <w:proofErr w:type="spellStart"/>
      <w:r>
        <w:t>afocally</w:t>
      </w:r>
      <w:proofErr w:type="spellEnd"/>
      <w:r>
        <w:t xml:space="preserve">. All stigma </w:t>
      </w:r>
      <w:proofErr w:type="gramStart"/>
      <w:r>
        <w:t>were</w:t>
      </w:r>
      <w:proofErr w:type="gramEnd"/>
      <w:r>
        <w:t xml:space="preserve"> also imaged. </w:t>
      </w:r>
    </w:p>
    <w:p w:rsidR="00D25D79" w:rsidRDefault="00D25D79">
      <w:r>
        <w:lastRenderedPageBreak/>
        <w:t xml:space="preserve">Heterospecific pollen were identified using a reference collection created of 38 species from surrounding sites in 2017 and 2018. This reference collection was photographed using </w:t>
      </w:r>
      <w:proofErr w:type="spellStart"/>
      <w:r>
        <w:t>Lumenera</w:t>
      </w:r>
      <w:proofErr w:type="spellEnd"/>
      <w:r>
        <w:t xml:space="preserve"> microscope camera at 100 x and 400x and the size of grains were measured using Infinity Analyze to aid identification. The digitized reference collection was uploaded to global pollen project (DOI) and the slides are in </w:t>
      </w:r>
      <w:proofErr w:type="spellStart"/>
      <w:r>
        <w:t>Lortie</w:t>
      </w:r>
      <w:proofErr w:type="spellEnd"/>
      <w:r>
        <w:t xml:space="preserve"> Lab at York University.</w:t>
      </w:r>
    </w:p>
    <w:p w:rsidR="0019001B" w:rsidRDefault="003E48AD">
      <w:r>
        <w:t>Arthropod community sampling</w:t>
      </w:r>
    </w:p>
    <w:p w:rsidR="0019001B" w:rsidRDefault="00CD7187">
      <w:r>
        <w:t>We used p</w:t>
      </w:r>
      <w:r w:rsidR="003E48AD">
        <w:t>an traps t</w:t>
      </w:r>
      <w:r w:rsidR="00117EC0">
        <w:t xml:space="preserve">o </w:t>
      </w:r>
      <w:r>
        <w:t>sample the</w:t>
      </w:r>
      <w:r w:rsidR="00AC2E2E">
        <w:t xml:space="preserve"> </w:t>
      </w:r>
      <w:r>
        <w:t>arthropod</w:t>
      </w:r>
      <w:r w:rsidR="00AC2E2E">
        <w:t xml:space="preserve"> communities</w:t>
      </w:r>
      <w:r w:rsidR="00AE3D2D">
        <w:t xml:space="preserve"> </w:t>
      </w:r>
      <w:r w:rsidR="00EC4D44">
        <w:t>associated with the microsites</w:t>
      </w:r>
      <w:r w:rsidR="00AE3D2D">
        <w:t>,</w:t>
      </w:r>
      <w:r w:rsidR="00EC4D44">
        <w:t xml:space="preserve"> </w:t>
      </w:r>
      <w:r w:rsidR="00AE3D2D">
        <w:t>as well as ai</w:t>
      </w:r>
      <w:r w:rsidR="003E48AD">
        <w:t xml:space="preserve">d </w:t>
      </w:r>
      <w:r>
        <w:t>insect</w:t>
      </w:r>
      <w:r w:rsidR="00614FD3">
        <w:t xml:space="preserve"> </w:t>
      </w:r>
      <w:r w:rsidR="003E48AD">
        <w:t>identification in videos</w:t>
      </w:r>
      <w:r w:rsidR="00510574">
        <w:t xml:space="preserve">. </w:t>
      </w:r>
      <w:r>
        <w:t xml:space="preserve">The pan traps consisted of yellow, white and </w:t>
      </w:r>
      <w:r w:rsidR="000A0F2F">
        <w:t>blue</w:t>
      </w:r>
      <w:r>
        <w:t xml:space="preserve"> </w:t>
      </w:r>
      <w:proofErr w:type="gramStart"/>
      <w:r>
        <w:t>six inch</w:t>
      </w:r>
      <w:proofErr w:type="gramEnd"/>
      <w:r>
        <w:t xml:space="preserve"> </w:t>
      </w:r>
      <w:r w:rsidR="000A0F2F">
        <w:t xml:space="preserve">diameter </w:t>
      </w:r>
      <w:r>
        <w:t>plastic bowls (Solo brand)</w:t>
      </w:r>
      <w:r w:rsidR="000A0F2F">
        <w:t xml:space="preserve">. These were filled with water with a few drops of Dawn </w:t>
      </w:r>
      <w:r w:rsidR="000A0F2F" w:rsidRPr="00AE3D2D">
        <w:t>original dish detergent</w:t>
      </w:r>
      <w:r w:rsidR="000A0F2F">
        <w:t xml:space="preserve"> added. Three traps, one of each </w:t>
      </w:r>
      <w:proofErr w:type="spellStart"/>
      <w:r w:rsidR="000A0F2F">
        <w:t>colour</w:t>
      </w:r>
      <w:proofErr w:type="spellEnd"/>
      <w:r w:rsidR="000A0F2F">
        <w:t xml:space="preserve"> </w:t>
      </w:r>
      <w:r w:rsidR="000A0F2F">
        <w:t>were placed in a triangular shape</w:t>
      </w:r>
      <w:r w:rsidR="000A0F2F">
        <w:t xml:space="preserve"> per microsite, slightly embedded in the ground to prevent blowing away. They were deployed by 10 am and picked up after 5:30 pm on sunny days to capture peak pollinator activity. </w:t>
      </w:r>
      <w:r w:rsidR="00EC4D44">
        <w:t xml:space="preserve">Shrubs were videoed and pan trapped on </w:t>
      </w:r>
      <w:r w:rsidR="00AE3D2D">
        <w:t>different days</w:t>
      </w:r>
      <w:r w:rsidR="00117EC0">
        <w:t xml:space="preserve"> as to not influence pollinator visitation</w:t>
      </w:r>
      <w:r w:rsidR="00EC4D44">
        <w:t xml:space="preserve"> to </w:t>
      </w:r>
      <w:r w:rsidR="00EC4D44">
        <w:rPr>
          <w:i/>
        </w:rPr>
        <w:t>Malacothrix</w:t>
      </w:r>
      <w:r w:rsidR="00AE3D2D">
        <w:t xml:space="preserve">. </w:t>
      </w:r>
      <w:r w:rsidR="00A70C6C">
        <w:t xml:space="preserve">There were placed under 6 shrub/open pairs per day, 9 days </w:t>
      </w:r>
      <w:r w:rsidR="00A70C6C">
        <w:t xml:space="preserve">pre-blooming and 10 </w:t>
      </w:r>
      <w:r w:rsidR="00A70C6C">
        <w:t>blooming.</w:t>
      </w:r>
      <w:r w:rsidR="000C14B2">
        <w:t xml:space="preserve"> </w:t>
      </w:r>
      <w:r w:rsidR="00A709B4">
        <w:t xml:space="preserve">Percent vegetation cover was recorded in a 0.25 </w:t>
      </w:r>
      <w:r w:rsidR="00A709B4" w:rsidRPr="00A709B4">
        <w:t>m</w:t>
      </w:r>
      <w:r w:rsidR="00A709B4" w:rsidRPr="00A709B4">
        <w:rPr>
          <w:vertAlign w:val="superscript"/>
        </w:rPr>
        <w:t>2</w:t>
      </w:r>
      <w:r w:rsidR="00A709B4">
        <w:t xml:space="preserve"> quadrat. </w:t>
      </w:r>
      <w:r w:rsidR="00AE3D2D" w:rsidRPr="00A709B4">
        <w:t>The</w:t>
      </w:r>
      <w:r w:rsidR="00AE3D2D" w:rsidRPr="00AE3D2D">
        <w:t xml:space="preserve"> </w:t>
      </w:r>
      <w:r w:rsidR="000C14B2">
        <w:t>arthropods</w:t>
      </w:r>
      <w:r w:rsidR="00AE3D2D" w:rsidRPr="00AE3D2D">
        <w:t xml:space="preserve"> </w:t>
      </w:r>
      <w:r w:rsidR="00EC4D44">
        <w:t>were stored</w:t>
      </w:r>
      <w:r w:rsidR="00117EC0">
        <w:t xml:space="preserve"> in 91</w:t>
      </w:r>
      <w:r w:rsidR="00AE3D2D" w:rsidRPr="00AE3D2D">
        <w:t xml:space="preserve">% </w:t>
      </w:r>
      <w:r w:rsidR="002738CC">
        <w:t>isopropyl alcohol</w:t>
      </w:r>
      <w:r w:rsidR="00AE3D2D" w:rsidRPr="00AE3D2D">
        <w:t xml:space="preserve">. </w:t>
      </w:r>
      <w:r w:rsidR="00510574">
        <w:t>Mites and springtails were excluded</w:t>
      </w:r>
      <w:r w:rsidR="000C14B2">
        <w:t xml:space="preserve"> from analyses</w:t>
      </w:r>
      <w:r w:rsidR="00510574">
        <w:t xml:space="preserve">. </w:t>
      </w:r>
      <w:r w:rsidR="000C14B2">
        <w:t>Bees and syrphid flies were identifi</w:t>
      </w:r>
      <w:r w:rsidR="0068265E">
        <w:t>ed to genus</w:t>
      </w:r>
      <w:r w:rsidR="000C14B2">
        <w:t xml:space="preserve"> or species</w:t>
      </w:r>
      <w:r w:rsidR="0068265E">
        <w:t>, rest to</w:t>
      </w:r>
      <w:r w:rsidR="000C14B2">
        <w:t xml:space="preserve"> minimum of</w:t>
      </w:r>
      <w:r w:rsidR="0068265E">
        <w:t xml:space="preserve"> family except </w:t>
      </w:r>
      <w:proofErr w:type="spellStart"/>
      <w:r w:rsidR="0068265E">
        <w:t>thrips</w:t>
      </w:r>
      <w:proofErr w:type="spellEnd"/>
      <w:r w:rsidR="000C14B2">
        <w:t>, orthopterans and arachnids</w:t>
      </w:r>
      <w:r w:rsidR="0068265E">
        <w:t>.</w:t>
      </w:r>
      <w:r w:rsidR="00510574">
        <w:t xml:space="preserve"> </w:t>
      </w:r>
      <w:proofErr w:type="spellStart"/>
      <w:r w:rsidR="00510574">
        <w:t>Chalcids</w:t>
      </w:r>
      <w:proofErr w:type="spellEnd"/>
      <w:r w:rsidR="00FF3B10">
        <w:t>, and other parasitoids (&lt;2mm)</w:t>
      </w:r>
      <w:r w:rsidR="002708B2">
        <w:t xml:space="preserve"> </w:t>
      </w:r>
      <w:r w:rsidR="00510574">
        <w:t>were left at family</w:t>
      </w:r>
      <w:r w:rsidR="002708B2">
        <w:t xml:space="preserve"> or subfamily</w:t>
      </w:r>
      <w:r w:rsidR="00510574">
        <w:t xml:space="preserve"> due to their small size.</w:t>
      </w:r>
      <w:r w:rsidR="00B90697">
        <w:t xml:space="preserve"> </w:t>
      </w:r>
      <w:r w:rsidR="00CC26BA">
        <w:t>RTU (recognizable taxonomic unit) is a suitable proxy for diversity analyses.</w:t>
      </w:r>
      <w:r w:rsidR="000B3F99">
        <w:t xml:space="preserve"> A full list of RTU are used is in appendix. The groups are exclusive, for example, wasps in the genus </w:t>
      </w:r>
      <w:proofErr w:type="spellStart"/>
      <w:r w:rsidR="000B3F99">
        <w:t>Miscophus</w:t>
      </w:r>
      <w:proofErr w:type="spellEnd"/>
      <w:r w:rsidR="000B3F99">
        <w:t xml:space="preserve"> are in the family </w:t>
      </w:r>
      <w:proofErr w:type="spellStart"/>
      <w:r w:rsidR="000B3F99">
        <w:t>Crabronidae</w:t>
      </w:r>
      <w:proofErr w:type="spellEnd"/>
      <w:r w:rsidR="000B3F99">
        <w:t xml:space="preserve">, but are only counted in the </w:t>
      </w:r>
      <w:proofErr w:type="spellStart"/>
      <w:r w:rsidR="000B3F99">
        <w:t>rtu</w:t>
      </w:r>
      <w:proofErr w:type="spellEnd"/>
      <w:r w:rsidR="000B3F99">
        <w:t xml:space="preserve"> </w:t>
      </w:r>
      <w:proofErr w:type="spellStart"/>
      <w:r w:rsidR="000B3F99">
        <w:t>Miscophus</w:t>
      </w:r>
      <w:proofErr w:type="spellEnd"/>
      <w:r w:rsidR="000B3F99">
        <w:t xml:space="preserve">, not </w:t>
      </w:r>
      <w:proofErr w:type="spellStart"/>
      <w:r w:rsidR="000B3F99">
        <w:t>Crabronidae</w:t>
      </w:r>
      <w:proofErr w:type="spellEnd"/>
      <w:r w:rsidR="000B3F99">
        <w:t>.</w:t>
      </w:r>
      <w:r w:rsidR="00AD673C">
        <w:t xml:space="preserve"> Using RTU limits resolution, however </w:t>
      </w:r>
      <w:r w:rsidR="000C14B2">
        <w:t xml:space="preserve">many </w:t>
      </w:r>
      <w:r w:rsidR="00AD673C">
        <w:t>species have not been described and useful keys are often lacking.</w:t>
      </w:r>
      <w:r w:rsidR="00FC0E1C">
        <w:t xml:space="preserve"> Nymphs were included in analyses provided they could be identified to order.</w:t>
      </w:r>
      <w:r w:rsidR="00B90697">
        <w:t xml:space="preserve"> The </w:t>
      </w:r>
      <w:r w:rsidR="0068265E">
        <w:t xml:space="preserve">specimens are located within our collection in </w:t>
      </w:r>
      <w:proofErr w:type="spellStart"/>
      <w:r w:rsidR="0068265E">
        <w:t>Lortie</w:t>
      </w:r>
      <w:proofErr w:type="spellEnd"/>
      <w:r w:rsidR="0068265E">
        <w:t xml:space="preserve"> Lab at York University. Each pinned specimen has unique ID. </w:t>
      </w:r>
      <w:r w:rsidR="004E76B2">
        <w:t>Data available: Braun, 2018.</w:t>
      </w:r>
    </w:p>
    <w:p w:rsidR="00576D0F" w:rsidRDefault="0045549B">
      <w:r>
        <w:t>Arthropod use of Larrea</w:t>
      </w:r>
    </w:p>
    <w:p w:rsidR="00032F51" w:rsidRDefault="00CB4121">
      <w:r>
        <w:t xml:space="preserve">L. tridentata was observed in 15-minute time periods. Four individuals were observed per day, 10 days pre-blooming and 10 days blooming. </w:t>
      </w:r>
      <w:r w:rsidR="00576D0F">
        <w:t>The number</w:t>
      </w:r>
      <w:r w:rsidR="009156E1">
        <w:t xml:space="preserve"> of visits</w:t>
      </w:r>
      <w:r w:rsidR="00576D0F">
        <w:t xml:space="preserve"> and identity of </w:t>
      </w:r>
      <w:r w:rsidR="009156E1">
        <w:t xml:space="preserve">the visitors </w:t>
      </w:r>
      <w:r>
        <w:t>were recorded and v</w:t>
      </w:r>
      <w:r w:rsidR="00576D0F">
        <w:t xml:space="preserve">isitors were collected </w:t>
      </w:r>
      <w:r w:rsidR="009156E1">
        <w:t xml:space="preserve">when possible </w:t>
      </w:r>
      <w:r w:rsidR="00576D0F">
        <w:t xml:space="preserve">to aid identification. </w:t>
      </w:r>
      <w:r w:rsidR="00032F51">
        <w:t xml:space="preserve">The part of the plant that was </w:t>
      </w:r>
      <w:r w:rsidR="009156E1">
        <w:t>visited</w:t>
      </w:r>
      <w:r w:rsidR="00032F51">
        <w:t xml:space="preserve"> was reco</w:t>
      </w:r>
      <w:r w:rsidR="00B21612">
        <w:t>rded (branch, flower, understor</w:t>
      </w:r>
      <w:r w:rsidR="00032F51">
        <w:t>y – which includes the ground itself and plants growing under the shrub), and the general behaviour of the visitor – landin</w:t>
      </w:r>
      <w:r w:rsidR="009156E1">
        <w:t>g, touchdown (land then fly</w:t>
      </w:r>
      <w:r w:rsidR="00032F51">
        <w:t xml:space="preserve"> away), hover</w:t>
      </w:r>
      <w:r w:rsidR="009156E1">
        <w:t>ing</w:t>
      </w:r>
      <w:r w:rsidR="00032F51">
        <w:t xml:space="preserve">/inspecting, crawling (understory only). </w:t>
      </w:r>
    </w:p>
    <w:p w:rsidR="002B36A1" w:rsidRDefault="00DA3280">
      <w:r>
        <w:t xml:space="preserve">To </w:t>
      </w:r>
      <w:r w:rsidR="001432EE">
        <w:t>measure</w:t>
      </w:r>
      <w:r w:rsidR="002B36A1">
        <w:t xml:space="preserve"> </w:t>
      </w:r>
      <w:r>
        <w:t xml:space="preserve">the microclimates of the </w:t>
      </w:r>
      <w:r w:rsidR="002B36A1">
        <w:t>microsite</w:t>
      </w:r>
      <w:r w:rsidR="00AF5EFC">
        <w:t>s</w:t>
      </w:r>
      <w:r w:rsidR="002B36A1">
        <w:t xml:space="preserve">, </w:t>
      </w:r>
      <w:r w:rsidR="00314C86">
        <w:t>16</w:t>
      </w:r>
      <w:r w:rsidR="002B36A1">
        <w:t xml:space="preserve"> HOBO pendant data loggers were used to record temperature and light availability. </w:t>
      </w:r>
      <w:r w:rsidR="00AF5EFC">
        <w:t xml:space="preserve">Eight loggers were placed under </w:t>
      </w:r>
      <w:r w:rsidR="00AF5EFC" w:rsidRPr="00AF5EFC">
        <w:rPr>
          <w:i/>
        </w:rPr>
        <w:t>L. tridentata</w:t>
      </w:r>
      <w:r w:rsidR="00AF5EFC">
        <w:t xml:space="preserve"> and eight in open areas for </w:t>
      </w:r>
      <w:r w:rsidR="004E76B2">
        <w:t>between March x and May 14th</w:t>
      </w:r>
      <w:r w:rsidR="00AF5EFC">
        <w:t xml:space="preserve">. </w:t>
      </w:r>
      <w:r w:rsidR="00D25D79">
        <w:t xml:space="preserve">They take readings every ½ hour. I calculated the average daily maximum and minimum temps and light availability. </w:t>
      </w:r>
    </w:p>
    <w:p w:rsidR="002535CD" w:rsidRDefault="002535CD">
      <w:r>
        <w:t>Weather data</w:t>
      </w:r>
    </w:p>
    <w:p w:rsidR="002535CD" w:rsidRDefault="002535CD">
      <w:r>
        <w:lastRenderedPageBreak/>
        <w:t xml:space="preserve">A </w:t>
      </w:r>
      <w:r w:rsidR="00195F74">
        <w:t xml:space="preserve">Campbell </w:t>
      </w:r>
      <w:r>
        <w:t>weather station (</w:t>
      </w:r>
      <w:hyperlink r:id="rId5" w:tgtFrame="_blank" w:history="1">
        <w:r w:rsidR="00195F74">
          <w:rPr>
            <w:rStyle w:val="Hyperlink"/>
          </w:rPr>
          <w:t>www.wrcc.dri.edu/ucnrs</w:t>
        </w:r>
      </w:hyperlink>
      <w:r>
        <w:t xml:space="preserve">) </w:t>
      </w:r>
      <w:r w:rsidR="00B56180">
        <w:t xml:space="preserve">in the adjacent Granite Cove </w:t>
      </w:r>
      <w:r>
        <w:t>provided</w:t>
      </w:r>
      <w:r w:rsidR="00B56180">
        <w:t xml:space="preserve"> hourly</w:t>
      </w:r>
      <w:r>
        <w:t xml:space="preserve"> environment</w:t>
      </w:r>
      <w:r w:rsidR="00314C86">
        <w:t xml:space="preserve">al data. Data </w:t>
      </w:r>
      <w:r w:rsidR="00FA7075">
        <w:t xml:space="preserve">logged </w:t>
      </w:r>
      <w:r w:rsidR="00314C86">
        <w:t xml:space="preserve">between 10 </w:t>
      </w:r>
      <w:r w:rsidR="00FA7075">
        <w:t xml:space="preserve">am </w:t>
      </w:r>
      <w:r w:rsidR="00314C86">
        <w:t>and 5:0</w:t>
      </w:r>
      <w:r>
        <w:t xml:space="preserve">0 </w:t>
      </w:r>
      <w:r w:rsidR="00FA7075">
        <w:t>pm were</w:t>
      </w:r>
      <w:r>
        <w:t xml:space="preserve"> used to correspond with study timings. The mean of hourly wind speed</w:t>
      </w:r>
      <w:r w:rsidR="00013ED2">
        <w:t xml:space="preserve"> (m/s), mean temperature (</w:t>
      </w:r>
      <w:r w:rsidR="00811EBB">
        <w:t>º</w:t>
      </w:r>
      <w:r w:rsidR="00013ED2">
        <w:t>C) and mean</w:t>
      </w:r>
      <w:r>
        <w:t xml:space="preserve"> solar radiation </w:t>
      </w:r>
      <w:r w:rsidR="00013ED2">
        <w:t>were calculated for that time period daily</w:t>
      </w:r>
      <w:r>
        <w:t>.</w:t>
      </w:r>
    </w:p>
    <w:p w:rsidR="0019001B" w:rsidRDefault="0019001B" w:rsidP="00AC2E2E">
      <w:pPr>
        <w:tabs>
          <w:tab w:val="left" w:pos="1335"/>
        </w:tabs>
      </w:pPr>
      <w:r>
        <w:t>Analysis</w:t>
      </w:r>
      <w:r w:rsidR="00AC2E2E">
        <w:tab/>
      </w:r>
    </w:p>
    <w:p w:rsidR="00AC2E2E" w:rsidRDefault="00AC2E2E" w:rsidP="00AC2E2E">
      <w:pPr>
        <w:tabs>
          <w:tab w:val="left" w:pos="1335"/>
        </w:tabs>
      </w:pPr>
      <w:r>
        <w:t>Video test</w:t>
      </w:r>
    </w:p>
    <w:p w:rsidR="00767ADD" w:rsidRDefault="00573E0F" w:rsidP="00AC2E2E">
      <w:pPr>
        <w:tabs>
          <w:tab w:val="left" w:pos="1335"/>
        </w:tabs>
      </w:pPr>
      <w:r>
        <w:t>We fitted</w:t>
      </w:r>
      <w:r w:rsidR="00A440C6">
        <w:t xml:space="preserve"> a GLMM</w:t>
      </w:r>
      <w:r w:rsidR="00767ADD">
        <w:t xml:space="preserve"> (lme4)</w:t>
      </w:r>
      <w:r w:rsidR="00A440C6">
        <w:t xml:space="preserve"> </w:t>
      </w:r>
      <w:r w:rsidR="006E7326">
        <w:t xml:space="preserve">using a negative binomial error distribution to account for </w:t>
      </w:r>
      <w:proofErr w:type="spellStart"/>
      <w:r w:rsidR="006E7326">
        <w:t>overd</w:t>
      </w:r>
      <w:r w:rsidR="00767ADD">
        <w:t>ispersion</w:t>
      </w:r>
      <w:proofErr w:type="spellEnd"/>
      <w:r w:rsidR="00767ADD">
        <w:t>. To maintain the count structure of the data I in</w:t>
      </w:r>
      <w:r w:rsidR="0017664E">
        <w:t xml:space="preserve">cluded the number of </w:t>
      </w:r>
      <w:r w:rsidR="0017664E" w:rsidRPr="0017664E">
        <w:rPr>
          <w:i/>
        </w:rPr>
        <w:t>M. glabrata</w:t>
      </w:r>
      <w:r w:rsidR="00767ADD">
        <w:t xml:space="preserve"> blooms as a predictor variable, and the length of the video as an offset. </w:t>
      </w:r>
      <w:r w:rsidR="006E7326">
        <w:t xml:space="preserve"> </w:t>
      </w:r>
      <w:r w:rsidR="00767ADD">
        <w:t>It is not uncommon to convert to visits/hour/flower, however this makes the assumption that pollinators respond linearly to the number of flowers and that the slope of the relationship does not change w</w:t>
      </w:r>
      <w:r w:rsidR="008B5642">
        <w:t>ith any treatment. T</w:t>
      </w:r>
      <w:r w:rsidR="00767ADD">
        <w:t xml:space="preserve">his method allows for more information to be maintained by not standardizing (cite). </w:t>
      </w:r>
      <w:r w:rsidR="0017664E">
        <w:t>Due to</w:t>
      </w:r>
      <w:r w:rsidR="00767ADD">
        <w:t xml:space="preserve"> </w:t>
      </w:r>
      <w:r w:rsidR="004D17FD">
        <w:t xml:space="preserve">the repeated measures study design – </w:t>
      </w:r>
      <w:r w:rsidR="00767ADD">
        <w:t>we included the rep id as a random effect. The rep ID is the ID of the focal plant + microsite (i.e. 270 open). I also calculated, and built models for pl</w:t>
      </w:r>
      <w:r w:rsidR="008B5642">
        <w:t xml:space="preserve">ants visited and flowers </w:t>
      </w:r>
      <w:proofErr w:type="spellStart"/>
      <w:r w:rsidR="008B5642">
        <w:t>visite</w:t>
      </w:r>
      <w:proofErr w:type="spellEnd"/>
      <w:r w:rsidR="008B5642">
        <w:t>. I fitted gamma GLMM for visit duration and</w:t>
      </w:r>
      <w:r w:rsidR="00767ADD">
        <w:t xml:space="preserve"> proportion of flowers visited per visit. I calculated this at the rep level. RTU (recognizable taxonomic unit): these were honeybees, solitary </w:t>
      </w:r>
      <w:r w:rsidR="008B5642">
        <w:t xml:space="preserve">bees, </w:t>
      </w:r>
      <w:proofErr w:type="spellStart"/>
      <w:r w:rsidR="008B5642">
        <w:t>lepiodeptera</w:t>
      </w:r>
      <w:proofErr w:type="spellEnd"/>
      <w:r w:rsidR="008B5642">
        <w:t>, syrphid</w:t>
      </w:r>
      <w:r w:rsidR="00767ADD">
        <w:t xml:space="preserve">, </w:t>
      </w:r>
      <w:proofErr w:type="spellStart"/>
      <w:r w:rsidR="00767ADD">
        <w:t>bom</w:t>
      </w:r>
      <w:r w:rsidR="008B5642">
        <w:t>b</w:t>
      </w:r>
      <w:r w:rsidR="00767ADD">
        <w:t>yli</w:t>
      </w:r>
      <w:r w:rsidR="008B5642">
        <w:t>id</w:t>
      </w:r>
      <w:proofErr w:type="spellEnd"/>
      <w:r w:rsidR="00767ADD">
        <w:t xml:space="preserve"> and other. These were integrated into models and u</w:t>
      </w:r>
      <w:r w:rsidR="008B5642">
        <w:t>sing post-hoc tests I determined</w:t>
      </w:r>
      <w:r w:rsidR="00767ADD">
        <w:t xml:space="preserve"> if there were RTU specific responses. </w:t>
      </w:r>
      <w:r w:rsidR="008B5642">
        <w:t xml:space="preserve">Models were compared to null models of random intercept models using likelihood. </w:t>
      </w:r>
    </w:p>
    <w:p w:rsidR="004D17FD" w:rsidRDefault="00CC717B" w:rsidP="00AC2E2E">
      <w:pPr>
        <w:tabs>
          <w:tab w:val="left" w:pos="1335"/>
        </w:tabs>
      </w:pPr>
      <w:r>
        <w:t>Insect communities</w:t>
      </w:r>
    </w:p>
    <w:p w:rsidR="008B5642" w:rsidRDefault="004D17FD" w:rsidP="00AC2E2E">
      <w:pPr>
        <w:tabs>
          <w:tab w:val="left" w:pos="1335"/>
        </w:tabs>
      </w:pPr>
      <w:r>
        <w:t xml:space="preserve">GLMM, again shrub identifier as a random effect. </w:t>
      </w:r>
      <w:r w:rsidR="008B5642">
        <w:t xml:space="preserve">Species richness was modelled using a linear mixed model. </w:t>
      </w:r>
    </w:p>
    <w:p w:rsidR="004D17FD" w:rsidRDefault="004D17FD" w:rsidP="00AC2E2E">
      <w:pPr>
        <w:tabs>
          <w:tab w:val="left" w:pos="1335"/>
        </w:tabs>
      </w:pPr>
      <w:r>
        <w:t xml:space="preserve">Beetles from </w:t>
      </w:r>
      <w:r w:rsidR="008B5642">
        <w:t xml:space="preserve">the family </w:t>
      </w:r>
      <w:proofErr w:type="spellStart"/>
      <w:r w:rsidR="008B5642">
        <w:t>Melyridae</w:t>
      </w:r>
      <w:proofErr w:type="spellEnd"/>
      <w:r w:rsidR="008B5642">
        <w:t xml:space="preserve"> made up ~1000</w:t>
      </w:r>
      <w:r>
        <w:t xml:space="preserve"> of the total arthr</w:t>
      </w:r>
      <w:r w:rsidR="00844B3D">
        <w:t>opods captured, so we ran analys</w:t>
      </w:r>
      <w:r>
        <w:t xml:space="preserve">es with </w:t>
      </w:r>
      <w:r w:rsidR="008B5642">
        <w:t>them excluded, included and</w:t>
      </w:r>
      <w:r>
        <w:t xml:space="preserve"> on their own because their high numbers really swamped out the responses from other insects. </w:t>
      </w:r>
    </w:p>
    <w:p w:rsidR="00F22098" w:rsidRDefault="00F22098">
      <w:r>
        <w:t xml:space="preserve">Diversity indices were calculated using the r package vegan. To see if communities were different under shrubs, used </w:t>
      </w:r>
      <w:proofErr w:type="spellStart"/>
      <w:r>
        <w:t>rda</w:t>
      </w:r>
      <w:proofErr w:type="spellEnd"/>
      <w:r>
        <w:t xml:space="preserve"> ordination methods.</w:t>
      </w:r>
      <w:r w:rsidR="00793AA4">
        <w:t xml:space="preserve"> Alpha diversity: Beta diversity, arthropod community turnover was also calculated for shrub open and pre-post.</w:t>
      </w:r>
      <w:r w:rsidR="008B5642">
        <w:t xml:space="preserve"> </w:t>
      </w:r>
      <w:r w:rsidR="008B5642">
        <w:t xml:space="preserve">Hemipteran nymph </w:t>
      </w:r>
      <w:proofErr w:type="gramStart"/>
      <w:r w:rsidR="008B5642">
        <w:t>were</w:t>
      </w:r>
      <w:proofErr w:type="gramEnd"/>
      <w:r w:rsidR="008B5642">
        <w:t xml:space="preserve"> lumped together. Other nymphs were added to family as long as they could be </w:t>
      </w:r>
      <w:proofErr w:type="spellStart"/>
      <w:r w:rsidR="008B5642">
        <w:t>IDed</w:t>
      </w:r>
      <w:proofErr w:type="spellEnd"/>
      <w:r w:rsidR="008B5642">
        <w:t xml:space="preserve"> (example, </w:t>
      </w:r>
      <w:proofErr w:type="spellStart"/>
      <w:r w:rsidR="008B5642">
        <w:t>coccinelidae</w:t>
      </w:r>
      <w:proofErr w:type="spellEnd"/>
      <w:r w:rsidR="008B5642">
        <w:t>, ladybug larvae).</w:t>
      </w:r>
    </w:p>
    <w:p w:rsidR="00443C1E" w:rsidRDefault="00443C1E">
      <w:r>
        <w:t>Pollen</w:t>
      </w:r>
    </w:p>
    <w:p w:rsidR="00F861C6" w:rsidRDefault="00F861C6">
      <w:r>
        <w:t>RII</w:t>
      </w:r>
    </w:p>
    <w:p w:rsidR="00F861C6" w:rsidRDefault="00F861C6">
      <w:pPr>
        <w:rPr>
          <w:i/>
        </w:rPr>
      </w:pPr>
      <w:r w:rsidRPr="00F861C6">
        <w:rPr>
          <w:i/>
        </w:rPr>
        <w:t>To enable contrasts between plant responses to cushions and arthropods and to assess the biological importance of statistically significant differences, the relative intensity of interactions (</w:t>
      </w:r>
      <w:proofErr w:type="spellStart"/>
      <w:r w:rsidRPr="00F861C6">
        <w:rPr>
          <w:i/>
        </w:rPr>
        <w:t>Rii</w:t>
      </w:r>
      <w:proofErr w:type="spellEnd"/>
      <w:r w:rsidRPr="00F861C6">
        <w:rPr>
          <w:i/>
        </w:rPr>
        <w:t xml:space="preserve">) effect size metric was also calculated with cushion designated as the treatment and open as the control and compared via t-tests </w:t>
      </w:r>
      <w:hyperlink r:id="rId6" w:anchor="pone.0037223-Armas1" w:history="1">
        <w:r w:rsidRPr="00F861C6">
          <w:rPr>
            <w:rStyle w:val="Hyperlink"/>
            <w:i/>
          </w:rPr>
          <w:t>[42]</w:t>
        </w:r>
      </w:hyperlink>
      <w:r w:rsidRPr="00F861C6">
        <w:rPr>
          <w:i/>
        </w:rPr>
        <w:t xml:space="preserve">. This metric is symmetric around 0, ranges from −1 to +1, and negative values denote relative competition whilst positives denote facilitation. The </w:t>
      </w:r>
      <w:r w:rsidRPr="00F861C6">
        <w:rPr>
          <w:i/>
        </w:rPr>
        <w:lastRenderedPageBreak/>
        <w:t>GLMMs were conducted using the lme4 package in R.2.10.1, and all other statistical analyses were conducted using R. 2.10.0.</w:t>
      </w:r>
    </w:p>
    <w:p w:rsidR="008B5642" w:rsidRDefault="008B5642">
      <w:r>
        <w:t>Veg</w:t>
      </w:r>
    </w:p>
    <w:p w:rsidR="008B5642" w:rsidRPr="008B5642" w:rsidRDefault="008B5642">
      <w:r>
        <w:t xml:space="preserve">Linear models for percent cover and </w:t>
      </w:r>
      <w:proofErr w:type="spellStart"/>
      <w:r>
        <w:t>neg</w:t>
      </w:r>
      <w:proofErr w:type="spellEnd"/>
      <w:r>
        <w:t xml:space="preserve"> binomial GLMM annual richness and annual bloom density (</w:t>
      </w:r>
      <w:proofErr w:type="spellStart"/>
      <w:proofErr w:type="gramStart"/>
      <w:r>
        <w:t>glmer.nb</w:t>
      </w:r>
      <w:proofErr w:type="spellEnd"/>
      <w:proofErr w:type="gramEnd"/>
      <w:r>
        <w:t>, lme4)</w:t>
      </w:r>
    </w:p>
    <w:p w:rsidR="007638E6" w:rsidRPr="00AE7363" w:rsidRDefault="007638E6">
      <w:pPr>
        <w:rPr>
          <w:b/>
        </w:rPr>
      </w:pPr>
      <w:r w:rsidRPr="00AE7363">
        <w:rPr>
          <w:b/>
        </w:rPr>
        <w:t>Results</w:t>
      </w:r>
    </w:p>
    <w:p w:rsidR="0001769C" w:rsidRDefault="0001769C" w:rsidP="0001769C">
      <w:r>
        <w:rPr>
          <w:u w:val="single"/>
        </w:rPr>
        <w:t>Camera test</w:t>
      </w:r>
    </w:p>
    <w:p w:rsidR="0001769C" w:rsidRDefault="0001769C" w:rsidP="0001769C">
      <w:r>
        <w:t xml:space="preserve"> A total of 697 flying floral visitors were recorded from 303 hours of video observation</w:t>
      </w:r>
      <w:r w:rsidR="006A47D7">
        <w:t xml:space="preserve"> for a total of x flower visits</w:t>
      </w:r>
      <w:r>
        <w:t xml:space="preserve">. 60 </w:t>
      </w:r>
      <w:r w:rsidR="006A47D7">
        <w:t xml:space="preserve">of 233? </w:t>
      </w:r>
      <w:r>
        <w:t xml:space="preserve">observation periods had no flying visitors. </w:t>
      </w:r>
    </w:p>
    <w:p w:rsidR="009E7343" w:rsidRDefault="009E7343" w:rsidP="0001769C">
      <w:r>
        <w:t>There was a negative effect of the shrub microsite (Figure 3a) and of blooming on both foraging bouts and total flowers visited, and a positive effect of the conspecific floral density. There was no effect of annual floral density. There was no influence of microsite of visit duration</w:t>
      </w:r>
      <w:r w:rsidR="00971283">
        <w:t xml:space="preserve"> or the proportion of flowers visited per visit</w:t>
      </w:r>
      <w:r>
        <w:t xml:space="preserve">, but a positive influence of blooming on </w:t>
      </w:r>
      <w:r w:rsidR="00971283">
        <w:t xml:space="preserve">both </w:t>
      </w:r>
      <w:r>
        <w:t>visit duration</w:t>
      </w:r>
      <w:r w:rsidR="00971283">
        <w:t xml:space="preserve"> and the proportion of flowers visited</w:t>
      </w:r>
      <w:r>
        <w:t xml:space="preserve">. </w:t>
      </w:r>
    </w:p>
    <w:p w:rsidR="0001769C" w:rsidRDefault="006A47D7" w:rsidP="0001769C">
      <w:r>
        <w:t>Hoverflies (</w:t>
      </w:r>
      <w:proofErr w:type="spellStart"/>
      <w:r>
        <w:t>Syrphidae</w:t>
      </w:r>
      <w:proofErr w:type="spellEnd"/>
      <w:r>
        <w:t xml:space="preserve">: </w:t>
      </w:r>
      <w:proofErr w:type="spellStart"/>
      <w:r>
        <w:t>Scaeva</w:t>
      </w:r>
      <w:proofErr w:type="spellEnd"/>
      <w:r>
        <w:t xml:space="preserve"> and </w:t>
      </w:r>
      <w:proofErr w:type="spellStart"/>
      <w:r>
        <w:t>Toxomerus</w:t>
      </w:r>
      <w:proofErr w:type="spellEnd"/>
      <w:r>
        <w:t xml:space="preserve">) (%) </w:t>
      </w:r>
      <w:r w:rsidR="0001769C">
        <w:t xml:space="preserve">were the most frequent visitor. Others were next – beetles and individuals that were too small to adequately classify, as well as a few </w:t>
      </w:r>
      <w:proofErr w:type="spellStart"/>
      <w:r w:rsidR="0001769C">
        <w:t>muscid</w:t>
      </w:r>
      <w:proofErr w:type="spellEnd"/>
      <w:r w:rsidR="0001769C">
        <w:t xml:space="preserve"> flies. After them were solitary bees. After that flies in the </w:t>
      </w:r>
      <w:proofErr w:type="spellStart"/>
      <w:r w:rsidR="0001769C">
        <w:t>Bombyliidae</w:t>
      </w:r>
      <w:proofErr w:type="spellEnd"/>
      <w:r w:rsidR="0001769C">
        <w:t xml:space="preserve"> family (mainly </w:t>
      </w:r>
      <w:proofErr w:type="spellStart"/>
      <w:r w:rsidR="0001769C">
        <w:t>Anthrancinae</w:t>
      </w:r>
      <w:proofErr w:type="spellEnd"/>
      <w:r w:rsidR="0001769C">
        <w:t xml:space="preserve">, </w:t>
      </w:r>
      <w:proofErr w:type="spellStart"/>
      <w:r w:rsidR="0001769C">
        <w:t>Usiinae</w:t>
      </w:r>
      <w:proofErr w:type="spellEnd"/>
      <w:r w:rsidR="0001769C">
        <w:t xml:space="preserve"> and </w:t>
      </w:r>
      <w:proofErr w:type="spellStart"/>
      <w:r w:rsidR="0001769C">
        <w:t>Bombyliinae</w:t>
      </w:r>
      <w:proofErr w:type="spellEnd"/>
      <w:r w:rsidR="0001769C">
        <w:t xml:space="preserve">). </w:t>
      </w:r>
    </w:p>
    <w:p w:rsidR="00523122" w:rsidRPr="000D1E96" w:rsidRDefault="000D1E96" w:rsidP="0001769C">
      <w:pPr>
        <w:rPr>
          <w:u w:val="single"/>
        </w:rPr>
      </w:pPr>
      <w:proofErr w:type="spellStart"/>
      <w:r w:rsidRPr="000D1E96">
        <w:rPr>
          <w:u w:val="single"/>
        </w:rPr>
        <w:t>Rtu</w:t>
      </w:r>
      <w:proofErr w:type="spellEnd"/>
      <w:r w:rsidRPr="000D1E96">
        <w:rPr>
          <w:u w:val="single"/>
        </w:rPr>
        <w:t xml:space="preserve"> differences </w:t>
      </w:r>
    </w:p>
    <w:p w:rsidR="0001769C" w:rsidRDefault="0091494C">
      <w:r>
        <w:t>RDA of visitor identity?</w:t>
      </w:r>
    </w:p>
    <w:p w:rsidR="0091494C" w:rsidRPr="007B2119" w:rsidRDefault="0091494C" w:rsidP="0091494C">
      <w:pPr>
        <w:rPr>
          <w:u w:val="single"/>
        </w:rPr>
      </w:pPr>
      <w:r>
        <w:rPr>
          <w:u w:val="single"/>
        </w:rPr>
        <w:t>Effects on arthropod communities</w:t>
      </w:r>
    </w:p>
    <w:p w:rsidR="0091494C" w:rsidRDefault="0091494C" w:rsidP="0091494C">
      <w:r>
        <w:t xml:space="preserve">Positive effect of shrub on species richness, negative effect of blooming (Table). There was a significant interaction between microsite and blooming, significantly more abundant pre-blooming, but no significant different after blooming. All arthropods together, no microsite effect and negative blooming. </w:t>
      </w:r>
      <w:proofErr w:type="spellStart"/>
      <w:r>
        <w:t>Melyridae</w:t>
      </w:r>
      <w:proofErr w:type="spellEnd"/>
      <w:r>
        <w:t xml:space="preserve"> alone had a significant microsite*blooming interaction:</w:t>
      </w:r>
    </w:p>
    <w:p w:rsidR="0091494C" w:rsidRDefault="0091494C" w:rsidP="0091494C">
      <w:r>
        <w:t xml:space="preserve">There is a significant correlation of insect abundance between shrub/open microsites (p = </w:t>
      </w:r>
      <w:r w:rsidRPr="0004122F">
        <w:t>4.41e-07</w:t>
      </w:r>
      <w:r>
        <w:t xml:space="preserve">, </w:t>
      </w:r>
      <w:r w:rsidRPr="0004122F">
        <w:t>0.4576805</w:t>
      </w:r>
      <w:r>
        <w:t>).</w:t>
      </w:r>
    </w:p>
    <w:p w:rsidR="0091494C" w:rsidRDefault="0091494C" w:rsidP="0091494C">
      <w:r>
        <w:t>Indicator species analysis. Species accumulation curve. CA</w:t>
      </w:r>
    </w:p>
    <w:p w:rsidR="0091494C" w:rsidRDefault="0091494C" w:rsidP="0091494C">
      <w:r>
        <w:t xml:space="preserve">Predatory and parasitoid wasps were more abundant in shrub microsites. Velvet </w:t>
      </w:r>
      <w:proofErr w:type="spellStart"/>
      <w:r>
        <w:t>ants</w:t>
      </w:r>
      <w:proofErr w:type="spellEnd"/>
      <w:r>
        <w:t xml:space="preserve"> were only associated with open sites. </w:t>
      </w:r>
    </w:p>
    <w:p w:rsidR="000D1E96" w:rsidRDefault="0091494C">
      <w:r>
        <w:t>No significant correlation between visitation and abundance, or diversity from pan traps.</w:t>
      </w:r>
    </w:p>
    <w:p w:rsidR="0091494C" w:rsidRDefault="0091494C">
      <w:r>
        <w:t xml:space="preserve">No difference in bee abundance in pan trap with blooming or microsite. Barely caught any </w:t>
      </w:r>
      <w:proofErr w:type="spellStart"/>
      <w:r>
        <w:t>syrphids</w:t>
      </w:r>
      <w:proofErr w:type="spellEnd"/>
      <w:r>
        <w:t xml:space="preserve">. There was a significant decrease in micro </w:t>
      </w:r>
      <w:proofErr w:type="spellStart"/>
      <w:r>
        <w:t>beeflys</w:t>
      </w:r>
      <w:proofErr w:type="spellEnd"/>
      <w:r>
        <w:t xml:space="preserve"> with flowering. </w:t>
      </w:r>
    </w:p>
    <w:p w:rsidR="0091494C" w:rsidRDefault="0091494C">
      <w:pPr>
        <w:rPr>
          <w:u w:val="single"/>
        </w:rPr>
      </w:pPr>
      <w:r w:rsidRPr="0091494C">
        <w:rPr>
          <w:u w:val="single"/>
        </w:rPr>
        <w:t>Plant-plant facilitation</w:t>
      </w:r>
    </w:p>
    <w:p w:rsidR="0091494C" w:rsidRDefault="0091494C" w:rsidP="0091494C">
      <w:r>
        <w:lastRenderedPageBreak/>
        <w:t xml:space="preserve">Percent cover of ground vegetation was significantly greater in shrub microsites before and after blooming. Prior to blooming, no significant different in annual floral density or plant species richness. Significant decrease in richness and annual floral density with blooming. </w:t>
      </w:r>
    </w:p>
    <w:p w:rsidR="0091494C" w:rsidRPr="0091494C" w:rsidRDefault="0091494C" w:rsidP="0091494C">
      <w:pPr>
        <w:rPr>
          <w:u w:val="single"/>
        </w:rPr>
      </w:pPr>
      <w:r w:rsidRPr="0091494C">
        <w:rPr>
          <w:u w:val="single"/>
        </w:rPr>
        <w:t>Co-blooming foundation plants</w:t>
      </w:r>
    </w:p>
    <w:p w:rsidR="0091494C" w:rsidRPr="0091494C" w:rsidRDefault="0091494C">
      <w:r>
        <w:t>Prior to blooming, there was no difference in the number of blooming shrubs in a radius around the shrub and open microsites. There is a significant increase in the number of surrounding shrubs with larrea blooming, and after larrea blooms there is a significant difference between shrub and open sites. Logical given the open sites were chosen to be away from shrubs.</w:t>
      </w:r>
    </w:p>
    <w:p w:rsidR="00913C25" w:rsidRPr="006861EF" w:rsidRDefault="00913C25">
      <w:pPr>
        <w:rPr>
          <w:u w:val="single"/>
        </w:rPr>
      </w:pPr>
      <w:r w:rsidRPr="006861EF">
        <w:rPr>
          <w:u w:val="single"/>
        </w:rPr>
        <w:t>Visitation</w:t>
      </w:r>
      <w:r w:rsidR="006861EF">
        <w:rPr>
          <w:u w:val="single"/>
        </w:rPr>
        <w:t xml:space="preserve"> to larrea</w:t>
      </w:r>
    </w:p>
    <w:p w:rsidR="00913C25" w:rsidRDefault="0014622A">
      <w:r>
        <w:t xml:space="preserve">The number of flowers and the height of the shrub (Pearson’s, 0.3185, p = </w:t>
      </w:r>
      <w:r w:rsidRPr="0014622A">
        <w:t>0.03511</w:t>
      </w:r>
      <w:r>
        <w:t xml:space="preserve">), number of flowers and width (Pearson’s, 0.462, p = 0.001595) and width and height (Pearson’s, 0.6915, p = </w:t>
      </w:r>
      <w:r w:rsidRPr="0014622A">
        <w:t>2.02e-07</w:t>
      </w:r>
      <w:r>
        <w:t xml:space="preserve">), all tested using </w:t>
      </w:r>
      <w:proofErr w:type="spellStart"/>
      <w:r>
        <w:t>cor.test</w:t>
      </w:r>
      <w:proofErr w:type="spellEnd"/>
      <w:r>
        <w:t xml:space="preserve"> function in r.</w:t>
      </w:r>
    </w:p>
    <w:tbl>
      <w:tblPr>
        <w:tblStyle w:val="TableGrid"/>
        <w:tblW w:w="0" w:type="auto"/>
        <w:tblLook w:val="04A0" w:firstRow="1" w:lastRow="0" w:firstColumn="1" w:lastColumn="0" w:noHBand="0" w:noVBand="1"/>
      </w:tblPr>
      <w:tblGrid>
        <w:gridCol w:w="2337"/>
        <w:gridCol w:w="2337"/>
        <w:gridCol w:w="2338"/>
        <w:gridCol w:w="2338"/>
      </w:tblGrid>
      <w:tr w:rsidR="00E35A55" w:rsidTr="00E35A55">
        <w:tc>
          <w:tcPr>
            <w:tcW w:w="2337" w:type="dxa"/>
          </w:tcPr>
          <w:p w:rsidR="00E35A55" w:rsidRDefault="00E35A55"/>
        </w:tc>
        <w:tc>
          <w:tcPr>
            <w:tcW w:w="2337" w:type="dxa"/>
          </w:tcPr>
          <w:p w:rsidR="00E35A55" w:rsidRDefault="00E35A55">
            <w:r>
              <w:t>Pre-blooming</w:t>
            </w:r>
          </w:p>
        </w:tc>
        <w:tc>
          <w:tcPr>
            <w:tcW w:w="2338" w:type="dxa"/>
          </w:tcPr>
          <w:p w:rsidR="00E35A55" w:rsidRDefault="00E35A55">
            <w:r>
              <w:t>Blooming</w:t>
            </w:r>
          </w:p>
        </w:tc>
        <w:tc>
          <w:tcPr>
            <w:tcW w:w="2338" w:type="dxa"/>
          </w:tcPr>
          <w:p w:rsidR="00E35A55" w:rsidRDefault="00E35A55">
            <w:r>
              <w:t>Total</w:t>
            </w:r>
          </w:p>
        </w:tc>
      </w:tr>
      <w:tr w:rsidR="00E35A55" w:rsidTr="00E35A55">
        <w:tc>
          <w:tcPr>
            <w:tcW w:w="2337" w:type="dxa"/>
          </w:tcPr>
          <w:p w:rsidR="00E35A55" w:rsidRDefault="00FC45CF">
            <w:r>
              <w:t>All insect uses</w:t>
            </w:r>
          </w:p>
        </w:tc>
        <w:tc>
          <w:tcPr>
            <w:tcW w:w="2337" w:type="dxa"/>
          </w:tcPr>
          <w:p w:rsidR="00E35A55" w:rsidRDefault="00FC45CF">
            <w:r>
              <w:t>138</w:t>
            </w:r>
          </w:p>
        </w:tc>
        <w:tc>
          <w:tcPr>
            <w:tcW w:w="2338" w:type="dxa"/>
          </w:tcPr>
          <w:p w:rsidR="00E35A55" w:rsidRDefault="00FC45CF">
            <w:r>
              <w:t>400</w:t>
            </w:r>
          </w:p>
        </w:tc>
        <w:tc>
          <w:tcPr>
            <w:tcW w:w="2338" w:type="dxa"/>
          </w:tcPr>
          <w:p w:rsidR="00E35A55" w:rsidRDefault="00FC45CF">
            <w:r>
              <w:t>538</w:t>
            </w:r>
          </w:p>
        </w:tc>
      </w:tr>
      <w:tr w:rsidR="00E35A55" w:rsidTr="00E35A55">
        <w:tc>
          <w:tcPr>
            <w:tcW w:w="2337" w:type="dxa"/>
          </w:tcPr>
          <w:p w:rsidR="00E35A55" w:rsidRDefault="00702B5D">
            <w:r>
              <w:t>Uses touching plant</w:t>
            </w:r>
          </w:p>
        </w:tc>
        <w:tc>
          <w:tcPr>
            <w:tcW w:w="2337" w:type="dxa"/>
          </w:tcPr>
          <w:p w:rsidR="00E35A55" w:rsidRDefault="00702B5D">
            <w:r>
              <w:t>57</w:t>
            </w:r>
          </w:p>
        </w:tc>
        <w:tc>
          <w:tcPr>
            <w:tcW w:w="2338" w:type="dxa"/>
          </w:tcPr>
          <w:p w:rsidR="00E35A55" w:rsidRDefault="00216CE9">
            <w:r>
              <w:t>232</w:t>
            </w:r>
          </w:p>
        </w:tc>
        <w:tc>
          <w:tcPr>
            <w:tcW w:w="2338" w:type="dxa"/>
          </w:tcPr>
          <w:p w:rsidR="00E35A55" w:rsidRDefault="00E35A55"/>
        </w:tc>
      </w:tr>
      <w:tr w:rsidR="00E35A55" w:rsidTr="00E35A55">
        <w:tc>
          <w:tcPr>
            <w:tcW w:w="2337" w:type="dxa"/>
          </w:tcPr>
          <w:p w:rsidR="00E35A55" w:rsidRDefault="00702B5D">
            <w:r>
              <w:t>Uses not touching plant</w:t>
            </w:r>
          </w:p>
        </w:tc>
        <w:tc>
          <w:tcPr>
            <w:tcW w:w="2337" w:type="dxa"/>
          </w:tcPr>
          <w:p w:rsidR="00E35A55" w:rsidRDefault="00702B5D">
            <w:r>
              <w:t>81</w:t>
            </w:r>
          </w:p>
        </w:tc>
        <w:tc>
          <w:tcPr>
            <w:tcW w:w="2338" w:type="dxa"/>
          </w:tcPr>
          <w:p w:rsidR="00E35A55" w:rsidRDefault="00216CE9">
            <w:r>
              <w:t>168</w:t>
            </w:r>
          </w:p>
        </w:tc>
        <w:tc>
          <w:tcPr>
            <w:tcW w:w="2338" w:type="dxa"/>
          </w:tcPr>
          <w:p w:rsidR="00E35A55" w:rsidRDefault="00E35A55"/>
        </w:tc>
      </w:tr>
      <w:tr w:rsidR="00E35A55" w:rsidTr="00E35A55">
        <w:tc>
          <w:tcPr>
            <w:tcW w:w="2337" w:type="dxa"/>
          </w:tcPr>
          <w:p w:rsidR="00E35A55" w:rsidRDefault="00B64F61">
            <w:r>
              <w:t>Understory uses</w:t>
            </w:r>
          </w:p>
        </w:tc>
        <w:tc>
          <w:tcPr>
            <w:tcW w:w="2337" w:type="dxa"/>
          </w:tcPr>
          <w:p w:rsidR="00E35A55" w:rsidRDefault="00B64F61">
            <w:r>
              <w:t>20</w:t>
            </w:r>
          </w:p>
        </w:tc>
        <w:tc>
          <w:tcPr>
            <w:tcW w:w="2338" w:type="dxa"/>
          </w:tcPr>
          <w:p w:rsidR="00E35A55" w:rsidRDefault="00B64F61">
            <w:r>
              <w:t>15</w:t>
            </w:r>
          </w:p>
        </w:tc>
        <w:tc>
          <w:tcPr>
            <w:tcW w:w="2338" w:type="dxa"/>
          </w:tcPr>
          <w:p w:rsidR="00E35A55" w:rsidRDefault="00E35A55"/>
        </w:tc>
      </w:tr>
      <w:tr w:rsidR="00E35A55" w:rsidTr="00E35A55">
        <w:tc>
          <w:tcPr>
            <w:tcW w:w="2337" w:type="dxa"/>
          </w:tcPr>
          <w:p w:rsidR="00E35A55" w:rsidRDefault="009E1E49">
            <w:r>
              <w:t>Flower uses</w:t>
            </w:r>
          </w:p>
        </w:tc>
        <w:tc>
          <w:tcPr>
            <w:tcW w:w="2337" w:type="dxa"/>
          </w:tcPr>
          <w:p w:rsidR="00E35A55" w:rsidRDefault="009E1E49">
            <w:r>
              <w:t>NA</w:t>
            </w:r>
          </w:p>
        </w:tc>
        <w:tc>
          <w:tcPr>
            <w:tcW w:w="2338" w:type="dxa"/>
          </w:tcPr>
          <w:p w:rsidR="00E35A55" w:rsidRDefault="009E1E49">
            <w:r>
              <w:t>197</w:t>
            </w:r>
          </w:p>
        </w:tc>
        <w:tc>
          <w:tcPr>
            <w:tcW w:w="2338" w:type="dxa"/>
          </w:tcPr>
          <w:p w:rsidR="00E35A55" w:rsidRDefault="00E35A55"/>
        </w:tc>
      </w:tr>
      <w:tr w:rsidR="00E35A55" w:rsidTr="00E35A55">
        <w:tc>
          <w:tcPr>
            <w:tcW w:w="2337" w:type="dxa"/>
          </w:tcPr>
          <w:p w:rsidR="00E35A55" w:rsidRDefault="00E35A55"/>
        </w:tc>
        <w:tc>
          <w:tcPr>
            <w:tcW w:w="2337" w:type="dxa"/>
          </w:tcPr>
          <w:p w:rsidR="00E35A55" w:rsidRDefault="00E35A55"/>
        </w:tc>
        <w:tc>
          <w:tcPr>
            <w:tcW w:w="2338" w:type="dxa"/>
          </w:tcPr>
          <w:p w:rsidR="00E35A55" w:rsidRDefault="00E35A55"/>
        </w:tc>
        <w:tc>
          <w:tcPr>
            <w:tcW w:w="2338" w:type="dxa"/>
          </w:tcPr>
          <w:p w:rsidR="00E35A55" w:rsidRDefault="00E35A55"/>
        </w:tc>
      </w:tr>
    </w:tbl>
    <w:p w:rsidR="00BC7C76" w:rsidRDefault="00BC7C76"/>
    <w:p w:rsidR="004F660B" w:rsidRDefault="004F660B">
      <w:r>
        <w:t xml:space="preserve">Visitors and insect uses of L. tridentata was significantly different after blooming. </w:t>
      </w:r>
    </w:p>
    <w:p w:rsidR="009A5626" w:rsidRDefault="009A5626">
      <w:r>
        <w:t>The most frequent</w:t>
      </w:r>
      <w:r w:rsidR="004F660B">
        <w:t xml:space="preserve"> floral</w:t>
      </w:r>
      <w:r>
        <w:t xml:space="preserve"> visitors </w:t>
      </w:r>
      <w:r w:rsidR="004F660B">
        <w:t xml:space="preserve">to </w:t>
      </w:r>
      <w:proofErr w:type="spellStart"/>
      <w:proofErr w:type="gramStart"/>
      <w:r w:rsidR="004F660B">
        <w:t>L.tridentata</w:t>
      </w:r>
      <w:proofErr w:type="spellEnd"/>
      <w:proofErr w:type="gramEnd"/>
      <w:r w:rsidR="004F660B">
        <w:t xml:space="preserve"> </w:t>
      </w:r>
      <w:r>
        <w:t xml:space="preserve">were bees (115): </w:t>
      </w:r>
      <w:proofErr w:type="spellStart"/>
      <w:r>
        <w:t>Apis</w:t>
      </w:r>
      <w:proofErr w:type="spellEnd"/>
      <w:r>
        <w:t xml:space="preserve"> </w:t>
      </w:r>
      <w:proofErr w:type="spellStart"/>
      <w:r>
        <w:t>mellifera</w:t>
      </w:r>
      <w:proofErr w:type="spellEnd"/>
      <w:r>
        <w:t xml:space="preserve"> (54 visits), </w:t>
      </w:r>
      <w:proofErr w:type="spellStart"/>
      <w:r>
        <w:t>Centris</w:t>
      </w:r>
      <w:proofErr w:type="spellEnd"/>
      <w:r>
        <w:t xml:space="preserve"> </w:t>
      </w:r>
      <w:proofErr w:type="spellStart"/>
      <w:r>
        <w:t>rhodapus</w:t>
      </w:r>
      <w:proofErr w:type="spellEnd"/>
      <w:r>
        <w:t xml:space="preserve"> (35), </w:t>
      </w:r>
      <w:proofErr w:type="spellStart"/>
      <w:r>
        <w:t>Hesperapis</w:t>
      </w:r>
      <w:proofErr w:type="spellEnd"/>
      <w:r>
        <w:t xml:space="preserve"> larrea (30), </w:t>
      </w:r>
      <w:proofErr w:type="spellStart"/>
      <w:r>
        <w:t>Eucera</w:t>
      </w:r>
      <w:proofErr w:type="spellEnd"/>
      <w:r w:rsidR="007F05D1">
        <w:t xml:space="preserve"> sp.</w:t>
      </w:r>
      <w:r>
        <w:t xml:space="preserve"> (11) and other solitary bees (39)</w:t>
      </w:r>
      <w:r w:rsidR="00295346">
        <w:t xml:space="preserve"> including </w:t>
      </w:r>
      <w:proofErr w:type="spellStart"/>
      <w:r w:rsidR="00295346">
        <w:t>Hoplitis</w:t>
      </w:r>
      <w:proofErr w:type="spellEnd"/>
      <w:r w:rsidR="00295346">
        <w:t xml:space="preserve"> and </w:t>
      </w:r>
      <w:proofErr w:type="spellStart"/>
      <w:r w:rsidR="00295346">
        <w:t>Megachile</w:t>
      </w:r>
      <w:proofErr w:type="spellEnd"/>
      <w:r>
        <w:t xml:space="preserve">. </w:t>
      </w:r>
      <w:r w:rsidR="007A3489">
        <w:t xml:space="preserve">Visitation by all visitors was positively associated with flower number, height and width. </w:t>
      </w:r>
      <w:r w:rsidR="001B755B">
        <w:t xml:space="preserve">Visitation to larrea much greater. 17.13 floral visits to the plants per hour. </w:t>
      </w:r>
    </w:p>
    <w:p w:rsidR="00576C94" w:rsidRDefault="00576C94" w:rsidP="0004122F">
      <w:pPr>
        <w:rPr>
          <w:u w:val="single"/>
        </w:rPr>
      </w:pPr>
      <w:r w:rsidRPr="00576C94">
        <w:rPr>
          <w:u w:val="single"/>
        </w:rPr>
        <w:t>Climate amelioration</w:t>
      </w:r>
    </w:p>
    <w:p w:rsidR="00576C94" w:rsidRDefault="00576C94" w:rsidP="0004122F">
      <w:r>
        <w:t>Data logger data analysis goes here</w:t>
      </w:r>
    </w:p>
    <w:p w:rsidR="00576C94" w:rsidRPr="00AF1310" w:rsidRDefault="00D649B9" w:rsidP="0004122F">
      <w:pPr>
        <w:rPr>
          <w:u w:val="single"/>
        </w:rPr>
      </w:pPr>
      <w:r w:rsidRPr="00D649B9">
        <w:rPr>
          <w:u w:val="single"/>
        </w:rPr>
        <w:t>Relative effects</w:t>
      </w:r>
    </w:p>
    <w:p w:rsidR="00C85D5D" w:rsidRPr="00C85D5D" w:rsidRDefault="00C85D5D" w:rsidP="0004122F">
      <w:r w:rsidRPr="00C85D5D">
        <w:t>RII</w:t>
      </w:r>
    </w:p>
    <w:p w:rsidR="005A3B82" w:rsidRPr="00563FE2" w:rsidRDefault="005A3B82" w:rsidP="0004122F">
      <w:pPr>
        <w:rPr>
          <w:b/>
        </w:rPr>
      </w:pPr>
      <w:r w:rsidRPr="00563FE2">
        <w:rPr>
          <w:b/>
        </w:rPr>
        <w:t xml:space="preserve">Discussion </w:t>
      </w:r>
    </w:p>
    <w:p w:rsidR="00563FE2" w:rsidRDefault="00563FE2" w:rsidP="00563FE2">
      <w:r>
        <w:t>Larrea tridentata interacts with multiple trophic levels of its surrounding communities.</w:t>
      </w:r>
    </w:p>
    <w:p w:rsidR="005A3B82" w:rsidRDefault="005A3B82" w:rsidP="005A3B82">
      <w:pPr>
        <w:pStyle w:val="ListParagraph"/>
        <w:numPr>
          <w:ilvl w:val="0"/>
          <w:numId w:val="2"/>
        </w:numPr>
      </w:pPr>
      <w:r>
        <w:t>Larrea influences both plants and insects that it associates with</w:t>
      </w:r>
    </w:p>
    <w:p w:rsidR="005A3B82" w:rsidRDefault="005A3B82" w:rsidP="005A3B82">
      <w:pPr>
        <w:pStyle w:val="ListParagraph"/>
        <w:numPr>
          <w:ilvl w:val="0"/>
          <w:numId w:val="2"/>
        </w:numPr>
      </w:pPr>
      <w:r>
        <w:t>Differential effects of the different communities</w:t>
      </w:r>
    </w:p>
    <w:p w:rsidR="005A3B82" w:rsidRDefault="005A3B82" w:rsidP="005A3B82">
      <w:pPr>
        <w:pStyle w:val="ListParagraph"/>
        <w:numPr>
          <w:ilvl w:val="0"/>
          <w:numId w:val="2"/>
        </w:numPr>
      </w:pPr>
      <w:r>
        <w:t>No effect on pollinator abundances</w:t>
      </w:r>
      <w:bookmarkStart w:id="0" w:name="_GoBack"/>
      <w:bookmarkEnd w:id="0"/>
      <w:r>
        <w:t xml:space="preserve"> – thus likely behavioural</w:t>
      </w:r>
      <w:r w:rsidR="00717F8F">
        <w:t>?</w:t>
      </w:r>
    </w:p>
    <w:p w:rsidR="005A3B82" w:rsidRDefault="005A3B82" w:rsidP="005A3B82">
      <w:pPr>
        <w:pStyle w:val="ListParagraph"/>
        <w:numPr>
          <w:ilvl w:val="0"/>
          <w:numId w:val="2"/>
        </w:numPr>
      </w:pPr>
      <w:r>
        <w:lastRenderedPageBreak/>
        <w:t>Just because it concentrates insects doesn’t mean that benefits plants</w:t>
      </w:r>
    </w:p>
    <w:p w:rsidR="003F467B" w:rsidRDefault="003F467B" w:rsidP="005A3B82">
      <w:pPr>
        <w:pStyle w:val="ListParagraph"/>
        <w:numPr>
          <w:ilvl w:val="0"/>
          <w:numId w:val="2"/>
        </w:numPr>
      </w:pPr>
      <w:r>
        <w:t>Facilitates vegetation growth but competes for pollinators</w:t>
      </w:r>
    </w:p>
    <w:p w:rsidR="003D178A" w:rsidRDefault="003D178A" w:rsidP="005A3B82">
      <w:pPr>
        <w:pStyle w:val="ListParagraph"/>
        <w:numPr>
          <w:ilvl w:val="0"/>
          <w:numId w:val="2"/>
        </w:numPr>
      </w:pPr>
      <w:r>
        <w:t>Is there a temporal structure to the data?</w:t>
      </w:r>
    </w:p>
    <w:p w:rsidR="003D178A" w:rsidRDefault="003D178A" w:rsidP="005A3B82">
      <w:pPr>
        <w:pStyle w:val="ListParagraph"/>
        <w:numPr>
          <w:ilvl w:val="0"/>
          <w:numId w:val="2"/>
        </w:numPr>
      </w:pPr>
      <w:r>
        <w:t>Dilution effect – not only was larrea flowering – surround shrubs and cactus were as well</w:t>
      </w:r>
    </w:p>
    <w:p w:rsidR="003D178A" w:rsidRDefault="003D178A" w:rsidP="005A3B82">
      <w:pPr>
        <w:pStyle w:val="ListParagraph"/>
        <w:numPr>
          <w:ilvl w:val="0"/>
          <w:numId w:val="2"/>
        </w:numPr>
      </w:pPr>
      <w:r>
        <w:t>So yes, there might be a temporal effect but really that effect is of the dominant, foundational plants all flowering, and potentially life cycle shifting of certain pollinators</w:t>
      </w:r>
    </w:p>
    <w:p w:rsidR="00116B2E" w:rsidRDefault="00116B2E" w:rsidP="005A3B82">
      <w:pPr>
        <w:pStyle w:val="ListParagraph"/>
        <w:numPr>
          <w:ilvl w:val="0"/>
          <w:numId w:val="2"/>
        </w:numPr>
      </w:pPr>
      <w:r>
        <w:t xml:space="preserve">What happened to the </w:t>
      </w:r>
      <w:proofErr w:type="spellStart"/>
      <w:r>
        <w:t>syrphids</w:t>
      </w:r>
      <w:proofErr w:type="spellEnd"/>
      <w:r>
        <w:t>?</w:t>
      </w:r>
    </w:p>
    <w:p w:rsidR="00F35F6E" w:rsidRDefault="00F35F6E" w:rsidP="005A3B82">
      <w:pPr>
        <w:pStyle w:val="ListParagraph"/>
        <w:numPr>
          <w:ilvl w:val="0"/>
          <w:numId w:val="2"/>
        </w:numPr>
      </w:pPr>
      <w:r>
        <w:t>Unavailability of rainfall likely prevents annuals from adjusting their phenology. The warmth and moisture required would put a hard limit on when they can flower.</w:t>
      </w:r>
    </w:p>
    <w:p w:rsidR="00A658D8" w:rsidRDefault="00A658D8" w:rsidP="005A3B82">
      <w:pPr>
        <w:pStyle w:val="ListParagraph"/>
        <w:numPr>
          <w:ilvl w:val="0"/>
          <w:numId w:val="2"/>
        </w:numPr>
      </w:pPr>
      <w:r>
        <w:t xml:space="preserve">Lack of correlation between shrub abundances and visitation suggests that differences in visitation driven by something else </w:t>
      </w:r>
      <w:proofErr w:type="spellStart"/>
      <w:r>
        <w:t>ie</w:t>
      </w:r>
      <w:proofErr w:type="spellEnd"/>
      <w:r>
        <w:t xml:space="preserve"> foraging preferences vs concentrating local abundances. They were tested on different days however. But not far apart.</w:t>
      </w:r>
    </w:p>
    <w:p w:rsidR="005A19FE" w:rsidRDefault="005A19FE" w:rsidP="005A3B82">
      <w:pPr>
        <w:pStyle w:val="ListParagraph"/>
        <w:numPr>
          <w:ilvl w:val="0"/>
          <w:numId w:val="2"/>
        </w:numPr>
      </w:pPr>
      <w:r>
        <w:t xml:space="preserve">Lack of visitation to Malacothrix not due to lack of bees – Larrea was visited. If the bees that visited were </w:t>
      </w:r>
      <w:proofErr w:type="spellStart"/>
      <w:r>
        <w:t>oligolectic</w:t>
      </w:r>
      <w:proofErr w:type="spellEnd"/>
      <w:r>
        <w:t xml:space="preserve"> but main visitor to Larrea was the honeybee. A generalist.</w:t>
      </w:r>
    </w:p>
    <w:p w:rsidR="009C7F0B" w:rsidRDefault="005425B8" w:rsidP="005425B8">
      <w:pPr>
        <w:ind w:left="360"/>
      </w:pPr>
      <w:r>
        <w:t xml:space="preserve">In the Mojave, shrubs (Ambrosia </w:t>
      </w:r>
      <w:proofErr w:type="spellStart"/>
      <w:r>
        <w:t>dumosa</w:t>
      </w:r>
      <w:proofErr w:type="spellEnd"/>
      <w:r>
        <w:t xml:space="preserve">, </w:t>
      </w:r>
      <w:proofErr w:type="spellStart"/>
      <w:r>
        <w:t>windpollinated</w:t>
      </w:r>
      <w:proofErr w:type="spellEnd"/>
      <w:r>
        <w:t>) positively influenced the seed set of annuals growing under the canopy (</w:t>
      </w:r>
      <w:proofErr w:type="spellStart"/>
      <w:r>
        <w:t>Holzapfel</w:t>
      </w:r>
      <w:proofErr w:type="spellEnd"/>
      <w:r>
        <w:t>, 1999).</w:t>
      </w:r>
    </w:p>
    <w:p w:rsidR="009C7F0B" w:rsidRDefault="009C7F0B" w:rsidP="009C7F0B"/>
    <w:p w:rsidR="0091494C" w:rsidRDefault="0091494C" w:rsidP="0091494C">
      <w:r>
        <w:t>Table: Total arthropod abundance for each treatment</w:t>
      </w:r>
    </w:p>
    <w:tbl>
      <w:tblPr>
        <w:tblStyle w:val="TableGrid"/>
        <w:tblW w:w="0" w:type="auto"/>
        <w:tblLook w:val="04A0" w:firstRow="1" w:lastRow="0" w:firstColumn="1" w:lastColumn="0" w:noHBand="0" w:noVBand="1"/>
      </w:tblPr>
      <w:tblGrid>
        <w:gridCol w:w="2337"/>
        <w:gridCol w:w="2337"/>
        <w:gridCol w:w="2338"/>
        <w:gridCol w:w="2338"/>
      </w:tblGrid>
      <w:tr w:rsidR="0091494C" w:rsidTr="00761938">
        <w:tc>
          <w:tcPr>
            <w:tcW w:w="2337" w:type="dxa"/>
          </w:tcPr>
          <w:p w:rsidR="0091494C" w:rsidRDefault="0091494C" w:rsidP="00761938"/>
        </w:tc>
        <w:tc>
          <w:tcPr>
            <w:tcW w:w="2337" w:type="dxa"/>
          </w:tcPr>
          <w:p w:rsidR="0091494C" w:rsidRDefault="0091494C" w:rsidP="00761938">
            <w:r>
              <w:t>Shrub</w:t>
            </w:r>
          </w:p>
        </w:tc>
        <w:tc>
          <w:tcPr>
            <w:tcW w:w="2338" w:type="dxa"/>
          </w:tcPr>
          <w:p w:rsidR="0091494C" w:rsidRDefault="0091494C" w:rsidP="00761938">
            <w:r>
              <w:t>Open</w:t>
            </w:r>
          </w:p>
        </w:tc>
        <w:tc>
          <w:tcPr>
            <w:tcW w:w="2338" w:type="dxa"/>
          </w:tcPr>
          <w:p w:rsidR="0091494C" w:rsidRDefault="0091494C" w:rsidP="00761938">
            <w:r>
              <w:t>Total</w:t>
            </w:r>
          </w:p>
        </w:tc>
      </w:tr>
      <w:tr w:rsidR="0091494C" w:rsidTr="00761938">
        <w:tc>
          <w:tcPr>
            <w:tcW w:w="2337" w:type="dxa"/>
          </w:tcPr>
          <w:p w:rsidR="0091494C" w:rsidRDefault="0091494C" w:rsidP="00761938">
            <w:r>
              <w:t>Pre-blooming</w:t>
            </w:r>
          </w:p>
        </w:tc>
        <w:tc>
          <w:tcPr>
            <w:tcW w:w="2337" w:type="dxa"/>
          </w:tcPr>
          <w:p w:rsidR="0091494C" w:rsidRDefault="0091494C" w:rsidP="00761938">
            <w:r>
              <w:t>935</w:t>
            </w:r>
          </w:p>
        </w:tc>
        <w:tc>
          <w:tcPr>
            <w:tcW w:w="2338" w:type="dxa"/>
          </w:tcPr>
          <w:p w:rsidR="0091494C" w:rsidRDefault="0091494C" w:rsidP="00761938">
            <w:r>
              <w:t>973</w:t>
            </w:r>
          </w:p>
        </w:tc>
        <w:tc>
          <w:tcPr>
            <w:tcW w:w="2338" w:type="dxa"/>
          </w:tcPr>
          <w:p w:rsidR="0091494C" w:rsidRDefault="0091494C" w:rsidP="00761938">
            <w:r>
              <w:t>1908</w:t>
            </w:r>
          </w:p>
        </w:tc>
      </w:tr>
      <w:tr w:rsidR="0091494C" w:rsidTr="00761938">
        <w:tc>
          <w:tcPr>
            <w:tcW w:w="2337" w:type="dxa"/>
          </w:tcPr>
          <w:p w:rsidR="0091494C" w:rsidRDefault="0091494C" w:rsidP="00761938">
            <w:r>
              <w:t>Blooming</w:t>
            </w:r>
          </w:p>
        </w:tc>
        <w:tc>
          <w:tcPr>
            <w:tcW w:w="2337" w:type="dxa"/>
          </w:tcPr>
          <w:p w:rsidR="0091494C" w:rsidRDefault="0091494C" w:rsidP="00761938">
            <w:r>
              <w:t>692</w:t>
            </w:r>
          </w:p>
        </w:tc>
        <w:tc>
          <w:tcPr>
            <w:tcW w:w="2338" w:type="dxa"/>
          </w:tcPr>
          <w:p w:rsidR="0091494C" w:rsidRDefault="0091494C" w:rsidP="00761938">
            <w:r>
              <w:t>777</w:t>
            </w:r>
          </w:p>
        </w:tc>
        <w:tc>
          <w:tcPr>
            <w:tcW w:w="2338" w:type="dxa"/>
          </w:tcPr>
          <w:p w:rsidR="0091494C" w:rsidRDefault="0091494C" w:rsidP="00761938">
            <w:r>
              <w:t>1469</w:t>
            </w:r>
          </w:p>
        </w:tc>
      </w:tr>
      <w:tr w:rsidR="0091494C" w:rsidTr="00761938">
        <w:tc>
          <w:tcPr>
            <w:tcW w:w="2337" w:type="dxa"/>
          </w:tcPr>
          <w:p w:rsidR="0091494C" w:rsidRDefault="0091494C" w:rsidP="00761938">
            <w:r>
              <w:t>Total</w:t>
            </w:r>
          </w:p>
        </w:tc>
        <w:tc>
          <w:tcPr>
            <w:tcW w:w="2337" w:type="dxa"/>
          </w:tcPr>
          <w:p w:rsidR="0091494C" w:rsidRDefault="0091494C" w:rsidP="00761938">
            <w:r>
              <w:t>1627</w:t>
            </w:r>
          </w:p>
        </w:tc>
        <w:tc>
          <w:tcPr>
            <w:tcW w:w="2338" w:type="dxa"/>
          </w:tcPr>
          <w:p w:rsidR="0091494C" w:rsidRDefault="0091494C" w:rsidP="00761938">
            <w:r>
              <w:t>1750</w:t>
            </w:r>
          </w:p>
        </w:tc>
        <w:tc>
          <w:tcPr>
            <w:tcW w:w="2338" w:type="dxa"/>
          </w:tcPr>
          <w:p w:rsidR="0091494C" w:rsidRDefault="0091494C" w:rsidP="00761938">
            <w:r>
              <w:t>3377</w:t>
            </w:r>
          </w:p>
        </w:tc>
      </w:tr>
    </w:tbl>
    <w:p w:rsidR="0091494C" w:rsidRDefault="0091494C" w:rsidP="0091494C"/>
    <w:p w:rsidR="0091494C" w:rsidRDefault="0091494C" w:rsidP="0091494C">
      <w:r>
        <w:t>Table 2: Mean ± SD, arthropod abundance per shrub for each treatment, 3 pan traps. Including flower beetles.</w:t>
      </w:r>
    </w:p>
    <w:tbl>
      <w:tblPr>
        <w:tblStyle w:val="TableGrid"/>
        <w:tblW w:w="0" w:type="auto"/>
        <w:tblLook w:val="04A0" w:firstRow="1" w:lastRow="0" w:firstColumn="1" w:lastColumn="0" w:noHBand="0" w:noVBand="1"/>
      </w:tblPr>
      <w:tblGrid>
        <w:gridCol w:w="2337"/>
        <w:gridCol w:w="2337"/>
        <w:gridCol w:w="2338"/>
        <w:gridCol w:w="2338"/>
      </w:tblGrid>
      <w:tr w:rsidR="0091494C" w:rsidTr="00761938">
        <w:tc>
          <w:tcPr>
            <w:tcW w:w="2337" w:type="dxa"/>
          </w:tcPr>
          <w:p w:rsidR="0091494C" w:rsidRDefault="0091494C" w:rsidP="00761938"/>
        </w:tc>
        <w:tc>
          <w:tcPr>
            <w:tcW w:w="2337" w:type="dxa"/>
          </w:tcPr>
          <w:p w:rsidR="0091494C" w:rsidRDefault="0091494C" w:rsidP="00761938">
            <w:r>
              <w:t>Shrub</w:t>
            </w:r>
          </w:p>
        </w:tc>
        <w:tc>
          <w:tcPr>
            <w:tcW w:w="2338" w:type="dxa"/>
          </w:tcPr>
          <w:p w:rsidR="0091494C" w:rsidRDefault="0091494C" w:rsidP="00761938">
            <w:r>
              <w:t>Open</w:t>
            </w:r>
          </w:p>
        </w:tc>
        <w:tc>
          <w:tcPr>
            <w:tcW w:w="2338" w:type="dxa"/>
          </w:tcPr>
          <w:p w:rsidR="0091494C" w:rsidRDefault="0091494C" w:rsidP="00761938">
            <w:r>
              <w:t>Total</w:t>
            </w:r>
          </w:p>
        </w:tc>
      </w:tr>
      <w:tr w:rsidR="0091494C" w:rsidTr="00761938">
        <w:tc>
          <w:tcPr>
            <w:tcW w:w="2337" w:type="dxa"/>
          </w:tcPr>
          <w:p w:rsidR="0091494C" w:rsidRDefault="0091494C" w:rsidP="00761938">
            <w:r>
              <w:t>Pre-blooming</w:t>
            </w:r>
          </w:p>
        </w:tc>
        <w:tc>
          <w:tcPr>
            <w:tcW w:w="2337" w:type="dxa"/>
          </w:tcPr>
          <w:p w:rsidR="0091494C" w:rsidRDefault="0091494C" w:rsidP="00761938">
            <w:r w:rsidRPr="004B323F">
              <w:t>17.31481</w:t>
            </w:r>
            <w:r>
              <w:t xml:space="preserve"> ± </w:t>
            </w:r>
            <w:r w:rsidRPr="002F5481">
              <w:t>7.947526</w:t>
            </w:r>
          </w:p>
        </w:tc>
        <w:tc>
          <w:tcPr>
            <w:tcW w:w="2338" w:type="dxa"/>
          </w:tcPr>
          <w:p w:rsidR="0091494C" w:rsidRDefault="0091494C" w:rsidP="00761938">
            <w:r w:rsidRPr="004B323F">
              <w:t>18.01852</w:t>
            </w:r>
            <w:r>
              <w:t xml:space="preserve"> ± </w:t>
            </w:r>
            <w:r w:rsidRPr="002F5481">
              <w:t>10.074235</w:t>
            </w:r>
          </w:p>
        </w:tc>
        <w:tc>
          <w:tcPr>
            <w:tcW w:w="2338" w:type="dxa"/>
          </w:tcPr>
          <w:p w:rsidR="0091494C" w:rsidRDefault="0091494C" w:rsidP="00761938">
            <w:r w:rsidRPr="004B323F">
              <w:t>17.66667</w:t>
            </w:r>
            <w:r>
              <w:t xml:space="preserve"> ± </w:t>
            </w:r>
            <w:r w:rsidRPr="002F5481">
              <w:t>9.037823</w:t>
            </w:r>
          </w:p>
        </w:tc>
      </w:tr>
      <w:tr w:rsidR="0091494C" w:rsidTr="00761938">
        <w:tc>
          <w:tcPr>
            <w:tcW w:w="2337" w:type="dxa"/>
          </w:tcPr>
          <w:p w:rsidR="0091494C" w:rsidRDefault="0091494C" w:rsidP="00761938">
            <w:r>
              <w:t>Blooming</w:t>
            </w:r>
          </w:p>
        </w:tc>
        <w:tc>
          <w:tcPr>
            <w:tcW w:w="2337" w:type="dxa"/>
          </w:tcPr>
          <w:p w:rsidR="0091494C" w:rsidRDefault="0091494C" w:rsidP="00761938">
            <w:r w:rsidRPr="004B323F">
              <w:t>11.53333</w:t>
            </w:r>
            <w:r>
              <w:t xml:space="preserve"> ± </w:t>
            </w:r>
            <w:r w:rsidRPr="002F5481">
              <w:t>6.217708</w:t>
            </w:r>
          </w:p>
        </w:tc>
        <w:tc>
          <w:tcPr>
            <w:tcW w:w="2338" w:type="dxa"/>
          </w:tcPr>
          <w:p w:rsidR="0091494C" w:rsidRDefault="0091494C" w:rsidP="00761938">
            <w:r w:rsidRPr="004B323F">
              <w:t>12.95000</w:t>
            </w:r>
            <w:r>
              <w:t xml:space="preserve"> ± </w:t>
            </w:r>
            <w:r w:rsidRPr="002F5481">
              <w:t>7.601126</w:t>
            </w:r>
          </w:p>
        </w:tc>
        <w:tc>
          <w:tcPr>
            <w:tcW w:w="2338" w:type="dxa"/>
          </w:tcPr>
          <w:p w:rsidR="0091494C" w:rsidRDefault="0091494C" w:rsidP="00761938">
            <w:r w:rsidRPr="004B323F">
              <w:t>12.24167</w:t>
            </w:r>
            <w:r>
              <w:t xml:space="preserve"> ± </w:t>
            </w:r>
            <w:r w:rsidRPr="002F5481">
              <w:t>6.951205</w:t>
            </w:r>
          </w:p>
        </w:tc>
      </w:tr>
      <w:tr w:rsidR="0091494C" w:rsidTr="00761938">
        <w:tc>
          <w:tcPr>
            <w:tcW w:w="2337" w:type="dxa"/>
          </w:tcPr>
          <w:p w:rsidR="0091494C" w:rsidRDefault="0091494C" w:rsidP="00761938">
            <w:r>
              <w:t>Total</w:t>
            </w:r>
          </w:p>
        </w:tc>
        <w:tc>
          <w:tcPr>
            <w:tcW w:w="2337" w:type="dxa"/>
          </w:tcPr>
          <w:p w:rsidR="0091494C" w:rsidRDefault="0091494C" w:rsidP="00761938">
            <w:r w:rsidRPr="004B323F">
              <w:t>14.27193</w:t>
            </w:r>
            <w:r>
              <w:t xml:space="preserve"> ± </w:t>
            </w:r>
            <w:r w:rsidRPr="002F5481">
              <w:t>7.630035</w:t>
            </w:r>
          </w:p>
        </w:tc>
        <w:tc>
          <w:tcPr>
            <w:tcW w:w="2338" w:type="dxa"/>
          </w:tcPr>
          <w:p w:rsidR="0091494C" w:rsidRPr="002F5481" w:rsidRDefault="0091494C" w:rsidP="00761938">
            <w:pPr>
              <w:pStyle w:val="HTMLPreformatted"/>
              <w:shd w:val="clear" w:color="auto" w:fill="FFFFFF"/>
              <w:wordWrap w:val="0"/>
              <w:spacing w:line="205" w:lineRule="atLeast"/>
              <w:rPr>
                <w:rFonts w:ascii="Times New Roman" w:hAnsi="Times New Roman" w:cs="Times New Roman"/>
                <w:sz w:val="24"/>
                <w:szCs w:val="24"/>
              </w:rPr>
            </w:pPr>
            <w:r w:rsidRPr="002F5481">
              <w:rPr>
                <w:rFonts w:ascii="Times New Roman" w:hAnsi="Times New Roman" w:cs="Times New Roman"/>
                <w:sz w:val="24"/>
                <w:szCs w:val="24"/>
              </w:rPr>
              <w:t xml:space="preserve">15.35088 </w:t>
            </w:r>
            <w:r>
              <w:rPr>
                <w:rFonts w:ascii="Times New Roman" w:hAnsi="Times New Roman" w:cs="Times New Roman"/>
                <w:sz w:val="24"/>
                <w:szCs w:val="24"/>
              </w:rPr>
              <w:t xml:space="preserve">± </w:t>
            </w:r>
            <w:r w:rsidRPr="002F5481">
              <w:rPr>
                <w:rFonts w:ascii="Times New Roman" w:hAnsi="Times New Roman" w:cs="Times New Roman"/>
                <w:sz w:val="24"/>
                <w:szCs w:val="24"/>
              </w:rPr>
              <w:t>9.177678</w:t>
            </w:r>
          </w:p>
        </w:tc>
        <w:tc>
          <w:tcPr>
            <w:tcW w:w="2338" w:type="dxa"/>
          </w:tcPr>
          <w:p w:rsidR="0091494C" w:rsidRDefault="0091494C" w:rsidP="00761938"/>
        </w:tc>
      </w:tr>
    </w:tbl>
    <w:p w:rsidR="0091494C" w:rsidRDefault="0091494C" w:rsidP="0091494C"/>
    <w:p w:rsidR="0091494C" w:rsidRDefault="0091494C" w:rsidP="0091494C">
      <w:r>
        <w:t xml:space="preserve">Table 3: Total arthropod abundance without </w:t>
      </w:r>
      <w:proofErr w:type="spellStart"/>
      <w:r>
        <w:t>Melyrid</w:t>
      </w:r>
      <w:proofErr w:type="spellEnd"/>
      <w:r>
        <w:t xml:space="preserve"> beetles</w:t>
      </w:r>
    </w:p>
    <w:tbl>
      <w:tblPr>
        <w:tblStyle w:val="TableGrid"/>
        <w:tblW w:w="9349" w:type="dxa"/>
        <w:tblLook w:val="04A0" w:firstRow="1" w:lastRow="0" w:firstColumn="1" w:lastColumn="0" w:noHBand="0" w:noVBand="1"/>
      </w:tblPr>
      <w:tblGrid>
        <w:gridCol w:w="2337"/>
        <w:gridCol w:w="2337"/>
        <w:gridCol w:w="2337"/>
        <w:gridCol w:w="2338"/>
      </w:tblGrid>
      <w:tr w:rsidR="0091494C" w:rsidTr="00761938">
        <w:tc>
          <w:tcPr>
            <w:tcW w:w="2337" w:type="dxa"/>
          </w:tcPr>
          <w:p w:rsidR="0091494C" w:rsidRDefault="0091494C" w:rsidP="00761938"/>
        </w:tc>
        <w:tc>
          <w:tcPr>
            <w:tcW w:w="2337" w:type="dxa"/>
          </w:tcPr>
          <w:p w:rsidR="0091494C" w:rsidRDefault="0091494C" w:rsidP="00761938">
            <w:r>
              <w:t>Shrub</w:t>
            </w:r>
          </w:p>
        </w:tc>
        <w:tc>
          <w:tcPr>
            <w:tcW w:w="2337" w:type="dxa"/>
          </w:tcPr>
          <w:p w:rsidR="0091494C" w:rsidRDefault="0091494C" w:rsidP="00761938">
            <w:r>
              <w:t>Open</w:t>
            </w:r>
          </w:p>
        </w:tc>
        <w:tc>
          <w:tcPr>
            <w:tcW w:w="2338" w:type="dxa"/>
          </w:tcPr>
          <w:p w:rsidR="0091494C" w:rsidRDefault="0091494C" w:rsidP="00761938">
            <w:r>
              <w:t>Total</w:t>
            </w:r>
          </w:p>
        </w:tc>
      </w:tr>
      <w:tr w:rsidR="0091494C" w:rsidTr="00761938">
        <w:tc>
          <w:tcPr>
            <w:tcW w:w="2337" w:type="dxa"/>
          </w:tcPr>
          <w:p w:rsidR="0091494C" w:rsidRDefault="0091494C" w:rsidP="00761938">
            <w:r>
              <w:t>Pre-blooming</w:t>
            </w:r>
          </w:p>
        </w:tc>
        <w:tc>
          <w:tcPr>
            <w:tcW w:w="2337" w:type="dxa"/>
          </w:tcPr>
          <w:p w:rsidR="0091494C" w:rsidRDefault="0091494C" w:rsidP="00761938">
            <w:r>
              <w:t>783</w:t>
            </w:r>
          </w:p>
        </w:tc>
        <w:tc>
          <w:tcPr>
            <w:tcW w:w="2337" w:type="dxa"/>
          </w:tcPr>
          <w:p w:rsidR="0091494C" w:rsidRDefault="0091494C" w:rsidP="00761938">
            <w:r>
              <w:t>510</w:t>
            </w:r>
          </w:p>
        </w:tc>
        <w:tc>
          <w:tcPr>
            <w:tcW w:w="2338" w:type="dxa"/>
          </w:tcPr>
          <w:p w:rsidR="0091494C" w:rsidRDefault="0091494C" w:rsidP="00761938">
            <w:r>
              <w:t>1293</w:t>
            </w:r>
          </w:p>
        </w:tc>
      </w:tr>
      <w:tr w:rsidR="0091494C" w:rsidTr="00761938">
        <w:tc>
          <w:tcPr>
            <w:tcW w:w="2337" w:type="dxa"/>
          </w:tcPr>
          <w:p w:rsidR="0091494C" w:rsidRDefault="0091494C" w:rsidP="00761938">
            <w:r>
              <w:t>Blooming</w:t>
            </w:r>
          </w:p>
        </w:tc>
        <w:tc>
          <w:tcPr>
            <w:tcW w:w="2337" w:type="dxa"/>
          </w:tcPr>
          <w:p w:rsidR="0091494C" w:rsidRDefault="0091494C" w:rsidP="00761938">
            <w:r>
              <w:t>435</w:t>
            </w:r>
          </w:p>
        </w:tc>
        <w:tc>
          <w:tcPr>
            <w:tcW w:w="2337" w:type="dxa"/>
          </w:tcPr>
          <w:p w:rsidR="0091494C" w:rsidRDefault="0091494C" w:rsidP="00761938">
            <w:r>
              <w:t>359</w:t>
            </w:r>
          </w:p>
        </w:tc>
        <w:tc>
          <w:tcPr>
            <w:tcW w:w="2338" w:type="dxa"/>
          </w:tcPr>
          <w:p w:rsidR="0091494C" w:rsidRDefault="0091494C" w:rsidP="00761938">
            <w:r>
              <w:t>794</w:t>
            </w:r>
          </w:p>
        </w:tc>
      </w:tr>
      <w:tr w:rsidR="0091494C" w:rsidTr="00761938">
        <w:tc>
          <w:tcPr>
            <w:tcW w:w="2337" w:type="dxa"/>
          </w:tcPr>
          <w:p w:rsidR="0091494C" w:rsidRDefault="0091494C" w:rsidP="00761938">
            <w:r>
              <w:t>Total</w:t>
            </w:r>
          </w:p>
        </w:tc>
        <w:tc>
          <w:tcPr>
            <w:tcW w:w="2337" w:type="dxa"/>
          </w:tcPr>
          <w:p w:rsidR="0091494C" w:rsidRDefault="0091494C" w:rsidP="00761938">
            <w:r>
              <w:t>1218</w:t>
            </w:r>
          </w:p>
        </w:tc>
        <w:tc>
          <w:tcPr>
            <w:tcW w:w="2337" w:type="dxa"/>
          </w:tcPr>
          <w:p w:rsidR="0091494C" w:rsidRDefault="0091494C" w:rsidP="00761938">
            <w:r>
              <w:t>869</w:t>
            </w:r>
          </w:p>
        </w:tc>
        <w:tc>
          <w:tcPr>
            <w:tcW w:w="2338" w:type="dxa"/>
          </w:tcPr>
          <w:p w:rsidR="0091494C" w:rsidRDefault="0091494C" w:rsidP="00761938">
            <w:r>
              <w:t>2087</w:t>
            </w:r>
          </w:p>
        </w:tc>
      </w:tr>
    </w:tbl>
    <w:p w:rsidR="009C7F0B" w:rsidRDefault="009C7F0B" w:rsidP="009C7F0B"/>
    <w:p w:rsidR="009C7F0B" w:rsidRDefault="009C7F0B" w:rsidP="009C7F0B"/>
    <w:p w:rsidR="00AC0786" w:rsidRDefault="00AC0786" w:rsidP="00AC0786">
      <w:r>
        <w:lastRenderedPageBreak/>
        <w:t xml:space="preserve">Mean plant visits per hour. This is just the mean number of potential foraging bouts. ± the standard deviation. </w:t>
      </w:r>
    </w:p>
    <w:tbl>
      <w:tblPr>
        <w:tblStyle w:val="TableGrid"/>
        <w:tblW w:w="0" w:type="auto"/>
        <w:tblLook w:val="04A0" w:firstRow="1" w:lastRow="0" w:firstColumn="1" w:lastColumn="0" w:noHBand="0" w:noVBand="1"/>
      </w:tblPr>
      <w:tblGrid>
        <w:gridCol w:w="3116"/>
        <w:gridCol w:w="3117"/>
        <w:gridCol w:w="3117"/>
      </w:tblGrid>
      <w:tr w:rsidR="00AC0786" w:rsidTr="00761938">
        <w:tc>
          <w:tcPr>
            <w:tcW w:w="3116" w:type="dxa"/>
          </w:tcPr>
          <w:p w:rsidR="00AC0786" w:rsidRDefault="00AC0786" w:rsidP="00761938"/>
        </w:tc>
        <w:tc>
          <w:tcPr>
            <w:tcW w:w="3117" w:type="dxa"/>
          </w:tcPr>
          <w:p w:rsidR="00AC0786" w:rsidRDefault="00AC0786" w:rsidP="00761938">
            <w:r>
              <w:t>Open</w:t>
            </w:r>
          </w:p>
        </w:tc>
        <w:tc>
          <w:tcPr>
            <w:tcW w:w="3117" w:type="dxa"/>
          </w:tcPr>
          <w:p w:rsidR="00AC0786" w:rsidRDefault="00AC0786" w:rsidP="00761938">
            <w:r>
              <w:t>Shrub</w:t>
            </w:r>
          </w:p>
        </w:tc>
      </w:tr>
      <w:tr w:rsidR="00AC0786" w:rsidTr="00761938">
        <w:tc>
          <w:tcPr>
            <w:tcW w:w="3116" w:type="dxa"/>
          </w:tcPr>
          <w:p w:rsidR="00AC0786" w:rsidRDefault="00AC0786" w:rsidP="00761938">
            <w:r>
              <w:t>Pre-blooming</w:t>
            </w:r>
          </w:p>
        </w:tc>
        <w:tc>
          <w:tcPr>
            <w:tcW w:w="3117" w:type="dxa"/>
          </w:tcPr>
          <w:p w:rsidR="00AC0786" w:rsidRDefault="00AC0786" w:rsidP="00761938">
            <w:r w:rsidRPr="000C15B1">
              <w:t>4.2955249</w:t>
            </w:r>
            <w:r>
              <w:t xml:space="preserve"> ± </w:t>
            </w:r>
            <w:r w:rsidRPr="006024B6">
              <w:t>4.621614</w:t>
            </w:r>
          </w:p>
        </w:tc>
        <w:tc>
          <w:tcPr>
            <w:tcW w:w="3117" w:type="dxa"/>
          </w:tcPr>
          <w:p w:rsidR="00AC0786" w:rsidRDefault="00AC0786" w:rsidP="00761938">
            <w:r w:rsidRPr="000C15B1">
              <w:t>2.9976793</w:t>
            </w:r>
            <w:r>
              <w:t xml:space="preserve"> ± </w:t>
            </w:r>
            <w:r w:rsidRPr="006024B6">
              <w:t>3.134733</w:t>
            </w:r>
          </w:p>
        </w:tc>
      </w:tr>
      <w:tr w:rsidR="00AC0786" w:rsidTr="00761938">
        <w:tc>
          <w:tcPr>
            <w:tcW w:w="3116" w:type="dxa"/>
          </w:tcPr>
          <w:p w:rsidR="00AC0786" w:rsidRDefault="00AC0786" w:rsidP="00761938">
            <w:r>
              <w:t>Blooming</w:t>
            </w:r>
          </w:p>
        </w:tc>
        <w:tc>
          <w:tcPr>
            <w:tcW w:w="3117" w:type="dxa"/>
          </w:tcPr>
          <w:p w:rsidR="00AC0786" w:rsidRDefault="00AC0786" w:rsidP="00761938">
            <w:r w:rsidRPr="000C15B1">
              <w:t>1.2526164</w:t>
            </w:r>
            <w:r>
              <w:t xml:space="preserve"> ± </w:t>
            </w:r>
            <w:r w:rsidRPr="0067289D">
              <w:t>1.376179</w:t>
            </w:r>
          </w:p>
        </w:tc>
        <w:tc>
          <w:tcPr>
            <w:tcW w:w="3117" w:type="dxa"/>
          </w:tcPr>
          <w:p w:rsidR="00AC0786" w:rsidRDefault="00AC0786" w:rsidP="00761938">
            <w:r w:rsidRPr="000C15B1">
              <w:t>0.9458532</w:t>
            </w:r>
            <w:r>
              <w:t xml:space="preserve"> ± </w:t>
            </w:r>
            <w:r w:rsidRPr="006024B6">
              <w:t>1.271302</w:t>
            </w:r>
          </w:p>
        </w:tc>
      </w:tr>
    </w:tbl>
    <w:p w:rsidR="00AC0786" w:rsidRDefault="00AC0786" w:rsidP="00AC0786"/>
    <w:p w:rsidR="00AC0786" w:rsidRDefault="00AC0786" w:rsidP="00AC0786">
      <w:r>
        <w:t xml:space="preserve">Mean number of flowers visited per hour. ± standard deviation. </w:t>
      </w:r>
    </w:p>
    <w:tbl>
      <w:tblPr>
        <w:tblStyle w:val="TableGrid"/>
        <w:tblW w:w="0" w:type="auto"/>
        <w:tblLook w:val="04A0" w:firstRow="1" w:lastRow="0" w:firstColumn="1" w:lastColumn="0" w:noHBand="0" w:noVBand="1"/>
      </w:tblPr>
      <w:tblGrid>
        <w:gridCol w:w="3116"/>
        <w:gridCol w:w="3117"/>
        <w:gridCol w:w="3117"/>
      </w:tblGrid>
      <w:tr w:rsidR="00AC0786" w:rsidTr="00761938">
        <w:tc>
          <w:tcPr>
            <w:tcW w:w="3116" w:type="dxa"/>
          </w:tcPr>
          <w:p w:rsidR="00AC0786" w:rsidRDefault="00AC0786" w:rsidP="00761938"/>
        </w:tc>
        <w:tc>
          <w:tcPr>
            <w:tcW w:w="3117" w:type="dxa"/>
          </w:tcPr>
          <w:p w:rsidR="00AC0786" w:rsidRDefault="00AC0786" w:rsidP="00761938">
            <w:r>
              <w:t>Open</w:t>
            </w:r>
          </w:p>
        </w:tc>
        <w:tc>
          <w:tcPr>
            <w:tcW w:w="3117" w:type="dxa"/>
          </w:tcPr>
          <w:p w:rsidR="00AC0786" w:rsidRDefault="00AC0786" w:rsidP="00761938">
            <w:r>
              <w:t>Shrub</w:t>
            </w:r>
          </w:p>
        </w:tc>
      </w:tr>
      <w:tr w:rsidR="00AC0786" w:rsidTr="00761938">
        <w:tc>
          <w:tcPr>
            <w:tcW w:w="3116" w:type="dxa"/>
          </w:tcPr>
          <w:p w:rsidR="00AC0786" w:rsidRDefault="00AC0786" w:rsidP="00761938">
            <w:r>
              <w:t>Pre-blooming</w:t>
            </w:r>
          </w:p>
        </w:tc>
        <w:tc>
          <w:tcPr>
            <w:tcW w:w="3117" w:type="dxa"/>
          </w:tcPr>
          <w:p w:rsidR="00AC0786" w:rsidRDefault="00AC0786" w:rsidP="00761938">
            <w:r w:rsidRPr="00D14DCE">
              <w:t>5.758404</w:t>
            </w:r>
            <w:r>
              <w:t xml:space="preserve"> ± </w:t>
            </w:r>
            <w:r w:rsidRPr="00D14DCE">
              <w:t>7.547992</w:t>
            </w:r>
          </w:p>
        </w:tc>
        <w:tc>
          <w:tcPr>
            <w:tcW w:w="3117" w:type="dxa"/>
          </w:tcPr>
          <w:p w:rsidR="00AC0786" w:rsidRDefault="00AC0786" w:rsidP="00761938">
            <w:r w:rsidRPr="00D14DCE">
              <w:t>3.776575</w:t>
            </w:r>
            <w:r>
              <w:t xml:space="preserve"> ± </w:t>
            </w:r>
            <w:r w:rsidRPr="00D14DCE">
              <w:t>4.742340</w:t>
            </w:r>
          </w:p>
        </w:tc>
      </w:tr>
      <w:tr w:rsidR="00AC0786" w:rsidTr="00761938">
        <w:tc>
          <w:tcPr>
            <w:tcW w:w="3116" w:type="dxa"/>
          </w:tcPr>
          <w:p w:rsidR="00AC0786" w:rsidRDefault="00AC0786" w:rsidP="00761938">
            <w:r>
              <w:t>Blooming</w:t>
            </w:r>
          </w:p>
        </w:tc>
        <w:tc>
          <w:tcPr>
            <w:tcW w:w="3117" w:type="dxa"/>
          </w:tcPr>
          <w:p w:rsidR="00AC0786" w:rsidRDefault="00AC0786" w:rsidP="00761938">
            <w:r w:rsidRPr="00D14DCE">
              <w:t>1.722185</w:t>
            </w:r>
            <w:r>
              <w:t xml:space="preserve"> ± </w:t>
            </w:r>
            <w:r w:rsidRPr="00D14DCE">
              <w:t>2.218946</w:t>
            </w:r>
          </w:p>
        </w:tc>
        <w:tc>
          <w:tcPr>
            <w:tcW w:w="3117" w:type="dxa"/>
          </w:tcPr>
          <w:p w:rsidR="00AC0786" w:rsidRDefault="00AC0786" w:rsidP="00761938">
            <w:r w:rsidRPr="00D14DCE">
              <w:t>1.268643</w:t>
            </w:r>
            <w:r>
              <w:t xml:space="preserve"> ± </w:t>
            </w:r>
            <w:r w:rsidRPr="00D14DCE">
              <w:t>2.047149</w:t>
            </w:r>
          </w:p>
        </w:tc>
      </w:tr>
    </w:tbl>
    <w:p w:rsidR="00AC0786" w:rsidRDefault="00AC0786" w:rsidP="00AC0786"/>
    <w:p w:rsidR="009C7F0B" w:rsidRDefault="009C7F0B" w:rsidP="009C7F0B"/>
    <w:p w:rsidR="009C7F0B" w:rsidRDefault="009C7F0B" w:rsidP="009C7F0B"/>
    <w:p w:rsidR="009C7F0B" w:rsidRDefault="009C7F0B" w:rsidP="009C7F0B"/>
    <w:p w:rsidR="009C7F0B" w:rsidRDefault="009C7F0B" w:rsidP="009C7F0B"/>
    <w:p w:rsidR="009C7F0B" w:rsidRDefault="009C7F0B" w:rsidP="009C7F0B"/>
    <w:p w:rsidR="009C7F0B" w:rsidRDefault="009C7F0B" w:rsidP="009C7F0B"/>
    <w:p w:rsidR="009C7F0B" w:rsidRDefault="009C7F0B" w:rsidP="009C7F0B"/>
    <w:p w:rsidR="009C7F0B" w:rsidRDefault="009C7F0B" w:rsidP="009C7F0B"/>
    <w:p w:rsidR="009C7F0B" w:rsidRDefault="009C7F0B" w:rsidP="009C7F0B"/>
    <w:p w:rsidR="009C7F0B" w:rsidRDefault="009C7F0B" w:rsidP="009C7F0B"/>
    <w:p w:rsidR="009C7F0B" w:rsidRDefault="009C7F0B" w:rsidP="009C7F0B"/>
    <w:p w:rsidR="009C7F0B" w:rsidRDefault="009C7F0B" w:rsidP="009C7F0B">
      <w:r>
        <w:t>Supplemental Data</w:t>
      </w:r>
    </w:p>
    <w:p w:rsidR="009C7F0B" w:rsidRPr="00BF7120" w:rsidRDefault="009C7F0B" w:rsidP="009C7F0B">
      <w:pPr>
        <w:pStyle w:val="ListParagraph"/>
        <w:numPr>
          <w:ilvl w:val="0"/>
          <w:numId w:val="2"/>
        </w:numPr>
      </w:pPr>
      <w:r>
        <w:t>All camera stuff with all visitors included, along with model outputs</w:t>
      </w:r>
    </w:p>
    <w:sectPr w:rsidR="009C7F0B" w:rsidRPr="00BF71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7167F8"/>
    <w:multiLevelType w:val="hybridMultilevel"/>
    <w:tmpl w:val="93F6C020"/>
    <w:lvl w:ilvl="0" w:tplc="5F6E937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0E761C"/>
    <w:multiLevelType w:val="hybridMultilevel"/>
    <w:tmpl w:val="27961F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D2E"/>
    <w:rsid w:val="00002E67"/>
    <w:rsid w:val="000043FA"/>
    <w:rsid w:val="000127C0"/>
    <w:rsid w:val="00013ED2"/>
    <w:rsid w:val="0001769C"/>
    <w:rsid w:val="00032F51"/>
    <w:rsid w:val="0004122F"/>
    <w:rsid w:val="000538E5"/>
    <w:rsid w:val="00092721"/>
    <w:rsid w:val="000A0F2F"/>
    <w:rsid w:val="000B3F99"/>
    <w:rsid w:val="000C14B2"/>
    <w:rsid w:val="000C15B1"/>
    <w:rsid w:val="000C4F48"/>
    <w:rsid w:val="000D1E96"/>
    <w:rsid w:val="000E1331"/>
    <w:rsid w:val="000E26F1"/>
    <w:rsid w:val="000E687C"/>
    <w:rsid w:val="00113395"/>
    <w:rsid w:val="00116B2E"/>
    <w:rsid w:val="00117EC0"/>
    <w:rsid w:val="001232CF"/>
    <w:rsid w:val="001339B7"/>
    <w:rsid w:val="00141A12"/>
    <w:rsid w:val="001432EE"/>
    <w:rsid w:val="00143451"/>
    <w:rsid w:val="0014622A"/>
    <w:rsid w:val="00165702"/>
    <w:rsid w:val="0017664E"/>
    <w:rsid w:val="0019001B"/>
    <w:rsid w:val="00195F74"/>
    <w:rsid w:val="001A1BB6"/>
    <w:rsid w:val="001A3BED"/>
    <w:rsid w:val="001B4908"/>
    <w:rsid w:val="001B755B"/>
    <w:rsid w:val="001F125D"/>
    <w:rsid w:val="002154B4"/>
    <w:rsid w:val="00216CE9"/>
    <w:rsid w:val="00220CE8"/>
    <w:rsid w:val="0022314A"/>
    <w:rsid w:val="002234E8"/>
    <w:rsid w:val="002535CD"/>
    <w:rsid w:val="0025390F"/>
    <w:rsid w:val="002545EC"/>
    <w:rsid w:val="002708B2"/>
    <w:rsid w:val="002738CC"/>
    <w:rsid w:val="00290046"/>
    <w:rsid w:val="00295346"/>
    <w:rsid w:val="002A0025"/>
    <w:rsid w:val="002B09EE"/>
    <w:rsid w:val="002B36A1"/>
    <w:rsid w:val="002B43C8"/>
    <w:rsid w:val="002C048A"/>
    <w:rsid w:val="002D2F30"/>
    <w:rsid w:val="002F5481"/>
    <w:rsid w:val="002F7980"/>
    <w:rsid w:val="00314984"/>
    <w:rsid w:val="00314C86"/>
    <w:rsid w:val="003158EA"/>
    <w:rsid w:val="003333D9"/>
    <w:rsid w:val="0035192F"/>
    <w:rsid w:val="00356BDB"/>
    <w:rsid w:val="00383159"/>
    <w:rsid w:val="003A44D0"/>
    <w:rsid w:val="003B6FAC"/>
    <w:rsid w:val="003B7688"/>
    <w:rsid w:val="003D178A"/>
    <w:rsid w:val="003E4152"/>
    <w:rsid w:val="003E48AD"/>
    <w:rsid w:val="003F467B"/>
    <w:rsid w:val="00417A15"/>
    <w:rsid w:val="0042771C"/>
    <w:rsid w:val="004412BC"/>
    <w:rsid w:val="00443C1E"/>
    <w:rsid w:val="00452809"/>
    <w:rsid w:val="0045549B"/>
    <w:rsid w:val="00456B56"/>
    <w:rsid w:val="00474223"/>
    <w:rsid w:val="00484D8B"/>
    <w:rsid w:val="00492406"/>
    <w:rsid w:val="00494431"/>
    <w:rsid w:val="004B323F"/>
    <w:rsid w:val="004C6BBA"/>
    <w:rsid w:val="004D17FD"/>
    <w:rsid w:val="004D279E"/>
    <w:rsid w:val="004E76B2"/>
    <w:rsid w:val="004F0679"/>
    <w:rsid w:val="004F660B"/>
    <w:rsid w:val="004F6798"/>
    <w:rsid w:val="00510574"/>
    <w:rsid w:val="00510EFE"/>
    <w:rsid w:val="00523122"/>
    <w:rsid w:val="005425B8"/>
    <w:rsid w:val="00563FE2"/>
    <w:rsid w:val="00573E0F"/>
    <w:rsid w:val="00576C94"/>
    <w:rsid w:val="00576D0F"/>
    <w:rsid w:val="005A19FE"/>
    <w:rsid w:val="005A3B82"/>
    <w:rsid w:val="005E23FD"/>
    <w:rsid w:val="005E6218"/>
    <w:rsid w:val="00600C7B"/>
    <w:rsid w:val="006024B6"/>
    <w:rsid w:val="00614FD3"/>
    <w:rsid w:val="006406F4"/>
    <w:rsid w:val="0066022C"/>
    <w:rsid w:val="00661853"/>
    <w:rsid w:val="0067289D"/>
    <w:rsid w:val="0068265E"/>
    <w:rsid w:val="006861EF"/>
    <w:rsid w:val="006A05E4"/>
    <w:rsid w:val="006A47D7"/>
    <w:rsid w:val="006E7326"/>
    <w:rsid w:val="00702B5D"/>
    <w:rsid w:val="00717F8F"/>
    <w:rsid w:val="00730D6E"/>
    <w:rsid w:val="007569BC"/>
    <w:rsid w:val="007638E6"/>
    <w:rsid w:val="00767ADD"/>
    <w:rsid w:val="00793AA4"/>
    <w:rsid w:val="007A3489"/>
    <w:rsid w:val="007B2119"/>
    <w:rsid w:val="007D5C50"/>
    <w:rsid w:val="007F05D1"/>
    <w:rsid w:val="007F7498"/>
    <w:rsid w:val="00811EBB"/>
    <w:rsid w:val="00813388"/>
    <w:rsid w:val="00840A9B"/>
    <w:rsid w:val="00844B3D"/>
    <w:rsid w:val="00854894"/>
    <w:rsid w:val="00890E72"/>
    <w:rsid w:val="0089305F"/>
    <w:rsid w:val="008A7BDF"/>
    <w:rsid w:val="008B5642"/>
    <w:rsid w:val="008C52D8"/>
    <w:rsid w:val="008F4F7B"/>
    <w:rsid w:val="00912AD9"/>
    <w:rsid w:val="00913C25"/>
    <w:rsid w:val="0091494C"/>
    <w:rsid w:val="009156E1"/>
    <w:rsid w:val="00917019"/>
    <w:rsid w:val="00932334"/>
    <w:rsid w:val="009325D3"/>
    <w:rsid w:val="0095619A"/>
    <w:rsid w:val="00966C92"/>
    <w:rsid w:val="00971283"/>
    <w:rsid w:val="00987284"/>
    <w:rsid w:val="009A2A14"/>
    <w:rsid w:val="009A5626"/>
    <w:rsid w:val="009B4254"/>
    <w:rsid w:val="009C7F0B"/>
    <w:rsid w:val="009E1E49"/>
    <w:rsid w:val="009E3250"/>
    <w:rsid w:val="009E6870"/>
    <w:rsid w:val="009E7343"/>
    <w:rsid w:val="00A02089"/>
    <w:rsid w:val="00A4263F"/>
    <w:rsid w:val="00A440C6"/>
    <w:rsid w:val="00A4680D"/>
    <w:rsid w:val="00A57371"/>
    <w:rsid w:val="00A658D8"/>
    <w:rsid w:val="00A67B5A"/>
    <w:rsid w:val="00A709B4"/>
    <w:rsid w:val="00A70C6C"/>
    <w:rsid w:val="00A84B2A"/>
    <w:rsid w:val="00A92A44"/>
    <w:rsid w:val="00AB7897"/>
    <w:rsid w:val="00AC0786"/>
    <w:rsid w:val="00AC2E2E"/>
    <w:rsid w:val="00AC7E44"/>
    <w:rsid w:val="00AD673C"/>
    <w:rsid w:val="00AD778C"/>
    <w:rsid w:val="00AE2B73"/>
    <w:rsid w:val="00AE2C97"/>
    <w:rsid w:val="00AE3D2D"/>
    <w:rsid w:val="00AE7363"/>
    <w:rsid w:val="00AF1310"/>
    <w:rsid w:val="00AF2663"/>
    <w:rsid w:val="00AF5EFC"/>
    <w:rsid w:val="00B11EC9"/>
    <w:rsid w:val="00B157A8"/>
    <w:rsid w:val="00B21612"/>
    <w:rsid w:val="00B4473E"/>
    <w:rsid w:val="00B5381F"/>
    <w:rsid w:val="00B56180"/>
    <w:rsid w:val="00B64F61"/>
    <w:rsid w:val="00B72444"/>
    <w:rsid w:val="00B84F32"/>
    <w:rsid w:val="00B90697"/>
    <w:rsid w:val="00BA7B1C"/>
    <w:rsid w:val="00BC3132"/>
    <w:rsid w:val="00BC7C76"/>
    <w:rsid w:val="00BE36F8"/>
    <w:rsid w:val="00BF7120"/>
    <w:rsid w:val="00C205E9"/>
    <w:rsid w:val="00C210D3"/>
    <w:rsid w:val="00C35BCC"/>
    <w:rsid w:val="00C71081"/>
    <w:rsid w:val="00C85D5D"/>
    <w:rsid w:val="00CA405C"/>
    <w:rsid w:val="00CB4121"/>
    <w:rsid w:val="00CC26BA"/>
    <w:rsid w:val="00CC717B"/>
    <w:rsid w:val="00CD495C"/>
    <w:rsid w:val="00CD6DB6"/>
    <w:rsid w:val="00CD7187"/>
    <w:rsid w:val="00CF233D"/>
    <w:rsid w:val="00CF276A"/>
    <w:rsid w:val="00CF3634"/>
    <w:rsid w:val="00D14DCE"/>
    <w:rsid w:val="00D25D79"/>
    <w:rsid w:val="00D32967"/>
    <w:rsid w:val="00D55D2E"/>
    <w:rsid w:val="00D649B9"/>
    <w:rsid w:val="00D923CA"/>
    <w:rsid w:val="00D945BD"/>
    <w:rsid w:val="00DA3280"/>
    <w:rsid w:val="00DB59BA"/>
    <w:rsid w:val="00DC7D41"/>
    <w:rsid w:val="00DE6AA7"/>
    <w:rsid w:val="00E164F4"/>
    <w:rsid w:val="00E20E21"/>
    <w:rsid w:val="00E3586A"/>
    <w:rsid w:val="00E35A55"/>
    <w:rsid w:val="00E8548A"/>
    <w:rsid w:val="00EA0303"/>
    <w:rsid w:val="00EA32DC"/>
    <w:rsid w:val="00EC4D44"/>
    <w:rsid w:val="00EF6759"/>
    <w:rsid w:val="00F11A38"/>
    <w:rsid w:val="00F22098"/>
    <w:rsid w:val="00F32D70"/>
    <w:rsid w:val="00F3485C"/>
    <w:rsid w:val="00F35F6E"/>
    <w:rsid w:val="00F60018"/>
    <w:rsid w:val="00F80C56"/>
    <w:rsid w:val="00F83A3A"/>
    <w:rsid w:val="00F861C6"/>
    <w:rsid w:val="00FA369A"/>
    <w:rsid w:val="00FA7075"/>
    <w:rsid w:val="00FC08A1"/>
    <w:rsid w:val="00FC0E1C"/>
    <w:rsid w:val="00FC45CF"/>
    <w:rsid w:val="00FD46DB"/>
    <w:rsid w:val="00FE13A9"/>
    <w:rsid w:val="00FE799E"/>
    <w:rsid w:val="00FF3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340AC"/>
  <w15:chartTrackingRefBased/>
  <w15:docId w15:val="{B7B6C054-1920-473E-9BF1-7C2A209FD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5A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2E2E"/>
    <w:pPr>
      <w:ind w:left="720"/>
      <w:contextualSpacing/>
    </w:pPr>
  </w:style>
  <w:style w:type="paragraph" w:styleId="HTMLPreformatted">
    <w:name w:val="HTML Preformatted"/>
    <w:basedOn w:val="Normal"/>
    <w:link w:val="HTMLPreformattedChar"/>
    <w:uiPriority w:val="99"/>
    <w:unhideWhenUsed/>
    <w:rsid w:val="00B1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11EC9"/>
    <w:rPr>
      <w:rFonts w:ascii="Courier New" w:eastAsia="Times New Roman" w:hAnsi="Courier New" w:cs="Courier New"/>
      <w:sz w:val="20"/>
      <w:szCs w:val="20"/>
    </w:rPr>
  </w:style>
  <w:style w:type="character" w:customStyle="1" w:styleId="gnkrckgcgsb">
    <w:name w:val="gnkrckgcgsb"/>
    <w:basedOn w:val="DefaultParagraphFont"/>
    <w:rsid w:val="00B11EC9"/>
  </w:style>
  <w:style w:type="character" w:styleId="Hyperlink">
    <w:name w:val="Hyperlink"/>
    <w:basedOn w:val="DefaultParagraphFont"/>
    <w:uiPriority w:val="99"/>
    <w:semiHidden/>
    <w:unhideWhenUsed/>
    <w:rsid w:val="00F861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3081">
      <w:bodyDiv w:val="1"/>
      <w:marLeft w:val="0"/>
      <w:marRight w:val="0"/>
      <w:marTop w:val="0"/>
      <w:marBottom w:val="0"/>
      <w:divBdr>
        <w:top w:val="none" w:sz="0" w:space="0" w:color="auto"/>
        <w:left w:val="none" w:sz="0" w:space="0" w:color="auto"/>
        <w:bottom w:val="none" w:sz="0" w:space="0" w:color="auto"/>
        <w:right w:val="none" w:sz="0" w:space="0" w:color="auto"/>
      </w:divBdr>
    </w:div>
    <w:div w:id="143739701">
      <w:bodyDiv w:val="1"/>
      <w:marLeft w:val="0"/>
      <w:marRight w:val="0"/>
      <w:marTop w:val="0"/>
      <w:marBottom w:val="0"/>
      <w:divBdr>
        <w:top w:val="none" w:sz="0" w:space="0" w:color="auto"/>
        <w:left w:val="none" w:sz="0" w:space="0" w:color="auto"/>
        <w:bottom w:val="none" w:sz="0" w:space="0" w:color="auto"/>
        <w:right w:val="none" w:sz="0" w:space="0" w:color="auto"/>
      </w:divBdr>
    </w:div>
    <w:div w:id="387344396">
      <w:bodyDiv w:val="1"/>
      <w:marLeft w:val="0"/>
      <w:marRight w:val="0"/>
      <w:marTop w:val="0"/>
      <w:marBottom w:val="0"/>
      <w:divBdr>
        <w:top w:val="none" w:sz="0" w:space="0" w:color="auto"/>
        <w:left w:val="none" w:sz="0" w:space="0" w:color="auto"/>
        <w:bottom w:val="none" w:sz="0" w:space="0" w:color="auto"/>
        <w:right w:val="none" w:sz="0" w:space="0" w:color="auto"/>
      </w:divBdr>
    </w:div>
    <w:div w:id="591282469">
      <w:bodyDiv w:val="1"/>
      <w:marLeft w:val="0"/>
      <w:marRight w:val="0"/>
      <w:marTop w:val="0"/>
      <w:marBottom w:val="0"/>
      <w:divBdr>
        <w:top w:val="none" w:sz="0" w:space="0" w:color="auto"/>
        <w:left w:val="none" w:sz="0" w:space="0" w:color="auto"/>
        <w:bottom w:val="none" w:sz="0" w:space="0" w:color="auto"/>
        <w:right w:val="none" w:sz="0" w:space="0" w:color="auto"/>
      </w:divBdr>
    </w:div>
    <w:div w:id="865295865">
      <w:bodyDiv w:val="1"/>
      <w:marLeft w:val="0"/>
      <w:marRight w:val="0"/>
      <w:marTop w:val="0"/>
      <w:marBottom w:val="0"/>
      <w:divBdr>
        <w:top w:val="none" w:sz="0" w:space="0" w:color="auto"/>
        <w:left w:val="none" w:sz="0" w:space="0" w:color="auto"/>
        <w:bottom w:val="none" w:sz="0" w:space="0" w:color="auto"/>
        <w:right w:val="none" w:sz="0" w:space="0" w:color="auto"/>
      </w:divBdr>
    </w:div>
    <w:div w:id="1009916741">
      <w:bodyDiv w:val="1"/>
      <w:marLeft w:val="0"/>
      <w:marRight w:val="0"/>
      <w:marTop w:val="0"/>
      <w:marBottom w:val="0"/>
      <w:divBdr>
        <w:top w:val="none" w:sz="0" w:space="0" w:color="auto"/>
        <w:left w:val="none" w:sz="0" w:space="0" w:color="auto"/>
        <w:bottom w:val="none" w:sz="0" w:space="0" w:color="auto"/>
        <w:right w:val="none" w:sz="0" w:space="0" w:color="auto"/>
      </w:divBdr>
    </w:div>
    <w:div w:id="1469009586">
      <w:bodyDiv w:val="1"/>
      <w:marLeft w:val="0"/>
      <w:marRight w:val="0"/>
      <w:marTop w:val="0"/>
      <w:marBottom w:val="0"/>
      <w:divBdr>
        <w:top w:val="none" w:sz="0" w:space="0" w:color="auto"/>
        <w:left w:val="none" w:sz="0" w:space="0" w:color="auto"/>
        <w:bottom w:val="none" w:sz="0" w:space="0" w:color="auto"/>
        <w:right w:val="none" w:sz="0" w:space="0" w:color="auto"/>
      </w:divBdr>
    </w:div>
    <w:div w:id="1517764497">
      <w:bodyDiv w:val="1"/>
      <w:marLeft w:val="0"/>
      <w:marRight w:val="0"/>
      <w:marTop w:val="0"/>
      <w:marBottom w:val="0"/>
      <w:divBdr>
        <w:top w:val="none" w:sz="0" w:space="0" w:color="auto"/>
        <w:left w:val="none" w:sz="0" w:space="0" w:color="auto"/>
        <w:bottom w:val="none" w:sz="0" w:space="0" w:color="auto"/>
        <w:right w:val="none" w:sz="0" w:space="0" w:color="auto"/>
      </w:divBdr>
    </w:div>
    <w:div w:id="1530795635">
      <w:bodyDiv w:val="1"/>
      <w:marLeft w:val="0"/>
      <w:marRight w:val="0"/>
      <w:marTop w:val="0"/>
      <w:marBottom w:val="0"/>
      <w:divBdr>
        <w:top w:val="none" w:sz="0" w:space="0" w:color="auto"/>
        <w:left w:val="none" w:sz="0" w:space="0" w:color="auto"/>
        <w:bottom w:val="none" w:sz="0" w:space="0" w:color="auto"/>
        <w:right w:val="none" w:sz="0" w:space="0" w:color="auto"/>
      </w:divBdr>
    </w:div>
    <w:div w:id="1559365382">
      <w:bodyDiv w:val="1"/>
      <w:marLeft w:val="0"/>
      <w:marRight w:val="0"/>
      <w:marTop w:val="0"/>
      <w:marBottom w:val="0"/>
      <w:divBdr>
        <w:top w:val="none" w:sz="0" w:space="0" w:color="auto"/>
        <w:left w:val="none" w:sz="0" w:space="0" w:color="auto"/>
        <w:bottom w:val="none" w:sz="0" w:space="0" w:color="auto"/>
        <w:right w:val="none" w:sz="0" w:space="0" w:color="auto"/>
      </w:divBdr>
    </w:div>
    <w:div w:id="1566454271">
      <w:bodyDiv w:val="1"/>
      <w:marLeft w:val="0"/>
      <w:marRight w:val="0"/>
      <w:marTop w:val="0"/>
      <w:marBottom w:val="0"/>
      <w:divBdr>
        <w:top w:val="none" w:sz="0" w:space="0" w:color="auto"/>
        <w:left w:val="none" w:sz="0" w:space="0" w:color="auto"/>
        <w:bottom w:val="none" w:sz="0" w:space="0" w:color="auto"/>
        <w:right w:val="none" w:sz="0" w:space="0" w:color="auto"/>
      </w:divBdr>
    </w:div>
    <w:div w:id="1589077289">
      <w:bodyDiv w:val="1"/>
      <w:marLeft w:val="0"/>
      <w:marRight w:val="0"/>
      <w:marTop w:val="0"/>
      <w:marBottom w:val="0"/>
      <w:divBdr>
        <w:top w:val="none" w:sz="0" w:space="0" w:color="auto"/>
        <w:left w:val="none" w:sz="0" w:space="0" w:color="auto"/>
        <w:bottom w:val="none" w:sz="0" w:space="0" w:color="auto"/>
        <w:right w:val="none" w:sz="0" w:space="0" w:color="auto"/>
      </w:divBdr>
    </w:div>
    <w:div w:id="1623733936">
      <w:bodyDiv w:val="1"/>
      <w:marLeft w:val="0"/>
      <w:marRight w:val="0"/>
      <w:marTop w:val="0"/>
      <w:marBottom w:val="0"/>
      <w:divBdr>
        <w:top w:val="none" w:sz="0" w:space="0" w:color="auto"/>
        <w:left w:val="none" w:sz="0" w:space="0" w:color="auto"/>
        <w:bottom w:val="none" w:sz="0" w:space="0" w:color="auto"/>
        <w:right w:val="none" w:sz="0" w:space="0" w:color="auto"/>
      </w:divBdr>
    </w:div>
    <w:div w:id="1779133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ournals.plos.org/plosone/article?id=10.1371/journal.pone.0037223" TargetMode="External"/><Relationship Id="rId5" Type="http://schemas.openxmlformats.org/officeDocument/2006/relationships/hyperlink" Target="http://www.wrcc.dri.edu/ucn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1877</TotalTime>
  <Pages>9</Pages>
  <Words>3279</Words>
  <Characters>18694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244</cp:revision>
  <dcterms:created xsi:type="dcterms:W3CDTF">2018-02-28T22:36:00Z</dcterms:created>
  <dcterms:modified xsi:type="dcterms:W3CDTF">2018-06-21T18:30:00Z</dcterms:modified>
</cp:coreProperties>
</file>