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047" w:rsidRPr="00D8098E" w:rsidRDefault="001B5047" w:rsidP="001B5047">
      <w:pPr>
        <w:rPr>
          <w:i/>
          <w:sz w:val="28"/>
          <w:szCs w:val="28"/>
        </w:rPr>
      </w:pPr>
      <w:r w:rsidRPr="00D8098E">
        <w:rPr>
          <w:sz w:val="28"/>
          <w:szCs w:val="28"/>
        </w:rPr>
        <w:t xml:space="preserve">Ground-dwelling arthropods associated with </w:t>
      </w:r>
      <w:r w:rsidRPr="00D8098E">
        <w:rPr>
          <w:i/>
          <w:sz w:val="28"/>
          <w:szCs w:val="28"/>
        </w:rPr>
        <w:t>Ephedra californica</w:t>
      </w:r>
    </w:p>
    <w:p w:rsidR="00A71ED3" w:rsidRDefault="00A71ED3" w:rsidP="001B5047"/>
    <w:p w:rsidR="00D8098E" w:rsidRDefault="00D8098E" w:rsidP="001B5047"/>
    <w:p w:rsidR="00D8098E" w:rsidRDefault="00D8098E" w:rsidP="001B5047"/>
    <w:p w:rsidR="00D8098E" w:rsidRDefault="00D8098E" w:rsidP="001B5047"/>
    <w:p w:rsidR="00D8098E" w:rsidRDefault="00D8098E" w:rsidP="001B5047"/>
    <w:p w:rsidR="00A71ED3" w:rsidRPr="00223263" w:rsidRDefault="00A71ED3" w:rsidP="001B5047">
      <w:pPr>
        <w:rPr>
          <w:vertAlign w:val="superscript"/>
        </w:rPr>
      </w:pPr>
      <w:r>
        <w:t>Braun, Jenna</w:t>
      </w:r>
      <w:r w:rsidR="00223263">
        <w:rPr>
          <w:vertAlign w:val="superscript"/>
        </w:rPr>
        <w:t>a,</w:t>
      </w:r>
      <w:r>
        <w:t>*; Westphal, Mike</w:t>
      </w:r>
      <w:r w:rsidR="00223263">
        <w:rPr>
          <w:vertAlign w:val="superscript"/>
        </w:rPr>
        <w:t>b</w:t>
      </w:r>
      <w:r>
        <w:t>; and Lortie, Christopher J.</w:t>
      </w:r>
      <w:r w:rsidR="00223263">
        <w:rPr>
          <w:vertAlign w:val="superscript"/>
        </w:rPr>
        <w:t>a,c</w:t>
      </w:r>
    </w:p>
    <w:p w:rsidR="001B5047" w:rsidRDefault="00A71ED3" w:rsidP="00A71ED3">
      <w:r>
        <w:rPr>
          <w:b/>
        </w:rPr>
        <w:t>*</w:t>
      </w:r>
      <w:r>
        <w:t>Corresponding author</w:t>
      </w:r>
    </w:p>
    <w:p w:rsidR="00223263" w:rsidRDefault="00223263" w:rsidP="00A71ED3">
      <w:r>
        <w:t>a)</w:t>
      </w:r>
      <w:r w:rsidR="00A71ED3">
        <w:t xml:space="preserve"> Depart</w:t>
      </w:r>
      <w:r>
        <w:t>ment of Biology, York University, 4700 Keele St. Toronto, ON. Canada</w:t>
      </w:r>
    </w:p>
    <w:p w:rsidR="00223263" w:rsidRDefault="00223263" w:rsidP="00A71ED3">
      <w:r>
        <w:t>braunj@yorku.ca</w:t>
      </w:r>
    </w:p>
    <w:p w:rsidR="00A71ED3" w:rsidRDefault="00223263" w:rsidP="00A35ABC">
      <w:r>
        <w:t>b)</w:t>
      </w:r>
      <w:r w:rsidR="00A71ED3">
        <w:t xml:space="preserve"> </w:t>
      </w:r>
      <w:r w:rsidR="00A35ABC">
        <w:t>Bureau of Land Management, Central Coast Field Office, 940 2nd Avenue, Marina, CA 93933, USA</w:t>
      </w:r>
    </w:p>
    <w:p w:rsidR="00A71ED3" w:rsidRPr="00A71ED3" w:rsidRDefault="00223263" w:rsidP="00A71ED3">
      <w:r>
        <w:t>c)</w:t>
      </w:r>
      <w:r w:rsidR="00A71ED3">
        <w:t xml:space="preserve"> NCEAS</w:t>
      </w: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D8098E" w:rsidRDefault="00D8098E" w:rsidP="007F3247">
      <w:pPr>
        <w:rPr>
          <w:b/>
        </w:rPr>
      </w:pPr>
    </w:p>
    <w:p w:rsidR="007F3247" w:rsidRPr="007F3247" w:rsidRDefault="007F3247" w:rsidP="007F3247">
      <w:pPr>
        <w:rPr>
          <w:b/>
        </w:rPr>
      </w:pPr>
      <w:r w:rsidRPr="007F3247">
        <w:rPr>
          <w:b/>
        </w:rPr>
        <w:t>ABSTRACT</w:t>
      </w:r>
    </w:p>
    <w:p w:rsidR="0091785A" w:rsidRDefault="0091785A" w:rsidP="007F3247">
      <w:pPr>
        <w:rPr>
          <w:b/>
        </w:rPr>
      </w:pPr>
    </w:p>
    <w:p w:rsidR="0091785A" w:rsidRDefault="00223263" w:rsidP="007F3247">
      <w:r>
        <w:t>Max 300 words</w:t>
      </w:r>
    </w:p>
    <w:p w:rsidR="00223263" w:rsidRDefault="00223263" w:rsidP="007F3247">
      <w:r>
        <w:rPr>
          <w:b/>
        </w:rPr>
        <w:t>KEYWORDS</w:t>
      </w:r>
    </w:p>
    <w:p w:rsidR="00223263" w:rsidRPr="00223263" w:rsidRDefault="00223263" w:rsidP="007F3247">
      <w:r>
        <w:t>Facilitation; diversity; ephedra; residual dry matter; arthropod</w:t>
      </w: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223263" w:rsidRDefault="00223263" w:rsidP="007F3247">
      <w:pPr>
        <w:rPr>
          <w:b/>
        </w:rPr>
      </w:pPr>
    </w:p>
    <w:p w:rsidR="007F3247" w:rsidRPr="007F3247" w:rsidRDefault="007F3247" w:rsidP="00A634C7">
      <w:pPr>
        <w:spacing w:line="360" w:lineRule="auto"/>
        <w:rPr>
          <w:b/>
        </w:rPr>
      </w:pPr>
      <w:r w:rsidRPr="007F3247">
        <w:rPr>
          <w:b/>
        </w:rPr>
        <w:t>INTRODUCTION</w:t>
      </w:r>
    </w:p>
    <w:p w:rsidR="002706F2" w:rsidRDefault="002706F2" w:rsidP="00C12B97">
      <w:pPr>
        <w:spacing w:line="360" w:lineRule="auto"/>
      </w:pPr>
      <w:r>
        <w:t>Insect conservation and their importance to arid ecosystems</w:t>
      </w:r>
    </w:p>
    <w:p w:rsidR="007F3247" w:rsidRDefault="007F3247" w:rsidP="00A634C7">
      <w:pPr>
        <w:spacing w:line="360" w:lineRule="auto"/>
      </w:pPr>
      <w:r w:rsidRPr="007F3247">
        <w:t>Insect conservation is becoming increasingly important.</w:t>
      </w:r>
      <w:r w:rsidR="00793FF7">
        <w:t xml:space="preserve"> </w:t>
      </w:r>
      <w:r w:rsidR="00295F26">
        <w:t xml:space="preserve">Conservation concerns for arthropods… </w:t>
      </w:r>
      <w:r w:rsidR="00793FF7">
        <w:t xml:space="preserve">Further, arid ecosystems account for 41% </w:t>
      </w:r>
      <w:r w:rsidR="00111D4A">
        <w:t xml:space="preserve">and are one of the most sensitive in terms of global changes to biodiversity and vegetation shifts </w:t>
      </w:r>
      <w:r w:rsidR="00111D4A">
        <w:rPr>
          <w:rFonts w:ascii="AdvTT5235d5a9" w:hAnsi="AdvTT5235d5a9" w:cs="AdvTT5235d5a9"/>
          <w:color w:val="000000"/>
          <w:sz w:val="16"/>
          <w:szCs w:val="16"/>
        </w:rPr>
        <w:t>(</w:t>
      </w:r>
      <w:r w:rsidR="00111D4A">
        <w:rPr>
          <w:rFonts w:ascii="AdvTT5235d5a9" w:hAnsi="AdvTT5235d5a9" w:cs="AdvTT5235d5a9"/>
          <w:color w:val="0000FF"/>
          <w:sz w:val="16"/>
          <w:szCs w:val="16"/>
        </w:rPr>
        <w:t>Sala et al., 2000; Schroter et al., 2005</w:t>
      </w:r>
      <w:r w:rsidR="00111D4A">
        <w:rPr>
          <w:rFonts w:ascii="AdvTT5235d5a9" w:hAnsi="AdvTT5235d5a9" w:cs="AdvTT5235d5a9"/>
          <w:color w:val="000000"/>
          <w:sz w:val="16"/>
          <w:szCs w:val="16"/>
        </w:rPr>
        <w:t>).</w:t>
      </w:r>
      <w:r w:rsidR="00C12B97">
        <w:rPr>
          <w:rFonts w:ascii="AdvTT5235d5a9" w:hAnsi="AdvTT5235d5a9" w:cs="AdvTT5235d5a9"/>
          <w:color w:val="000000"/>
          <w:sz w:val="16"/>
          <w:szCs w:val="16"/>
        </w:rPr>
        <w:t xml:space="preserve"> </w:t>
      </w:r>
      <w:r w:rsidR="00C12B97">
        <w:t>In arid ecosystems, arthropods mediate resource flow and stru</w:t>
      </w:r>
      <w:r w:rsidR="009E153A">
        <w:t xml:space="preserve">cture the surrounding community, termite and ants in particular effect nearly all processes in arid ecosystems </w:t>
      </w:r>
      <w:r w:rsidR="009E153A">
        <w:fldChar w:fldCharType="begin"/>
      </w:r>
      <w:r w:rsidR="009E153A">
        <w:instrText xml:space="preserve"> ADDIN EN.CITE &lt;EndNote&gt;&lt;Cite&gt;&lt;Author&gt;Whitford&lt;/Author&gt;&lt;Year&gt;2000&lt;/Year&gt;&lt;RecNum&gt;435&lt;/RecNum&gt;&lt;DisplayText&gt;(Whitford 2000)&lt;/DisplayText&gt;&lt;record&gt;&lt;rec-number&gt;435&lt;/rec-number&gt;&lt;foreign-keys&gt;&lt;key app="EN" db-id="efxxxd2elfvxfde05eev9swq9zv0dswrxzp2"&gt;435&lt;/key&gt;&lt;/foreign-keys&gt;&lt;ref-type name="Journal Article"&gt;17&lt;/ref-type&gt;&lt;contributors&gt;&lt;authors&gt;&lt;author&gt;Whitford, Walter G&lt;/author&gt;&lt;/authors&gt;&lt;/contributors&gt;&lt;titles&gt;&lt;title&gt;Keystone arthropods as webmasters in desert ecosystems&lt;/title&gt;&lt;secondary-title&gt;Invertebrates as webmasters in ecosystems&lt;/secondary-title&gt;&lt;/titles&gt;&lt;periodical&gt;&lt;full-title&gt;Invertebrates as webmasters in ecosystems&lt;/full-title&gt;&lt;/periodical&gt;&lt;pages&gt;25-41&lt;/pages&gt;&lt;dates&gt;&lt;year&gt;2000&lt;/year&gt;&lt;/dates&gt;&lt;isbn&gt;085199394X&lt;/isbn&gt;&lt;urls&gt;&lt;/urls&gt;&lt;/record&gt;&lt;/Cite&gt;&lt;/EndNote&gt;</w:instrText>
      </w:r>
      <w:r w:rsidR="009E153A">
        <w:fldChar w:fldCharType="separate"/>
      </w:r>
      <w:r w:rsidR="009E153A">
        <w:rPr>
          <w:noProof/>
        </w:rPr>
        <w:t>(</w:t>
      </w:r>
      <w:hyperlink w:anchor="_ENREF_9" w:tooltip="Whitford, 2000 #435" w:history="1">
        <w:r w:rsidR="00B34BF9">
          <w:rPr>
            <w:noProof/>
          </w:rPr>
          <w:t>Whitford 2000</w:t>
        </w:r>
      </w:hyperlink>
      <w:r w:rsidR="009E153A">
        <w:rPr>
          <w:noProof/>
        </w:rPr>
        <w:t>)</w:t>
      </w:r>
      <w:r w:rsidR="009E153A">
        <w:fldChar w:fldCharType="end"/>
      </w:r>
      <w:r w:rsidR="009E153A">
        <w:t>.</w:t>
      </w:r>
      <w:r w:rsidR="001D395E">
        <w:t xml:space="preserve"> </w:t>
      </w:r>
      <w:r w:rsidR="00C12B97">
        <w:t xml:space="preserve">Ground-dwelling arthropods are important to arid ecosystems as they are critical components of food webs and nutrient cycles, as well as altering soil nutrient regimes (Lobry de Bruyn 1999). </w:t>
      </w:r>
      <w:r w:rsidR="00295F26">
        <w:t xml:space="preserve">Further, ground dwelling arthropods including Coleoptera and Orthoptera are the major component of the diet of Gambelia sila, the federally listed lizard (Germano, 2007). </w:t>
      </w:r>
      <w:r w:rsidR="00392913">
        <w:t xml:space="preserve">Therefore, insect conservation is of direct interest to land managers looking to manage and encourage species at risk. </w:t>
      </w:r>
      <w:r w:rsidR="002706F2">
        <w:t xml:space="preserve">Therefore insect community dynamics are of importance to managers looking to support biodiversity. </w:t>
      </w:r>
    </w:p>
    <w:p w:rsidR="00C52701" w:rsidRPr="007E0707" w:rsidRDefault="00D8098E" w:rsidP="00A634C7">
      <w:pPr>
        <w:spacing w:line="360" w:lineRule="auto"/>
      </w:pPr>
      <w:r>
        <w:t>Shrub facilitation</w:t>
      </w:r>
      <w:r w:rsidR="00844A10">
        <w:t xml:space="preserve"> for other plants</w:t>
      </w:r>
      <w:r>
        <w:t xml:space="preserve"> in arid ecosystems is </w:t>
      </w:r>
      <w:r w:rsidR="00844A10">
        <w:t xml:space="preserve">a </w:t>
      </w:r>
      <w:r>
        <w:t>well-established</w:t>
      </w:r>
      <w:r w:rsidR="00844A10">
        <w:t xml:space="preserve"> set of interactions </w:t>
      </w:r>
      <w:r w:rsidR="008D66AC">
        <w:t xml:space="preserve">that promotes biodiversity </w:t>
      </w:r>
      <w:r w:rsidR="008D66AC">
        <w:fldChar w:fldCharType="begin"/>
      </w:r>
      <w:r w:rsidR="008D66AC">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8D66AC">
        <w:fldChar w:fldCharType="separate"/>
      </w:r>
      <w:r w:rsidR="008D66AC">
        <w:rPr>
          <w:noProof/>
        </w:rPr>
        <w:t>(</w:t>
      </w:r>
      <w:hyperlink w:anchor="_ENREF_4" w:tooltip="Filazzola, 2014 #43" w:history="1">
        <w:r w:rsidR="00B34BF9">
          <w:rPr>
            <w:noProof/>
          </w:rPr>
          <w:t>Filazzola and Lortie 2014</w:t>
        </w:r>
      </w:hyperlink>
      <w:r w:rsidR="008D66AC">
        <w:rPr>
          <w:noProof/>
        </w:rPr>
        <w:t>)</w:t>
      </w:r>
      <w:r w:rsidR="008D66AC">
        <w:fldChar w:fldCharType="end"/>
      </w:r>
      <w:r w:rsidR="008D66AC">
        <w:t>. These interactions strongly structure plant communities</w:t>
      </w:r>
      <w:r w:rsidR="00C202A2">
        <w:t xml:space="preserve"> </w:t>
      </w:r>
      <w:r w:rsidR="00C202A2">
        <w:fldChar w:fldCharType="begin">
          <w:fldData xml:space="preserve">PEVuZE5vdGU+PENpdGU+PEF1dGhvcj5CZXJ0bmVzczwvQXV0aG9yPjxZZWFyPjE5OTQ8L1llYXI+
PFJlY051bT4xMjk8L1JlY051bT48RGlzcGxheVRleHQ+KEJlcnRuZXNzIGFuZCBDYWxsYXdheSAx
OTk0LCBDYWxsYXdheSAyMDA3LCBNYWVzdHJlLCBDYWxsYXdheSBldCBhbC4gMjAwOSk8L0Rpc3Bs
YXlUZXh0PjxyZWNvcmQ+PHJlYy1udW1iZXI+MTI5PC9yZWMtbnVtYmVyPjxmb3JlaWduLWtleXM+
PGtleSBhcHA9IkVOIiBkYi1pZD0iZWZ4eHhkMmVsZnZ4ZmRlMDVlZXY5c3dxOXp2MGRzd3J4enAy
Ij4xMjk8L2tleT48L2ZvcmVpZ24ta2V5cz48cmVmLXR5cGUgbmFtZT0iSm91cm5hbCBBcnRpY2xl
Ij4xNzwvcmVmLXR5cGU+PGNvbnRyaWJ1dG9ycz48YXV0aG9ycz48YXV0aG9yPkJlcnRuZXNzLCBN
YXJrIEQuPC9hdXRob3I+PGF1dGhvcj5DYWxsYXdheSwgUmFnYW48L2F1dGhvcj48L2F1dGhvcnM+
PC9jb250cmlidXRvcnM+PHRpdGxlcz48dGl0bGU+UG9zaXRpdmUgaW50ZXJhY3Rpb25zIGluIGNv
bW11bml0aWVzPC90aXRsZT48c2Vjb25kYXJ5LXRpdGxlPlRyZW5kcyBpbiBFY29sb2d5ICZhbXA7
IEV2b2x1dGlvbjwvc2Vjb25kYXJ5LXRpdGxlPjwvdGl0bGVzPjxwZXJpb2RpY2FsPjxmdWxsLXRp
dGxlPlRyZW5kcyBpbiBFY29sb2d5ICZhbXA7IEV2b2x1dGlvbjwvZnVsbC10aXRsZT48L3Blcmlv
ZGljYWw+PHBhZ2VzPjE5MS0xOTM8L3BhZ2VzPjx2b2x1bWU+OTwvdm9sdW1lPjxudW1iZXI+NTwv
bnVtYmVyPjxkYXRlcz48eWVhcj4xOTk0PC95ZWFyPjwvZGF0ZXM+PHVybHM+PC91cmxzPjwvcmVj
b3JkPjwvQ2l0ZT48Q2l0ZT48QXV0aG9yPkNhbGxhd2F5PC9BdXRob3I+PFllYXI+MjAwNzwvWWVh
cj48UmVjTnVtPjMwOTwvUmVjTnVtPjxyZWNvcmQ+PHJlYy1udW1iZXI+MzA5PC9yZWMtbnVtYmVy
Pjxmb3JlaWduLWtleXM+PGtleSBhcHA9IkVOIiBkYi1pZD0iZWZ4eHhkMmVsZnZ4ZmRlMDVlZXY5
c3dxOXp2MGRzd3J4enAyIj4zMDk8L2tleT48L2ZvcmVpZ24ta2V5cz48cmVmLXR5cGUgbmFtZT0i
Qm9vayI+NjwvcmVmLXR5cGU+PGNvbnRyaWJ1dG9ycz48YXV0aG9ycz48YXV0aG9yPkNhbGxhd2F5
LCBSYWdhbiBNPC9hdXRob3I+PC9hdXRob3JzPjwvY29udHJpYnV0b3JzPjx0aXRsZXM+PHRpdGxl
PlBvc2l0aXZlIGludGVyYWN0aW9ucyBhbmQgaW50ZXJkZXBlbmRlbmNlIGluIHBsYW50IGNvbW11
bml0aWVzPC90aXRsZT48L3RpdGxlcz48ZGF0ZXM+PHllYXI+MjAwNzwveWVhcj48L2RhdGVzPjxw
dWJsaXNoZXI+U3ByaW5nZXI8L3B1Ymxpc2hlcj48aXNibj4xNDAyMDYyMjQ5PC9pc2JuPjx1cmxz
PjwvdXJscz48L3JlY29yZD48L0NpdGU+PENpdGU+PEF1dGhvcj5NYWVzdHJlPC9BdXRob3I+PFll
YXI+MjAwOTwvWWVhcj48UmVjTnVtPjMxMTwvUmVjTnVtPjxyZWNvcmQ+PHJlYy1udW1iZXI+MzEx
PC9yZWMtbnVtYmVyPjxmb3JlaWduLWtleXM+PGtleSBhcHA9IkVOIiBkYi1pZD0iZWZ4eHhkMmVs
ZnZ4ZmRlMDVlZXY5c3dxOXp2MGRzd3J4enAyIj4zMTE8L2tleT48L2ZvcmVpZ24ta2V5cz48cmVm
LXR5cGUgbmFtZT0iSm91cm5hbCBBcnRpY2xlIj4xNzwvcmVmLXR5cGU+PGNvbnRyaWJ1dG9ycz48
YXV0aG9ycz48YXV0aG9yPk1hZXN0cmUsIEZlcm5hbmRvIFQ8L2F1dGhvcj48YXV0aG9yPkNhbGxh
d2F5LCBSYWdhbiBNPC9hdXRob3I+PGF1dGhvcj5WYWxsYWRhcmVzLCBGZXJuYW5kbzwvYXV0aG9y
PjxhdXRob3I+TG9ydGllLCBDaHJpc3RvcGhlciBKPC9hdXRob3I+PC9hdXRob3JzPjwvY29udHJp
YnV0b3JzPjx0aXRsZXM+PHRpdGxlPlJlZmluaW5nIHRoZSBzdHJlc3PigJBncmFkaWVudCBoeXBv
dGhlc2lzIGZvciBjb21wZXRpdGlvbiBhbmQgZmFjaWxpdGF0aW9uIGluIHBsYW50IGNvbW11bml0
aWVzPC90aXRsZT48c2Vjb25kYXJ5LXRpdGxlPkpvdXJuYWwgb2YgRWNvbG9neTwvc2Vjb25kYXJ5
LXRpdGxlPjwvdGl0bGVzPjxwZXJpb2RpY2FsPjxmdWxsLXRpdGxlPkpvdXJuYWwgb2YgRWNvbG9n
eTwvZnVsbC10aXRsZT48L3BlcmlvZGljYWw+PHBhZ2VzPjE5OS0yMDU8L3BhZ2VzPjx2b2x1bWU+
OTc8L3ZvbHVtZT48bnVtYmVyPjI8L251bWJlcj48ZGF0ZXM+PHllYXI+MjAwOTwveWVhcj48L2Rh
dGVzPjxpc2JuPjEzNjUtMjc0NTwvaXNibj48dXJscz48L3VybHM+PC9yZWNvcmQ+PC9DaXRlPjwv
RW5kTm90ZT5=
</w:fldData>
        </w:fldChar>
      </w:r>
      <w:r w:rsidR="00C202A2">
        <w:instrText xml:space="preserve"> ADDIN EN.CITE </w:instrText>
      </w:r>
      <w:r w:rsidR="00C202A2">
        <w:fldChar w:fldCharType="begin">
          <w:fldData xml:space="preserve">PEVuZE5vdGU+PENpdGU+PEF1dGhvcj5CZXJ0bmVzczwvQXV0aG9yPjxZZWFyPjE5OTQ8L1llYXI+
PFJlY051bT4xMjk8L1JlY051bT48RGlzcGxheVRleHQ+KEJlcnRuZXNzIGFuZCBDYWxsYXdheSAx
OTk0LCBDYWxsYXdheSAyMDA3LCBNYWVzdHJlLCBDYWxsYXdheSBldCBhbC4gMjAwOSk8L0Rpc3Bs
YXlUZXh0PjxyZWNvcmQ+PHJlYy1udW1iZXI+MTI5PC9yZWMtbnVtYmVyPjxmb3JlaWduLWtleXM+
PGtleSBhcHA9IkVOIiBkYi1pZD0iZWZ4eHhkMmVsZnZ4ZmRlMDVlZXY5c3dxOXp2MGRzd3J4enAy
Ij4xMjk8L2tleT48L2ZvcmVpZ24ta2V5cz48cmVmLXR5cGUgbmFtZT0iSm91cm5hbCBBcnRpY2xl
Ij4xNzwvcmVmLXR5cGU+PGNvbnRyaWJ1dG9ycz48YXV0aG9ycz48YXV0aG9yPkJlcnRuZXNzLCBN
YXJrIEQuPC9hdXRob3I+PGF1dGhvcj5DYWxsYXdheSwgUmFnYW48L2F1dGhvcj48L2F1dGhvcnM+
PC9jb250cmlidXRvcnM+PHRpdGxlcz48dGl0bGU+UG9zaXRpdmUgaW50ZXJhY3Rpb25zIGluIGNv
bW11bml0aWVzPC90aXRsZT48c2Vjb25kYXJ5LXRpdGxlPlRyZW5kcyBpbiBFY29sb2d5ICZhbXA7
IEV2b2x1dGlvbjwvc2Vjb25kYXJ5LXRpdGxlPjwvdGl0bGVzPjxwZXJpb2RpY2FsPjxmdWxsLXRp
dGxlPlRyZW5kcyBpbiBFY29sb2d5ICZhbXA7IEV2b2x1dGlvbjwvZnVsbC10aXRsZT48L3Blcmlv
ZGljYWw+PHBhZ2VzPjE5MS0xOTM8L3BhZ2VzPjx2b2x1bWU+OTwvdm9sdW1lPjxudW1iZXI+NTwv
bnVtYmVyPjxkYXRlcz48eWVhcj4xOTk0PC95ZWFyPjwvZGF0ZXM+PHVybHM+PC91cmxzPjwvcmVj
b3JkPjwvQ2l0ZT48Q2l0ZT48QXV0aG9yPkNhbGxhd2F5PC9BdXRob3I+PFllYXI+MjAwNzwvWWVh
cj48UmVjTnVtPjMwOTwvUmVjTnVtPjxyZWNvcmQ+PHJlYy1udW1iZXI+MzA5PC9yZWMtbnVtYmVy
Pjxmb3JlaWduLWtleXM+PGtleSBhcHA9IkVOIiBkYi1pZD0iZWZ4eHhkMmVsZnZ4ZmRlMDVlZXY5
c3dxOXp2MGRzd3J4enAyIj4zMDk8L2tleT48L2ZvcmVpZ24ta2V5cz48cmVmLXR5cGUgbmFtZT0i
Qm9vayI+NjwvcmVmLXR5cGU+PGNvbnRyaWJ1dG9ycz48YXV0aG9ycz48YXV0aG9yPkNhbGxhd2F5
LCBSYWdhbiBNPC9hdXRob3I+PC9hdXRob3JzPjwvY29udHJpYnV0b3JzPjx0aXRsZXM+PHRpdGxl
PlBvc2l0aXZlIGludGVyYWN0aW9ucyBhbmQgaW50ZXJkZXBlbmRlbmNlIGluIHBsYW50IGNvbW11
bml0aWVzPC90aXRsZT48L3RpdGxlcz48ZGF0ZXM+PHllYXI+MjAwNzwveWVhcj48L2RhdGVzPjxw
dWJsaXNoZXI+U3ByaW5nZXI8L3B1Ymxpc2hlcj48aXNibj4xNDAyMDYyMjQ5PC9pc2JuPjx1cmxz
PjwvdXJscz48L3JlY29yZD48L0NpdGU+PENpdGU+PEF1dGhvcj5NYWVzdHJlPC9BdXRob3I+PFll
YXI+MjAwOTwvWWVhcj48UmVjTnVtPjMxMTwvUmVjTnVtPjxyZWNvcmQ+PHJlYy1udW1iZXI+MzEx
PC9yZWMtbnVtYmVyPjxmb3JlaWduLWtleXM+PGtleSBhcHA9IkVOIiBkYi1pZD0iZWZ4eHhkMmVs
ZnZ4ZmRlMDVlZXY5c3dxOXp2MGRzd3J4enAyIj4zMTE8L2tleT48L2ZvcmVpZ24ta2V5cz48cmVm
LXR5cGUgbmFtZT0iSm91cm5hbCBBcnRpY2xlIj4xNzwvcmVmLXR5cGU+PGNvbnRyaWJ1dG9ycz48
YXV0aG9ycz48YXV0aG9yPk1hZXN0cmUsIEZlcm5hbmRvIFQ8L2F1dGhvcj48YXV0aG9yPkNhbGxh
d2F5LCBSYWdhbiBNPC9hdXRob3I+PGF1dGhvcj5WYWxsYWRhcmVzLCBGZXJuYW5kbzwvYXV0aG9y
PjxhdXRob3I+TG9ydGllLCBDaHJpc3RvcGhlciBKPC9hdXRob3I+PC9hdXRob3JzPjwvY29udHJp
YnV0b3JzPjx0aXRsZXM+PHRpdGxlPlJlZmluaW5nIHRoZSBzdHJlc3PigJBncmFkaWVudCBoeXBv
dGhlc2lzIGZvciBjb21wZXRpdGlvbiBhbmQgZmFjaWxpdGF0aW9uIGluIHBsYW50IGNvbW11bml0
aWVzPC90aXRsZT48c2Vjb25kYXJ5LXRpdGxlPkpvdXJuYWwgb2YgRWNvbG9neTwvc2Vjb25kYXJ5
LXRpdGxlPjwvdGl0bGVzPjxwZXJpb2RpY2FsPjxmdWxsLXRpdGxlPkpvdXJuYWwgb2YgRWNvbG9n
eTwvZnVsbC10aXRsZT48L3BlcmlvZGljYWw+PHBhZ2VzPjE5OS0yMDU8L3BhZ2VzPjx2b2x1bWU+
OTc8L3ZvbHVtZT48bnVtYmVyPjI8L251bWJlcj48ZGF0ZXM+PHllYXI+MjAwOTwveWVhcj48L2Rh
dGVzPjxpc2JuPjEzNjUtMjc0NTwvaXNibj48dXJscz48L3VybHM+PC9yZWNvcmQ+PC9DaXRlPjwv
RW5kTm90ZT5=
</w:fldData>
        </w:fldChar>
      </w:r>
      <w:r w:rsidR="00C202A2">
        <w:instrText xml:space="preserve"> ADDIN EN.CITE.DATA </w:instrText>
      </w:r>
      <w:r w:rsidR="00C202A2">
        <w:fldChar w:fldCharType="end"/>
      </w:r>
      <w:r w:rsidR="00C202A2">
        <w:fldChar w:fldCharType="separate"/>
      </w:r>
      <w:r w:rsidR="00C202A2">
        <w:rPr>
          <w:noProof/>
        </w:rPr>
        <w:t>(</w:t>
      </w:r>
      <w:hyperlink w:anchor="_ENREF_1" w:tooltip="Bertness, 1994 #129" w:history="1">
        <w:r w:rsidR="00B34BF9">
          <w:rPr>
            <w:noProof/>
          </w:rPr>
          <w:t>Bertness and Callaway 1994</w:t>
        </w:r>
      </w:hyperlink>
      <w:r w:rsidR="00C202A2">
        <w:rPr>
          <w:noProof/>
        </w:rPr>
        <w:t xml:space="preserve">, </w:t>
      </w:r>
      <w:hyperlink w:anchor="_ENREF_2" w:tooltip="Callaway, 2007 #309" w:history="1">
        <w:r w:rsidR="00B34BF9">
          <w:rPr>
            <w:noProof/>
          </w:rPr>
          <w:t>Callaway 2007</w:t>
        </w:r>
      </w:hyperlink>
      <w:r w:rsidR="00C202A2">
        <w:rPr>
          <w:noProof/>
        </w:rPr>
        <w:t xml:space="preserve">, </w:t>
      </w:r>
      <w:hyperlink w:anchor="_ENREF_7" w:tooltip="Maestre, 2009 #311" w:history="1">
        <w:r w:rsidR="00B34BF9">
          <w:rPr>
            <w:noProof/>
          </w:rPr>
          <w:t>Maestre, Callaway et al. 2009</w:t>
        </w:r>
      </w:hyperlink>
      <w:r w:rsidR="00C202A2">
        <w:rPr>
          <w:noProof/>
        </w:rPr>
        <w:t>)</w:t>
      </w:r>
      <w:r w:rsidR="00C202A2">
        <w:fldChar w:fldCharType="end"/>
      </w:r>
      <w:r w:rsidR="00C202A2">
        <w:t xml:space="preserve">. </w:t>
      </w:r>
      <w:r>
        <w:t>A growing body of work is showing the importance of shrub canopy facilitation for a</w:t>
      </w:r>
      <w:r w:rsidR="007E0707">
        <w:t>rthropod communities within arid</w:t>
      </w:r>
      <w:r>
        <w:t xml:space="preserve"> ecosystem</w:t>
      </w:r>
      <w:r w:rsidR="007E0707">
        <w:t>s</w:t>
      </w:r>
      <w:r>
        <w:t xml:space="preserve">. (Groner and Ayal </w:t>
      </w:r>
      <w:hyperlink r:id="rId7" w:anchor="CR10" w:tooltip="View reference" w:history="1">
        <w:r>
          <w:rPr>
            <w:rStyle w:val="Hyperlink"/>
          </w:rPr>
          <w:t>2001</w:t>
        </w:r>
      </w:hyperlink>
      <w:r>
        <w:t xml:space="preserve">; Polis </w:t>
      </w:r>
      <w:hyperlink r:id="rId8" w:anchor="CR28" w:tooltip="View reference" w:history="1">
        <w:r>
          <w:rPr>
            <w:rStyle w:val="Hyperlink"/>
          </w:rPr>
          <w:t>1999</w:t>
        </w:r>
      </w:hyperlink>
      <w:r>
        <w:t>). Sanchez and Parmenter (</w:t>
      </w:r>
      <w:hyperlink r:id="rId9" w:anchor="CR32" w:tooltip="View reference" w:history="1">
        <w:r>
          <w:rPr>
            <w:rStyle w:val="Hyperlink"/>
          </w:rPr>
          <w:t>2002</w:t>
        </w:r>
      </w:hyperlink>
      <w:r>
        <w:t>), and Liu et al. (</w:t>
      </w:r>
      <w:hyperlink r:id="rId10" w:anchor="CR18" w:tooltip="View reference" w:history="1">
        <w:r>
          <w:rPr>
            <w:rStyle w:val="Hyperlink"/>
          </w:rPr>
          <w:t>2011</w:t>
        </w:r>
      </w:hyperlink>
      <w:r>
        <w:t xml:space="preserve">), Ruttan 2016, Braun 2019). They also provide keystone structure to ground-dwelling arthropods in Patagonian shrub steppe </w:t>
      </w:r>
      <w:r>
        <w:fldChar w:fldCharType="begin"/>
      </w:r>
      <w:r>
        <w:instrText xml:space="preserve"> ADDIN EN.CITE &lt;EndNote&gt;&lt;Cite&gt;&lt;Author&gt;Liu&lt;/Author&gt;&lt;Year&gt;2016&lt;/Year&gt;&lt;RecNum&gt;431&lt;/RecNum&gt;&lt;DisplayText&gt;(Liu, Zhu et al. 2016)&lt;/DisplayText&gt;&lt;record&gt;&lt;rec-number&gt;431&lt;/rec-number&gt;&lt;foreign-keys&gt;&lt;key app="EN" db-id="efxxxd2elfvxfde05eev9swq9zv0dswrxzp2"&gt;431&lt;/key&gt;&lt;/foreign-keys&gt;&lt;ref-type name="Journal Article"&gt;17&lt;/ref-type&gt;&lt;contributors&gt;&lt;authors&gt;&lt;author&gt;Liu, Rentao&lt;/author&gt;&lt;author&gt;Zhu, Fan&lt;/author&gt;&lt;author&gt;Steinberger, Yosef&lt;/author&gt;&lt;/authors&gt;&lt;/contributors&gt;&lt;titles&gt;&lt;title&gt;Changes in ground-dwelling arthropod diversity related to the proximity of shrub cover in a desertified system&lt;/title&gt;&lt;secondary-title&gt;Journal of Arid Environments&lt;/secondary-title&gt;&lt;/titles&gt;&lt;periodical&gt;&lt;full-title&gt;Journal of arid environments&lt;/full-title&gt;&lt;/periodical&gt;&lt;pages&gt;172-179&lt;/pages&gt;&lt;volume&gt;124&lt;/volume&gt;&lt;dates&gt;&lt;year&gt;2016&lt;/year&gt;&lt;/dates&gt;&lt;isbn&gt;0140-1963&lt;/isbn&gt;&lt;urls&gt;&lt;/urls&gt;&lt;/record&gt;&lt;/Cite&gt;&lt;/EndNote&gt;</w:instrText>
      </w:r>
      <w:r>
        <w:fldChar w:fldCharType="separate"/>
      </w:r>
      <w:r>
        <w:rPr>
          <w:noProof/>
        </w:rPr>
        <w:t>(</w:t>
      </w:r>
      <w:hyperlink w:anchor="_ENREF_6" w:tooltip="Liu, 2016 #431" w:history="1">
        <w:r w:rsidR="00B34BF9">
          <w:rPr>
            <w:noProof/>
          </w:rPr>
          <w:t>Liu, Zhu et al. 2016</w:t>
        </w:r>
      </w:hyperlink>
      <w:r>
        <w:rPr>
          <w:noProof/>
        </w:rPr>
        <w:t>)</w:t>
      </w:r>
      <w:r>
        <w:fldChar w:fldCharType="end"/>
      </w:r>
      <w:r>
        <w:t xml:space="preserve">. </w:t>
      </w:r>
      <w:r w:rsidR="001D5A06" w:rsidRPr="007F3247">
        <w:t xml:space="preserve">Microclimate amelioration and other mechanisms can affect survival, growth, and reproduction of annuals plants. </w:t>
      </w:r>
      <w:r w:rsidR="00C202A2">
        <w:t xml:space="preserve">Ground-dwelling arthropods in particular benefit from the microclimates made by shrubs. For example something specific and something else specific. </w:t>
      </w:r>
    </w:p>
    <w:p w:rsidR="002706F2" w:rsidRDefault="001D5A06" w:rsidP="002706F2">
      <w:pPr>
        <w:spacing w:line="360" w:lineRule="auto"/>
      </w:pPr>
      <w:r w:rsidRPr="007F3247">
        <w:t xml:space="preserve">The positive effects of vegetation can propagate through other trophic levels, including both primary and secondary consumers. </w:t>
      </w:r>
      <w:r w:rsidR="00BE0923">
        <w:t>There may be</w:t>
      </w:r>
      <w:r w:rsidR="005A1590">
        <w:t xml:space="preserve"> indirect effects of shrub facilitation that scale through the annual plants</w:t>
      </w:r>
      <w:r w:rsidR="00BE0923">
        <w:t xml:space="preserve"> in addition to the direct shelter of the canopy. </w:t>
      </w:r>
      <w:r w:rsidR="00B34BF9">
        <w:t xml:space="preserve">Previous work has found that annual plant productivity, at small scales, is associated with higher abundance and diversity of arthropods within grasslands </w:t>
      </w:r>
      <w:r w:rsidR="00B34BF9">
        <w:fldChar w:fldCharType="begin"/>
      </w:r>
      <w:r w:rsidR="00B34BF9">
        <w:instrText xml:space="preserve"> ADDIN EN.CITE &lt;EndNote&gt;&lt;Cite&gt;&lt;Author&gt;Siemann&lt;/Author&gt;&lt;Year&gt;1998&lt;/Year&gt;&lt;RecNum&gt;432&lt;/RecNum&gt;&lt;DisplayText&gt;(Siemann 1998)&lt;/DisplayText&gt;&lt;record&gt;&lt;rec-number&gt;432&lt;/rec-number&gt;&lt;foreign-keys&gt;&lt;key app="EN" db-id="efxxxd2elfvxfde05eev9swq9zv0dswrxzp2"&gt;432&lt;/key&gt;&lt;/foreign-keys&gt;&lt;ref-type name="Journal Article"&gt;17&lt;/ref-type&gt;&lt;contributors&gt;&lt;authors&gt;&lt;author&gt;Siemann, Evan&lt;/author&gt;&lt;/authors&gt;&lt;/contributors&gt;&lt;titles&gt;&lt;title&gt;Experimental tests of effects of plant productivity and diversity on grassland arthropod diversity&lt;/title&gt;&lt;secondary-title&gt;Ecology&lt;/secondary-title&gt;&lt;/titles&gt;&lt;periodical&gt;&lt;full-title&gt;Ecology&lt;/full-title&gt;&lt;/periodical&gt;&lt;pages&gt;2057-2070&lt;/pages&gt;&lt;volume&gt;79&lt;/volume&gt;&lt;number&gt;6&lt;/number&gt;&lt;dates&gt;&lt;year&gt;1998&lt;/year&gt;&lt;/dates&gt;&lt;isbn&gt;1939-9170&lt;/isbn&gt;&lt;urls&gt;&lt;/urls&gt;&lt;/record&gt;&lt;/Cite&gt;&lt;/EndNote&gt;</w:instrText>
      </w:r>
      <w:r w:rsidR="00B34BF9">
        <w:fldChar w:fldCharType="separate"/>
      </w:r>
      <w:r w:rsidR="00B34BF9">
        <w:rPr>
          <w:noProof/>
        </w:rPr>
        <w:t>(</w:t>
      </w:r>
      <w:hyperlink w:anchor="_ENREF_8" w:tooltip="Siemann, 1998 #432" w:history="1">
        <w:r w:rsidR="00B34BF9">
          <w:rPr>
            <w:noProof/>
          </w:rPr>
          <w:t>Siemann 1998</w:t>
        </w:r>
      </w:hyperlink>
      <w:r w:rsidR="00B34BF9">
        <w:rPr>
          <w:noProof/>
        </w:rPr>
        <w:t>)</w:t>
      </w:r>
      <w:r w:rsidR="00B34BF9">
        <w:fldChar w:fldCharType="end"/>
      </w:r>
      <w:r w:rsidR="00B34BF9">
        <w:t>.</w:t>
      </w:r>
      <w:r w:rsidR="009A2EAD">
        <w:t xml:space="preserve"> </w:t>
      </w:r>
      <w:r w:rsidR="007F3247" w:rsidRPr="007F3247">
        <w:t xml:space="preserve">Residual dry matter (rdm) is a common </w:t>
      </w:r>
      <w:r w:rsidR="007F3247" w:rsidRPr="007F3247">
        <w:lastRenderedPageBreak/>
        <w:t>measur</w:t>
      </w:r>
      <w:r w:rsidR="00C61D71">
        <w:t xml:space="preserve">e of productivity in drylands. </w:t>
      </w:r>
      <w:r w:rsidR="007F3247" w:rsidRPr="007F3247">
        <w:t>It is comprised of both direct and indirect drivers on plant composition and structure including resource availability, plant-plant interactions, and interactions with consumers.</w:t>
      </w:r>
      <w:r w:rsidR="00D021F9">
        <w:t xml:space="preserve"> </w:t>
      </w:r>
      <w:r w:rsidR="002706F2">
        <w:t>In grasslands, vegetation cover including primary production and structure architecture, as well as interactions among species across trophic levels influence arthropod community structure because vegetation in grasslands provides physical structures as well as the nutritional base for arthropod food</w:t>
      </w:r>
      <w:r w:rsidR="00BA281A">
        <w:t xml:space="preserve"> </w:t>
      </w:r>
      <w:r w:rsidR="002706F2">
        <w:t xml:space="preserve">webs (Joern and Laws 2013). </w:t>
      </w:r>
      <w:r w:rsidR="00392913">
        <w:t>Previous work has found more complex relationships between shrubs, rdm and lizards. The shrubs facilitate the plants, but interfere with the lizards (Filazzola).</w:t>
      </w:r>
      <w:r w:rsidR="00FB2A45">
        <w:t xml:space="preserve"> There may also be indirect interactions between shrubs, understory plants and arthropods. Indirect interactions are whenever a third species alters the interactions between other species. </w:t>
      </w:r>
    </w:p>
    <w:p w:rsidR="007F3247" w:rsidRDefault="00A60A0A" w:rsidP="00A634C7">
      <w:pPr>
        <w:spacing w:line="360" w:lineRule="auto"/>
      </w:pPr>
      <w:r>
        <w:t xml:space="preserve">The objective </w:t>
      </w:r>
      <w:r w:rsidR="00BA281A">
        <w:t>of this study was to evaluate…</w:t>
      </w:r>
      <w:r>
        <w:t>.</w:t>
      </w:r>
      <w:r w:rsidR="00BA281A">
        <w:t xml:space="preserve"> We used a survey of ground-dwelling arthropod communities and standing vegetation characteristics in nine sites in three regions in arid California. </w:t>
      </w:r>
      <w:r w:rsidR="00C12B97">
        <w:t>Due to</w:t>
      </w:r>
      <w:r w:rsidR="008033E4">
        <w:t xml:space="preserve"> the importance of physical structure, we expect that the RDM should influence arthropod communities. </w:t>
      </w:r>
      <w:r w:rsidR="007F3247" w:rsidRPr="007F3247">
        <w:t xml:space="preserve">We hypothesize that shrubs facilitate arthropods. </w:t>
      </w:r>
      <w:r w:rsidR="00BA281A">
        <w:t>We tested the following p</w:t>
      </w:r>
      <w:r w:rsidR="007F3247" w:rsidRPr="007F3247">
        <w:t>redictions 1. More arthropods are associated with shrubs in deserts (abundance and richness). 2) Greater RDM under shrubs. 3)</w:t>
      </w:r>
      <w:r w:rsidR="00A814B5">
        <w:t xml:space="preserve"> </w:t>
      </w:r>
      <w:r w:rsidR="007F3247" w:rsidRPr="007F3247">
        <w:t>RDM facilitates arthropods. 4) effect of shrubs is influenced by rdm under the canopy</w:t>
      </w:r>
      <w:r w:rsidR="002706F2">
        <w:t xml:space="preserve">. We chose the early summer because it is a period of high ground dwelling arthropod activity, as well as vertebrate breeding time for several species of endangered animal that are under management within these ecosystems that depend on arthropods for a major component of their diets. </w:t>
      </w:r>
      <w:r w:rsidR="001D5A06">
        <w:t>Habitat-based surrogates are used to indirectly measure biodiversity and are used by land managers in place of expensive intensive surveys (Hughes 2000, Gollan et al 2009).</w:t>
      </w:r>
    </w:p>
    <w:p w:rsidR="001D5A06" w:rsidRDefault="001D5A06" w:rsidP="00A634C7">
      <w:pPr>
        <w:spacing w:line="360" w:lineRule="auto"/>
      </w:pPr>
      <w:r>
        <w:t>In arid regions of California, the growing season as a short period. Land managers have developed a set of protocols to measure the residual dry matter and apply it to several questions relating to rangeland management.</w:t>
      </w:r>
    </w:p>
    <w:p w:rsidR="007F3247" w:rsidRPr="007F3247" w:rsidRDefault="007F3247" w:rsidP="00A634C7">
      <w:pPr>
        <w:spacing w:line="360" w:lineRule="auto"/>
        <w:rPr>
          <w:b/>
        </w:rPr>
      </w:pPr>
      <w:r w:rsidRPr="007F3247">
        <w:rPr>
          <w:b/>
        </w:rPr>
        <w:t>METHODS</w:t>
      </w:r>
    </w:p>
    <w:p w:rsidR="007F3247" w:rsidRPr="007F3247" w:rsidRDefault="007F3247" w:rsidP="00A634C7">
      <w:pPr>
        <w:spacing w:line="360" w:lineRule="auto"/>
      </w:pPr>
      <w:r w:rsidRPr="007F3247">
        <w:t xml:space="preserve">Site description </w:t>
      </w:r>
    </w:p>
    <w:p w:rsidR="007F3247" w:rsidRDefault="007F3247" w:rsidP="00A634C7">
      <w:pPr>
        <w:spacing w:line="360" w:lineRule="auto"/>
      </w:pPr>
      <w:r w:rsidRPr="007F3247">
        <w:t>Between the dates of June 23</w:t>
      </w:r>
      <w:r w:rsidRPr="007F3247">
        <w:rPr>
          <w:vertAlign w:val="superscript"/>
        </w:rPr>
        <w:t>rd</w:t>
      </w:r>
      <w:r w:rsidRPr="007F3247">
        <w:t xml:space="preserve"> and July 8</w:t>
      </w:r>
      <w:r w:rsidRPr="007F3247">
        <w:rPr>
          <w:vertAlign w:val="superscript"/>
        </w:rPr>
        <w:t>th</w:t>
      </w:r>
      <w:r w:rsidRPr="007F3247">
        <w:t>, 2019, I sampled 3 sit</w:t>
      </w:r>
      <w:r w:rsidR="009A2EAD">
        <w:t>es each within 3 desert regions (Table 1, Figure 1).</w:t>
      </w:r>
    </w:p>
    <w:p w:rsidR="009A2EAD" w:rsidRPr="007F3247" w:rsidRDefault="009A2EAD" w:rsidP="00A634C7">
      <w:pPr>
        <w:spacing w:line="360" w:lineRule="auto"/>
      </w:pPr>
      <w:r>
        <w:lastRenderedPageBreak/>
        <w:t>Study species</w:t>
      </w:r>
    </w:p>
    <w:p w:rsidR="007F3247" w:rsidRDefault="009A2EAD" w:rsidP="00A634C7">
      <w:pPr>
        <w:spacing w:line="360" w:lineRule="auto"/>
      </w:pPr>
      <w:r w:rsidRPr="00761D92">
        <w:rPr>
          <w:i/>
        </w:rPr>
        <w:t>Ephedra californica</w:t>
      </w:r>
      <w:r>
        <w:t xml:space="preserve"> (Ephedraceae) is a…</w:t>
      </w:r>
    </w:p>
    <w:p w:rsidR="009A2EAD" w:rsidRPr="007F3247" w:rsidRDefault="009A2EAD" w:rsidP="00A634C7">
      <w:pPr>
        <w:spacing w:line="360" w:lineRule="auto"/>
      </w:pPr>
      <w:r>
        <w:t>Residual dry matter</w:t>
      </w:r>
    </w:p>
    <w:p w:rsidR="007F3247" w:rsidRPr="007F3247" w:rsidRDefault="007F3247" w:rsidP="00A634C7">
      <w:pPr>
        <w:spacing w:line="360" w:lineRule="auto"/>
      </w:pPr>
      <w:r w:rsidRPr="007F3247">
        <w:t>At each site, I chose 30 shrub open pairs. Shrub microsites were located on the northern aspect of the shrub, within the dripline. A 0.5 m by 0.5 quadrat was placed by randomly throwing it under the shrub and the open microsites were chosen by throwing the quadrat over my shoulder and were located at least 2 m away. Within in quadrat, I estimated cover of the residual dry matter, green veg cover, measured the height of the vegetation within the quadrat. I counted the number of burrows under the shrub within the dripline, and at open microsites within a 1.5m radius around the quadrat to approximate the size of the shrub. For shrubs, I measured the</w:t>
      </w:r>
      <w:r w:rsidR="00161AFF">
        <w:t xml:space="preserve"> length of the longest axis, it</w:t>
      </w:r>
      <w:r w:rsidRPr="007F3247">
        <w:t xml:space="preserve">s perpendicular and the height. I collected all residual dry matter within a 20 cm quadrat placed at the center of the 0.5 m quadrat using scissors ensuring only plants rooted within the quadrat were collected. These were placed in paper bags, and then dried within a </w:t>
      </w:r>
      <w:r w:rsidRPr="007F3247">
        <w:rPr>
          <w:i/>
        </w:rPr>
        <w:t xml:space="preserve">blank </w:t>
      </w:r>
      <w:r w:rsidRPr="007F3247">
        <w:t xml:space="preserve">oven at 85º C for 75 hours. The samples were weighed using </w:t>
      </w:r>
      <w:r w:rsidRPr="007F3247">
        <w:rPr>
          <w:i/>
        </w:rPr>
        <w:t>blank</w:t>
      </w:r>
      <w:r w:rsidRPr="007F3247">
        <w:t xml:space="preserve"> scale with a precision of 0.001 g. </w:t>
      </w:r>
    </w:p>
    <w:p w:rsidR="007F3247" w:rsidRPr="007F3247" w:rsidRDefault="007F3247" w:rsidP="00A634C7">
      <w:pPr>
        <w:spacing w:line="360" w:lineRule="auto"/>
      </w:pPr>
      <w:r w:rsidRPr="007F3247">
        <w:t>Measuring ground-dwelling arthropod communities</w:t>
      </w:r>
    </w:p>
    <w:p w:rsidR="00A66D7D" w:rsidRDefault="00A66D7D" w:rsidP="00A634C7">
      <w:pPr>
        <w:spacing w:line="360" w:lineRule="auto"/>
      </w:pPr>
      <w:r>
        <w:t xml:space="preserve">We used pitfall traps </w:t>
      </w:r>
      <w:r w:rsidRPr="007F3247">
        <w:t>to s</w:t>
      </w:r>
      <w:r>
        <w:t xml:space="preserve">ample the arthropod communities at </w:t>
      </w:r>
      <w:r w:rsidRPr="007F3247">
        <w:t>eight shrub/open pairs per site</w:t>
      </w:r>
      <w:r>
        <w:t xml:space="preserve"> (n = 16 at nine sites). </w:t>
      </w:r>
      <w:r w:rsidR="007F3247" w:rsidRPr="007F3247">
        <w:t xml:space="preserve">Clear plastic drink cups (10 cm </w:t>
      </w:r>
      <w:r>
        <w:t xml:space="preserve">tall, 7 cm diameter) were </w:t>
      </w:r>
      <w:r w:rsidR="007F3247" w:rsidRPr="007F3247">
        <w:t xml:space="preserve">placed in the center of the 0.5 m quadrat </w:t>
      </w:r>
      <w:r>
        <w:t xml:space="preserve">with the top of the cup </w:t>
      </w:r>
      <w:r w:rsidR="007F3247" w:rsidRPr="007F3247">
        <w:t>flush with the ground. The traps were filled with a 50% propylene g</w:t>
      </w:r>
      <w:r>
        <w:t>lycol and water mixture and were deployed</w:t>
      </w:r>
      <w:r w:rsidR="007F3247" w:rsidRPr="007F3247">
        <w:t xml:space="preserve"> for 72 hours. They were checked </w:t>
      </w:r>
      <w:r>
        <w:t xml:space="preserve">periodically during their deployment </w:t>
      </w:r>
      <w:r w:rsidR="007F3247" w:rsidRPr="007F3247">
        <w:t xml:space="preserve">and </w:t>
      </w:r>
      <w:r>
        <w:t xml:space="preserve">were </w:t>
      </w:r>
      <w:r w:rsidR="007F3247" w:rsidRPr="007F3247">
        <w:t xml:space="preserve">topped up with water as needed. </w:t>
      </w:r>
      <w:r w:rsidRPr="007F3247">
        <w:t>Arthropods were sieved and placed in labelled vials containing 95% denatured ethanol.</w:t>
      </w:r>
      <w:r>
        <w:t xml:space="preserve"> At these microsites, residual dry matter was collected after the traps were collected.</w:t>
      </w:r>
    </w:p>
    <w:p w:rsidR="007F3247" w:rsidRPr="007F3247" w:rsidRDefault="007F3247" w:rsidP="00A634C7">
      <w:pPr>
        <w:spacing w:line="360" w:lineRule="auto"/>
      </w:pPr>
      <w:r w:rsidRPr="007F3247">
        <w:t>Insects were identified</w:t>
      </w:r>
      <w:r w:rsidR="00475235">
        <w:t xml:space="preserve"> primarily to genus and family</w:t>
      </w:r>
      <w:r w:rsidRPr="007F3247">
        <w:t xml:space="preserve"> depending on the group (see Appendix) using keys</w:t>
      </w:r>
      <w:r w:rsidR="00475235">
        <w:t xml:space="preserve"> (Triplehorn, ant book, fly book) and were morphotyped within those groups</w:t>
      </w:r>
      <w:r w:rsidRPr="007F3247">
        <w:t xml:space="preserve">. </w:t>
      </w:r>
      <w:r w:rsidR="00475235">
        <w:t xml:space="preserve">Velvet ants (Mutillidae) </w:t>
      </w:r>
      <w:r w:rsidRPr="007F3247">
        <w:t xml:space="preserve">were not morphotyped because of strong sexual dimorphism. Only worker and major caste </w:t>
      </w:r>
      <w:r w:rsidR="00475235">
        <w:t xml:space="preserve">ants (Formicidae) </w:t>
      </w:r>
      <w:r w:rsidRPr="007F3247">
        <w:t>were included in analyses. Springtails</w:t>
      </w:r>
      <w:r w:rsidR="00475235">
        <w:t xml:space="preserve"> (Collembola) and arthropods</w:t>
      </w:r>
      <w:r w:rsidRPr="007F3247">
        <w:t xml:space="preserve"> smaller were excluded due biases arising from sieve mesh size. Larval stages and hemipteran nymphs that could not be associated with the adult form were excluded. </w:t>
      </w:r>
    </w:p>
    <w:p w:rsidR="007F3247" w:rsidRPr="007F3247" w:rsidRDefault="007F3247" w:rsidP="00A634C7">
      <w:pPr>
        <w:spacing w:line="360" w:lineRule="auto"/>
      </w:pPr>
      <w:r w:rsidRPr="007F3247">
        <w:lastRenderedPageBreak/>
        <w:t>Data analysis</w:t>
      </w:r>
    </w:p>
    <w:p w:rsidR="007F3247" w:rsidRPr="007F3247" w:rsidRDefault="007947C8" w:rsidP="00A634C7">
      <w:pPr>
        <w:spacing w:line="360" w:lineRule="auto"/>
      </w:pPr>
      <w:r>
        <w:t>W</w:t>
      </w:r>
      <w:r w:rsidR="007F3247" w:rsidRPr="007F3247">
        <w:t>e fit generalize</w:t>
      </w:r>
      <w:r>
        <w:t>d linear mixed models (glmmTMB) to</w:t>
      </w:r>
      <w:r w:rsidRPr="007F3247">
        <w:t xml:space="preserve"> test for differ</w:t>
      </w:r>
      <w:r>
        <w:t>ences in arthropod abundance and morphospecies richness</w:t>
      </w:r>
      <w:r w:rsidR="007F3247" w:rsidRPr="007F3247">
        <w:t xml:space="preserve"> </w:t>
      </w:r>
      <w:r>
        <w:t xml:space="preserve">between the understory of </w:t>
      </w:r>
      <w:r w:rsidRPr="007567E3">
        <w:rPr>
          <w:i/>
        </w:rPr>
        <w:t>E. californica</w:t>
      </w:r>
      <w:r>
        <w:t xml:space="preserve"> and open areas. </w:t>
      </w:r>
      <w:r w:rsidR="007F282E">
        <w:t>O</w:t>
      </w:r>
      <w:r w:rsidR="007F3247" w:rsidRPr="007F3247">
        <w:t>ne sample was excluded as an outlier</w:t>
      </w:r>
      <w:r w:rsidR="007F282E">
        <w:t xml:space="preserve"> in the abundance model</w:t>
      </w:r>
      <w:r>
        <w:t xml:space="preserve"> as it had 1200 individuals compared to the rest</w:t>
      </w:r>
      <w:r w:rsidR="007567E3">
        <w:t xml:space="preserve"> of the samples were below 350. </w:t>
      </w:r>
      <w:r w:rsidR="007F3247" w:rsidRPr="007F3247">
        <w:t xml:space="preserve">Microsite and RDM </w:t>
      </w:r>
      <w:r w:rsidR="007567E3">
        <w:t xml:space="preserve">biomass </w:t>
      </w:r>
      <w:r w:rsidR="007F3247" w:rsidRPr="007F3247">
        <w:t xml:space="preserve">were included as predictors, and the study site nested within the region was included as a random effect. </w:t>
      </w:r>
      <w:r>
        <w:t xml:space="preserve">A </w:t>
      </w:r>
      <w:r w:rsidR="007F3247" w:rsidRPr="007F3247">
        <w:t xml:space="preserve">Poisson </w:t>
      </w:r>
      <w:r>
        <w:t xml:space="preserve">error distribution </w:t>
      </w:r>
      <w:r w:rsidR="007F3247" w:rsidRPr="007F3247">
        <w:t xml:space="preserve">was used for </w:t>
      </w:r>
      <w:r>
        <w:t>morpho</w:t>
      </w:r>
      <w:r w:rsidR="007F3247" w:rsidRPr="007F3247">
        <w:t>species richness</w:t>
      </w:r>
      <w:r>
        <w:t xml:space="preserve"> model</w:t>
      </w:r>
      <w:r w:rsidR="007F3247" w:rsidRPr="007F3247">
        <w:t xml:space="preserve"> and a negative binomial error distribution was used for abundances because overdispersion was detected</w:t>
      </w:r>
      <w:r>
        <w:t xml:space="preserve"> within the model</w:t>
      </w:r>
      <w:r w:rsidR="007F3247" w:rsidRPr="007F3247">
        <w:t xml:space="preserve">. </w:t>
      </w:r>
      <w:r w:rsidR="007567E3">
        <w:t xml:space="preserve">We compared models with interactions to models with only additive effects to intercept only models using AIC and likelihood ratio tests (car). </w:t>
      </w:r>
    </w:p>
    <w:p w:rsidR="007F3247" w:rsidRDefault="007F3247" w:rsidP="00A634C7">
      <w:pPr>
        <w:spacing w:line="360" w:lineRule="auto"/>
      </w:pPr>
      <w:r w:rsidRPr="007F3247">
        <w:t xml:space="preserve">To test for </w:t>
      </w:r>
      <w:r w:rsidR="0098152D">
        <w:t xml:space="preserve">more sensitive </w:t>
      </w:r>
      <w:r w:rsidRPr="007F3247">
        <w:t xml:space="preserve">differences in the composition of arthropod community, RDA (vegan) </w:t>
      </w:r>
      <w:r w:rsidR="0090070F">
        <w:t>was used. M</w:t>
      </w:r>
      <w:r w:rsidRPr="007F3247">
        <w:t>icrosite, site, RDM</w:t>
      </w:r>
      <w:r w:rsidR="0098152D">
        <w:t xml:space="preserve"> biomass</w:t>
      </w:r>
      <w:r w:rsidR="0090070F">
        <w:t xml:space="preserve"> and region were included as</w:t>
      </w:r>
      <w:r w:rsidRPr="007F3247">
        <w:t xml:space="preserve"> constraining variables. The species abundance matrix was Hellinger transformed to account for differences in sample abundance and provide more ecologically relevant information (</w:t>
      </w:r>
      <w:r w:rsidR="0090070F">
        <w:t>Legendre etc</w:t>
      </w:r>
      <w:r w:rsidRPr="007F3247">
        <w:t xml:space="preserve">). </w:t>
      </w:r>
    </w:p>
    <w:p w:rsidR="004C5835" w:rsidRDefault="0090070F" w:rsidP="004C5835">
      <w:pPr>
        <w:spacing w:line="360" w:lineRule="auto"/>
        <w:rPr>
          <w:rFonts w:eastAsiaTheme="minorEastAsia"/>
        </w:rPr>
      </w:pPr>
      <w:r>
        <w:t>T</w:t>
      </w:r>
      <w:r w:rsidRPr="00913543">
        <w:t xml:space="preserve">o estimate the biological importance of statistically significant differences </w:t>
      </w:r>
      <w:r>
        <w:t xml:space="preserve">we calculated </w:t>
      </w:r>
      <w:r w:rsidRPr="00913543">
        <w:t xml:space="preserve">the effect size estimate Relative Interaction Index (RII) </w:t>
      </w:r>
      <w:r w:rsidRPr="00913543">
        <w:rPr>
          <w:noProof/>
        </w:rPr>
        <w:t>(Armas et al., 2004)</w:t>
      </w:r>
      <w:r w:rsidRPr="00913543">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Pr="00913543">
        <w:rPr>
          <w:rFonts w:eastAsiaTheme="minorEastAsia"/>
        </w:rPr>
        <w:t xml:space="preserve"> was used. </w:t>
      </w:r>
      <w:r>
        <w:rPr>
          <w:rFonts w:eastAsiaTheme="minorEastAsia"/>
        </w:rPr>
        <w:t xml:space="preserve">Treatment is the target response value at the shrub microsite and control is the target response value at the open microsite. </w:t>
      </w:r>
      <w:r w:rsidRPr="00913543">
        <w:t xml:space="preserve">This measure ranges from −1 to +1, is symmetric around 0 and is common </w:t>
      </w:r>
      <w:r>
        <w:t>within</w:t>
      </w:r>
      <w:r w:rsidRPr="00913543">
        <w:t xml:space="preserve"> plant ecology literature (Armas, 2004). Negative values indicate relative competition whilst positives indicate facilitation (Armas et al., 2004). To determine if the effect was significantly different from 0, 95% confidence intervals around mean values were bootstrapped </w:t>
      </w:r>
      <w:r>
        <w:fldChar w:fldCharType="begin"/>
      </w:r>
      <w:r>
        <w:instrText xml:space="preserve"> ADDIN EN.CITE &lt;EndNote&gt;&lt;Cite&gt;&lt;Author&gt;Canty&lt;/Author&gt;&lt;Year&gt;2002&lt;/Year&gt;&lt;RecNum&gt;416&lt;/RecNum&gt;&lt;Prefix&gt;boot`, &lt;/Prefix&gt;&lt;DisplayText&gt;(boot, Canty 2002)&lt;/DisplayText&gt;&lt;record&gt;&lt;rec-number&gt;416&lt;/rec-number&gt;&lt;foreign-keys&gt;&lt;key app="EN" db-id="efxxxd2elfvxfde05eev9swq9zv0dswrxzp2"&gt;416&lt;/key&gt;&lt;/foreign-keys&gt;&lt;ref-type name="Journal Article"&gt;17&lt;/ref-type&gt;&lt;contributors&gt;&lt;authors&gt;&lt;author&gt;Canty, Angelo J&lt;/author&gt;&lt;/authors&gt;&lt;/contributors&gt;&lt;titles&gt;&lt;title&gt;Resampling methods in R: the boot package&lt;/title&gt;&lt;secondary-title&gt;The Newsletter of the R Project Volume&lt;/secondary-title&gt;&lt;/titles&gt;&lt;periodical&gt;&lt;full-title&gt;The Newsletter of the R Project Volume&lt;/full-title&gt;&lt;/periodical&gt;&lt;pages&gt;3&lt;/pages&gt;&lt;volume&gt;2&lt;/volume&gt;&lt;dates&gt;&lt;year&gt;2002&lt;/year&gt;&lt;/dates&gt;&lt;urls&gt;&lt;/urls&gt;&lt;/record&gt;&lt;/Cite&gt;&lt;/EndNote&gt;</w:instrText>
      </w:r>
      <w:r>
        <w:fldChar w:fldCharType="separate"/>
      </w:r>
      <w:r>
        <w:rPr>
          <w:noProof/>
        </w:rPr>
        <w:t>(</w:t>
      </w:r>
      <w:hyperlink w:anchor="_ENREF_3" w:tooltip="Canty, 2002 #416" w:history="1">
        <w:r w:rsidR="00B34BF9">
          <w:rPr>
            <w:noProof/>
          </w:rPr>
          <w:t>boot, Canty 2002</w:t>
        </w:r>
      </w:hyperlink>
      <w:r>
        <w:rPr>
          <w:noProof/>
        </w:rPr>
        <w:t>)</w:t>
      </w:r>
      <w:r>
        <w:fldChar w:fldCharType="end"/>
      </w:r>
      <w:r w:rsidR="004C5835">
        <w:t xml:space="preserve"> </w:t>
      </w:r>
      <w:r w:rsidR="004C5835">
        <w:rPr>
          <w:rFonts w:eastAsiaTheme="minorEastAsia"/>
        </w:rPr>
        <w:t xml:space="preserve">Because some of the pitfall traps were lost, the values were calculated at the site level using a permutation approach were the microsites were paired up randomly and the mean RII and SE were calculated for the sites. </w:t>
      </w:r>
      <w:r w:rsidR="00653AFD">
        <w:rPr>
          <w:rFonts w:eastAsiaTheme="minorEastAsia"/>
        </w:rPr>
        <w:t xml:space="preserve">For RDM, we calculated RII at the site level, as well as at the individual level. </w:t>
      </w:r>
    </w:p>
    <w:p w:rsidR="008905EF" w:rsidRPr="00610A5A" w:rsidRDefault="00653AFD" w:rsidP="00610A5A">
      <w:pPr>
        <w:spacing w:line="360" w:lineRule="auto"/>
        <w:rPr>
          <w:rFonts w:eastAsiaTheme="minorEastAsia"/>
        </w:rPr>
      </w:pPr>
      <w:r>
        <w:rPr>
          <w:rFonts w:eastAsiaTheme="minorEastAsia"/>
        </w:rPr>
        <w:t>To test for indirect effects, we used RII</w:t>
      </w:r>
      <w:r>
        <w:rPr>
          <w:rFonts w:eastAsiaTheme="minorEastAsia"/>
          <w:vertAlign w:val="subscript"/>
        </w:rPr>
        <w:t xml:space="preserve">abun </w:t>
      </w:r>
      <w:r>
        <w:rPr>
          <w:rFonts w:eastAsiaTheme="minorEastAsia"/>
        </w:rPr>
        <w:t>and RII</w:t>
      </w:r>
      <w:r>
        <w:rPr>
          <w:rFonts w:eastAsiaTheme="minorEastAsia"/>
          <w:vertAlign w:val="subscript"/>
        </w:rPr>
        <w:t>richness</w:t>
      </w:r>
      <w:r>
        <w:rPr>
          <w:rFonts w:eastAsiaTheme="minorEastAsia"/>
        </w:rPr>
        <w:t xml:space="preserve"> compared with the mean RDM at the shrub mi</w:t>
      </w:r>
      <w:r w:rsidR="00565BB7">
        <w:rPr>
          <w:rFonts w:eastAsiaTheme="minorEastAsia"/>
        </w:rPr>
        <w:t>crosites??? Maybe just a visual here?</w:t>
      </w:r>
    </w:p>
    <w:p w:rsidR="007F3247" w:rsidRPr="007F3247" w:rsidRDefault="007F3247" w:rsidP="004F4A9F">
      <w:pPr>
        <w:spacing w:line="360" w:lineRule="auto"/>
        <w:rPr>
          <w:b/>
        </w:rPr>
      </w:pPr>
      <w:r w:rsidRPr="007F3247">
        <w:rPr>
          <w:b/>
        </w:rPr>
        <w:t>RESULTS</w:t>
      </w:r>
    </w:p>
    <w:p w:rsidR="007F3247" w:rsidRDefault="00DE6B8D" w:rsidP="004F4A9F">
      <w:pPr>
        <w:spacing w:line="360" w:lineRule="auto"/>
      </w:pPr>
      <w:r>
        <w:lastRenderedPageBreak/>
        <w:t>A total of 6425</w:t>
      </w:r>
      <w:r w:rsidR="007F3247" w:rsidRPr="007F3247">
        <w:t xml:space="preserve"> arthropods were collected</w:t>
      </w:r>
      <w:r>
        <w:t>, ~200</w:t>
      </w:r>
      <w:r w:rsidR="00995AD6">
        <w:t xml:space="preserve"> morphospecies</w:t>
      </w:r>
      <w:r w:rsidR="007F3247" w:rsidRPr="007F3247">
        <w:t>. An</w:t>
      </w:r>
      <w:r w:rsidR="00995AD6">
        <w:t>ts</w:t>
      </w:r>
      <w:r>
        <w:t xml:space="preserve"> were the most abundant group (59.9</w:t>
      </w:r>
      <w:r w:rsidR="00995AD6">
        <w:t xml:space="preserve">%, </w:t>
      </w:r>
      <w:r>
        <w:t>3847 individuals) across 11 genera and 23 morphospecies.</w:t>
      </w:r>
    </w:p>
    <w:p w:rsidR="00995AD6" w:rsidRDefault="00995AD6" w:rsidP="004F4A9F">
      <w:pPr>
        <w:spacing w:line="360" w:lineRule="auto"/>
      </w:pPr>
      <w:r>
        <w:t xml:space="preserve">Arthropod abundance and </w:t>
      </w:r>
      <w:r w:rsidR="007F3247" w:rsidRPr="007F3247">
        <w:t xml:space="preserve">morphospecies richness </w:t>
      </w:r>
      <w:r>
        <w:t>were significantly greater</w:t>
      </w:r>
      <w:r w:rsidR="00C45148">
        <w:t xml:space="preserve"> under the canopy of </w:t>
      </w:r>
      <w:r w:rsidR="00C45148" w:rsidRPr="00C45148">
        <w:rPr>
          <w:i/>
        </w:rPr>
        <w:t>Ephedra californica</w:t>
      </w:r>
      <w:r w:rsidR="00C45148">
        <w:t xml:space="preserve"> than in open areas (Table 2). Contrary to our predictions, there was no influence of RDM biomass on either arthropod response variable (Table 2). The interaction term between rdm and microsite was not significant. </w:t>
      </w:r>
      <w:r w:rsidR="0030021B">
        <w:t xml:space="preserve">There was a significant negative effect of rdm cover on arthropod abundance, but no influence on richness. </w:t>
      </w:r>
    </w:p>
    <w:p w:rsidR="00BF2978" w:rsidRDefault="00BF2978" w:rsidP="004F4A9F">
      <w:pPr>
        <w:spacing w:line="360" w:lineRule="auto"/>
      </w:pPr>
      <w:r>
        <w:t>Residual dry matter biomass was significantl</w:t>
      </w:r>
      <w:r w:rsidR="0030021B">
        <w:t xml:space="preserve">y greater under shrubs (Table), and so was the percent cover of rdm. </w:t>
      </w:r>
    </w:p>
    <w:p w:rsidR="00BF2978" w:rsidRDefault="00B102CC" w:rsidP="004F4A9F">
      <w:pPr>
        <w:spacing w:line="360" w:lineRule="auto"/>
      </w:pPr>
      <w:r>
        <w:t>RDA results</w:t>
      </w:r>
    </w:p>
    <w:p w:rsidR="00B102CC" w:rsidRDefault="00B102CC" w:rsidP="007F3247">
      <w:r>
        <w:t>RII results</w:t>
      </w:r>
    </w:p>
    <w:p w:rsidR="00B102CC" w:rsidRDefault="00B102CC" w:rsidP="007F3247">
      <w:r>
        <w:t xml:space="preserve">Bootstrapped CI results </w:t>
      </w:r>
    </w:p>
    <w:p w:rsidR="00B102CC" w:rsidRDefault="00B102CC" w:rsidP="007F3247">
      <w:r>
        <w:t>Correlation coefficients</w:t>
      </w:r>
    </w:p>
    <w:p w:rsidR="007F3247" w:rsidRPr="00B102CC" w:rsidRDefault="007F3247" w:rsidP="007F3247">
      <w:r w:rsidRPr="007F3247">
        <w:rPr>
          <w:b/>
        </w:rPr>
        <w:t>DISCUSSION</w:t>
      </w:r>
    </w:p>
    <w:p w:rsidR="00223263" w:rsidRDefault="00223263" w:rsidP="004F4A9F">
      <w:pPr>
        <w:spacing w:line="360" w:lineRule="auto"/>
      </w:pPr>
      <w:r>
        <w:t>The Discussion should place the research results in the broadest possible scientific or management context. It should highlight the important contributions of the work and relate these contributions to published knowledge. The Discussion should clearly state the importance of the work to rangeland ecology or management.</w:t>
      </w:r>
    </w:p>
    <w:p w:rsidR="00223263" w:rsidRDefault="002B3804" w:rsidP="004F4A9F">
      <w:pPr>
        <w:spacing w:line="360" w:lineRule="auto"/>
      </w:pPr>
      <w:r>
        <w:t xml:space="preserve">The work of several author’s have shown arthropod island effects </w:t>
      </w:r>
      <w:r>
        <w:fldChar w:fldCharType="begin"/>
      </w:r>
      <w:r>
        <w:instrText xml:space="preserve"> ADDIN EN.CITE &lt;EndNote&gt;&lt;Cite&gt;&lt;Author&gt;Liu&lt;/Author&gt;&lt;Year&gt;2014&lt;/Year&gt;&lt;RecNum&gt;434&lt;/RecNum&gt;&lt;DisplayText&gt;(Liu, Zhu et al. 2014, Liu, Zhu et al. 2016)&lt;/DisplayText&gt;&lt;record&gt;&lt;rec-number&gt;434&lt;/rec-number&gt;&lt;foreign-keys&gt;&lt;key app="EN" db-id="efxxxd2elfvxfde05eev9swq9zv0dswrxzp2"&gt;434&lt;/key&gt;&lt;/foreign-keys&gt;&lt;ref-type name="Journal Article"&gt;17&lt;/ref-type&gt;&lt;contributors&gt;&lt;authors&gt;&lt;author&gt;Liu, Rentao&lt;/author&gt;&lt;author&gt;Zhu, Fan&lt;/author&gt;&lt;author&gt;An, Hui&lt;/author&gt;&lt;author&gt;Steinberger, Yosef&lt;/author&gt;&lt;/authors&gt;&lt;/contributors&gt;&lt;titles&gt;&lt;title&gt;Effect of naturally vs manually managed restoration on ground-dwelling arthropod communities in a desertified region&lt;/title&gt;&lt;secondary-title&gt;Ecological engineering&lt;/secondary-title&gt;&lt;/titles&gt;&lt;periodical&gt;&lt;full-title&gt;Ecological engineering&lt;/full-title&gt;&lt;/periodical&gt;&lt;pages&gt;545-552&lt;/pages&gt;&lt;volume&gt;73&lt;/volume&gt;&lt;dates&gt;&lt;year&gt;2014&lt;/year&gt;&lt;/dates&gt;&lt;isbn&gt;0925-8574&lt;/isbn&gt;&lt;urls&gt;&lt;/urls&gt;&lt;/record&gt;&lt;/Cite&gt;&lt;Cite&gt;&lt;Author&gt;Liu&lt;/Author&gt;&lt;Year&gt;2016&lt;/Year&gt;&lt;RecNum&gt;431&lt;/RecNum&gt;&lt;record&gt;&lt;rec-number&gt;431&lt;/rec-number&gt;&lt;foreign-keys&gt;&lt;key app="EN" db-id="efxxxd2elfvxfde05eev9swq9zv0dswrxzp2"&gt;431&lt;/key&gt;&lt;/foreign-keys&gt;&lt;ref-type name="Journal Article"&gt;17&lt;/ref-type&gt;&lt;contributors&gt;&lt;authors&gt;&lt;author&gt;Liu, Rentao&lt;/author&gt;&lt;author&gt;Zhu, Fan&lt;/author&gt;&lt;author&gt;Steinberger, Yosef&lt;/author&gt;&lt;/authors&gt;&lt;/contributors&gt;&lt;titles&gt;&lt;title&gt;Changes in ground-dwelling arthropod diversity related to the proximity of shrub cover in a desertified system&lt;/title&gt;&lt;secondary-title&gt;Journal of Arid Environments&lt;/secondary-title&gt;&lt;/titles&gt;&lt;periodical&gt;&lt;full-title&gt;Journal of arid environments&lt;/full-title&gt;&lt;/periodical&gt;&lt;pages&gt;172-179&lt;/pages&gt;&lt;volume&gt;124&lt;/volume&gt;&lt;dates&gt;&lt;year&gt;2016&lt;/year&gt;&lt;/dates&gt;&lt;isbn&gt;0140-1963&lt;/isbn&gt;&lt;urls&gt;&lt;/urls&gt;&lt;/record&gt;&lt;/Cite&gt;&lt;/EndNote&gt;</w:instrText>
      </w:r>
      <w:r>
        <w:fldChar w:fldCharType="separate"/>
      </w:r>
      <w:r>
        <w:rPr>
          <w:noProof/>
        </w:rPr>
        <w:t>(</w:t>
      </w:r>
      <w:hyperlink w:anchor="_ENREF_5" w:tooltip="Liu, 2014 #434" w:history="1">
        <w:r w:rsidR="00B34BF9">
          <w:rPr>
            <w:noProof/>
          </w:rPr>
          <w:t>Liu, Zhu et al. 2014</w:t>
        </w:r>
      </w:hyperlink>
      <w:r>
        <w:rPr>
          <w:noProof/>
        </w:rPr>
        <w:t xml:space="preserve">, </w:t>
      </w:r>
      <w:hyperlink w:anchor="_ENREF_6" w:tooltip="Liu, 2016 #431" w:history="1">
        <w:r w:rsidR="00B34BF9">
          <w:rPr>
            <w:noProof/>
          </w:rPr>
          <w:t>Liu, Zhu et al. 2016</w:t>
        </w:r>
      </w:hyperlink>
      <w:r>
        <w:rPr>
          <w:noProof/>
        </w:rPr>
        <w:t>)</w:t>
      </w:r>
      <w:r>
        <w:fldChar w:fldCharType="end"/>
      </w:r>
    </w:p>
    <w:p w:rsidR="005A603D" w:rsidRDefault="00223263" w:rsidP="004F4A9F">
      <w:pPr>
        <w:spacing w:line="360" w:lineRule="auto"/>
      </w:pPr>
      <w:r>
        <w:rPr>
          <w:rStyle w:val="Strong"/>
        </w:rPr>
        <w:t>Implications</w:t>
      </w:r>
      <w:r>
        <w:t xml:space="preserve"> </w:t>
      </w:r>
      <w:r>
        <w:br/>
      </w:r>
      <w:r>
        <w:br/>
      </w:r>
      <w:r w:rsidR="005A603D">
        <w:t>- shrubs should be managed to maintain biodiversity and productivity within rangelands</w:t>
      </w:r>
    </w:p>
    <w:p w:rsidR="005A603D" w:rsidRDefault="005A603D" w:rsidP="004F4A9F">
      <w:pPr>
        <w:pStyle w:val="ListParagraph"/>
        <w:numPr>
          <w:ilvl w:val="0"/>
          <w:numId w:val="4"/>
        </w:numPr>
        <w:spacing w:line="360" w:lineRule="auto"/>
      </w:pPr>
      <w:r>
        <w:t>To capture the biodiversity of inverts shrubs should be sampled</w:t>
      </w:r>
    </w:p>
    <w:p w:rsidR="00223263" w:rsidRDefault="00223263" w:rsidP="004F4A9F">
      <w:pPr>
        <w:spacing w:line="360" w:lineRule="auto"/>
      </w:pPr>
      <w:r>
        <w:t>All manuscripts should conclude with a brief section (maximum of two paragraphs) that highlights the broad implications of the research. The implications can be either scientific or managerial and reference any aspect of the rangeland profession.</w:t>
      </w:r>
    </w:p>
    <w:p w:rsidR="00A814B5" w:rsidRDefault="00485F89" w:rsidP="007F3247">
      <w:r>
        <w:lastRenderedPageBreak/>
        <w:t>TABLES</w:t>
      </w:r>
    </w:p>
    <w:p w:rsidR="00485F89" w:rsidRDefault="00485F89" w:rsidP="007F3247">
      <w:r>
        <w:t>Table 1: List of study sites surveyed for this project</w:t>
      </w:r>
    </w:p>
    <w:tbl>
      <w:tblPr>
        <w:tblStyle w:val="TableGrid"/>
        <w:tblW w:w="0" w:type="auto"/>
        <w:tblLook w:val="04A0" w:firstRow="1" w:lastRow="0" w:firstColumn="1" w:lastColumn="0" w:noHBand="0" w:noVBand="1"/>
      </w:tblPr>
      <w:tblGrid>
        <w:gridCol w:w="1392"/>
        <w:gridCol w:w="1742"/>
        <w:gridCol w:w="1041"/>
        <w:gridCol w:w="1043"/>
        <w:gridCol w:w="1136"/>
        <w:gridCol w:w="990"/>
        <w:gridCol w:w="956"/>
        <w:gridCol w:w="1050"/>
      </w:tblGrid>
      <w:tr w:rsidR="003051C9" w:rsidTr="003051C9">
        <w:tc>
          <w:tcPr>
            <w:tcW w:w="1459" w:type="dxa"/>
          </w:tcPr>
          <w:p w:rsidR="00A814B5" w:rsidRDefault="00867E93" w:rsidP="007F3247">
            <w:r>
              <w:t>Site</w:t>
            </w:r>
          </w:p>
        </w:tc>
        <w:tc>
          <w:tcPr>
            <w:tcW w:w="1866" w:type="dxa"/>
          </w:tcPr>
          <w:p w:rsidR="00A814B5" w:rsidRDefault="00867E93" w:rsidP="007F3247">
            <w:r>
              <w:t>Region</w:t>
            </w:r>
          </w:p>
        </w:tc>
        <w:tc>
          <w:tcPr>
            <w:tcW w:w="757" w:type="dxa"/>
          </w:tcPr>
          <w:p w:rsidR="00A814B5" w:rsidRDefault="00867E93" w:rsidP="007F3247">
            <w:r>
              <w:t>Lat</w:t>
            </w:r>
          </w:p>
        </w:tc>
        <w:tc>
          <w:tcPr>
            <w:tcW w:w="1061" w:type="dxa"/>
          </w:tcPr>
          <w:p w:rsidR="00A814B5" w:rsidRDefault="00867E93" w:rsidP="007F3247">
            <w:r>
              <w:t>Long</w:t>
            </w:r>
          </w:p>
        </w:tc>
        <w:tc>
          <w:tcPr>
            <w:tcW w:w="1136" w:type="dxa"/>
          </w:tcPr>
          <w:p w:rsidR="00A814B5" w:rsidRDefault="00867E93" w:rsidP="007F3247">
            <w:r>
              <w:t>Elevation</w:t>
            </w:r>
          </w:p>
        </w:tc>
        <w:tc>
          <w:tcPr>
            <w:tcW w:w="1028" w:type="dxa"/>
          </w:tcPr>
          <w:p w:rsidR="00A814B5" w:rsidRDefault="00254B68" w:rsidP="007F3247">
            <w:r>
              <w:t>MAT</w:t>
            </w:r>
          </w:p>
        </w:tc>
        <w:tc>
          <w:tcPr>
            <w:tcW w:w="991" w:type="dxa"/>
          </w:tcPr>
          <w:p w:rsidR="00A814B5" w:rsidRDefault="00254B68" w:rsidP="007F3247">
            <w:r>
              <w:t>MAP</w:t>
            </w:r>
          </w:p>
        </w:tc>
        <w:tc>
          <w:tcPr>
            <w:tcW w:w="1052" w:type="dxa"/>
          </w:tcPr>
          <w:p w:rsidR="00A814B5" w:rsidRDefault="00A814B5" w:rsidP="007F3247"/>
        </w:tc>
      </w:tr>
      <w:tr w:rsidR="003051C9" w:rsidTr="003051C9">
        <w:tc>
          <w:tcPr>
            <w:tcW w:w="1459" w:type="dxa"/>
          </w:tcPr>
          <w:p w:rsidR="00254B68" w:rsidRPr="003051C9" w:rsidRDefault="00254B68" w:rsidP="00254B68">
            <w:pPr>
              <w:rPr>
                <w:sz w:val="22"/>
                <w:szCs w:val="22"/>
              </w:rPr>
            </w:pPr>
            <w:r w:rsidRPr="003051C9">
              <w:rPr>
                <w:sz w:val="22"/>
                <w:szCs w:val="22"/>
              </w:rPr>
              <w:t>Pan1</w:t>
            </w:r>
          </w:p>
        </w:tc>
        <w:tc>
          <w:tcPr>
            <w:tcW w:w="1866" w:type="dxa"/>
          </w:tcPr>
          <w:p w:rsidR="00254B68" w:rsidRPr="003051C9" w:rsidRDefault="00254B68" w:rsidP="00254B68">
            <w:pPr>
              <w:rPr>
                <w:sz w:val="22"/>
                <w:szCs w:val="22"/>
              </w:rPr>
            </w:pPr>
            <w:r w:rsidRPr="003051C9">
              <w:rPr>
                <w:sz w:val="22"/>
                <w:szCs w:val="22"/>
              </w:rPr>
              <w:t>Panoche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36.70654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-120.812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611</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377</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2.618056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Panoche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36.70554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-120.812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596</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377</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2.618056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Panoche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36.70001</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-120.801</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656.3209</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381</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2.474026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Cuyama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34.84873</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-119.483</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848</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Cuyama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34.85362</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-119.486</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837</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r w:rsidRPr="003051C9">
              <w:rPr>
                <w:sz w:val="22"/>
                <w:szCs w:val="22"/>
              </w:rPr>
              <w:t>Cuyama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34.93824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-119.481</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827</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r w:rsidRPr="003051C9">
              <w:rPr>
                <w:sz w:val="22"/>
                <w:szCs w:val="22"/>
              </w:rPr>
              <w:t>M1 (Sheep hole valley)</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35.09405</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-116.835</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496.02</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19.7</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135</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0.652174</w:t>
            </w:r>
          </w:p>
        </w:tc>
      </w:tr>
      <w:tr w:rsidR="003051C9" w:rsidTr="003051C9">
        <w:tc>
          <w:tcPr>
            <w:tcW w:w="1459" w:type="dxa"/>
          </w:tcPr>
          <w:p w:rsidR="00254B68" w:rsidRPr="003051C9" w:rsidRDefault="00254B68" w:rsidP="00254B68">
            <w:pPr>
              <w:rPr>
                <w:sz w:val="22"/>
                <w:szCs w:val="22"/>
              </w:rPr>
            </w:pPr>
            <w:r w:rsidRPr="003051C9">
              <w:rPr>
                <w:sz w:val="22"/>
                <w:szCs w:val="22"/>
              </w:rPr>
              <w:t>M2 (Heart of the Mojave)</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34.6982</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-115.684</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784.73</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19.3</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79</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0.389163</w:t>
            </w:r>
          </w:p>
        </w:tc>
      </w:tr>
      <w:tr w:rsidR="003051C9" w:rsidTr="003051C9">
        <w:tc>
          <w:tcPr>
            <w:tcW w:w="1459" w:type="dxa"/>
          </w:tcPr>
          <w:p w:rsidR="00254B68" w:rsidRPr="003051C9" w:rsidRDefault="00254B68" w:rsidP="00254B68">
            <w:pPr>
              <w:rPr>
                <w:sz w:val="22"/>
                <w:szCs w:val="22"/>
              </w:rPr>
            </w:pPr>
            <w:r w:rsidRPr="003051C9">
              <w:rPr>
                <w:sz w:val="22"/>
                <w:szCs w:val="22"/>
              </w:rPr>
              <w:t>M3 (Ft. Irwin area)</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34.20568</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-115.72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545.92</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20.9</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109</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0.497717</w:t>
            </w:r>
          </w:p>
        </w:tc>
      </w:tr>
    </w:tbl>
    <w:p w:rsidR="00A814B5" w:rsidRDefault="00A814B5" w:rsidP="007F3247"/>
    <w:p w:rsidR="00180835" w:rsidRDefault="00180835" w:rsidP="006469F4">
      <w:pPr>
        <w:tabs>
          <w:tab w:val="left" w:pos="6195"/>
        </w:tabs>
      </w:pPr>
      <w:r>
        <w:t>Table 2: GLMM showing arthropod community responses</w:t>
      </w:r>
      <w:r w:rsidR="006469F4">
        <w:tab/>
      </w:r>
    </w:p>
    <w:p w:rsidR="006469F4" w:rsidRDefault="006469F4" w:rsidP="0064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Conditional model:</w:t>
      </w:r>
      <w:r>
        <w:rPr>
          <w:rFonts w:ascii="Courier New" w:eastAsia="Times New Roman" w:hAnsi="Courier New" w:cs="Courier New"/>
          <w:sz w:val="20"/>
          <w:szCs w:val="20"/>
        </w:rPr>
        <w:t xml:space="preserve"> Richness</w:t>
      </w:r>
    </w:p>
    <w:p w:rsidR="006469F4" w:rsidRPr="006469F4" w:rsidRDefault="006469F4"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ab/>
        <w:t xml:space="preserve"> </w:t>
      </w:r>
    </w:p>
    <w:p w:rsidR="006469F4" w:rsidRDefault="006469F4" w:rsidP="006469F4">
      <w:pPr>
        <w:tabs>
          <w:tab w:val="left" w:pos="7328"/>
        </w:tabs>
      </w:pPr>
    </w:p>
    <w:p w:rsidR="006469F4" w:rsidRDefault="006469F4" w:rsidP="006469F4">
      <w:pPr>
        <w:pStyle w:val="HTMLPreformatted"/>
        <w:rPr>
          <w:rStyle w:val="HTMLCode"/>
        </w:rPr>
      </w:pPr>
      <w:r>
        <w:rPr>
          <w:rStyle w:val="HTMLCode"/>
        </w:rPr>
        <w:t>Conditional model:</w:t>
      </w:r>
    </w:p>
    <w:p w:rsidR="006469F4" w:rsidRDefault="006469F4" w:rsidP="006469F4">
      <w:pPr>
        <w:pStyle w:val="HTMLPreformatted"/>
        <w:rPr>
          <w:rStyle w:val="HTMLCode"/>
        </w:rPr>
      </w:pPr>
      <w:r>
        <w:rPr>
          <w:rStyle w:val="HTMLCode"/>
        </w:rPr>
        <w:t xml:space="preserve">##                Estimate Std. Error z value Pr(&gt;|z|)    </w:t>
      </w:r>
    </w:p>
    <w:p w:rsidR="006469F4" w:rsidRDefault="006469F4" w:rsidP="006469F4">
      <w:pPr>
        <w:pStyle w:val="HTMLPreformatted"/>
        <w:rPr>
          <w:rStyle w:val="HTMLCode"/>
        </w:rPr>
      </w:pPr>
      <w:r>
        <w:rPr>
          <w:rStyle w:val="HTMLCode"/>
        </w:rPr>
        <w:t>## (Intercept)    2.052152   0.135044  15.196  &lt; 2e-16 ***</w:t>
      </w:r>
    </w:p>
    <w:p w:rsidR="006469F4" w:rsidRDefault="006469F4" w:rsidP="006469F4">
      <w:pPr>
        <w:pStyle w:val="HTMLPreformatted"/>
        <w:rPr>
          <w:rStyle w:val="HTMLCode"/>
        </w:rPr>
      </w:pPr>
      <w:r>
        <w:rPr>
          <w:rStyle w:val="HTMLCode"/>
        </w:rPr>
        <w:t xml:space="preserve">## Micrositeopen -0.176744   0.064116  -2.757  0.00584 ** </w:t>
      </w:r>
    </w:p>
    <w:p w:rsidR="006469F4" w:rsidRDefault="006469F4" w:rsidP="006469F4">
      <w:pPr>
        <w:pStyle w:val="HTMLPreformatted"/>
      </w:pPr>
      <w:r>
        <w:rPr>
          <w:rStyle w:val="HTMLCode"/>
        </w:rPr>
        <w:t xml:space="preserve">## RDM           -0.002836   0.013234  -0.214  0.83030    </w:t>
      </w:r>
    </w:p>
    <w:p w:rsidR="006469F4" w:rsidRDefault="006469F4" w:rsidP="006469F4">
      <w:pPr>
        <w:tabs>
          <w:tab w:val="left" w:pos="7328"/>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080"/>
        <w:gridCol w:w="314"/>
        <w:gridCol w:w="1226"/>
      </w:tblGrid>
      <w:tr w:rsidR="00146AB2" w:rsidRPr="00146AB2" w:rsidTr="00146AB2">
        <w:trPr>
          <w:tblHeader/>
          <w:tblCellSpacing w:w="15" w:type="dxa"/>
        </w:trPr>
        <w:tc>
          <w:tcPr>
            <w:tcW w:w="0" w:type="auto"/>
            <w:vAlign w:val="center"/>
            <w:hideMark/>
          </w:tcPr>
          <w:p w:rsidR="00146AB2" w:rsidRPr="00146AB2" w:rsidRDefault="00146AB2" w:rsidP="00146AB2">
            <w:pPr>
              <w:tabs>
                <w:tab w:val="left" w:pos="7328"/>
              </w:tabs>
            </w:pPr>
          </w:p>
        </w:tc>
        <w:tc>
          <w:tcPr>
            <w:tcW w:w="0" w:type="auto"/>
            <w:vAlign w:val="center"/>
            <w:hideMark/>
          </w:tcPr>
          <w:p w:rsidR="00146AB2" w:rsidRPr="00146AB2" w:rsidRDefault="00146AB2" w:rsidP="00146AB2">
            <w:pPr>
              <w:tabs>
                <w:tab w:val="left" w:pos="7328"/>
              </w:tabs>
              <w:rPr>
                <w:b/>
                <w:bCs/>
              </w:rPr>
            </w:pPr>
            <w:r w:rsidRPr="00146AB2">
              <w:rPr>
                <w:b/>
                <w:bCs/>
              </w:rPr>
              <w:t>Chisq</w:t>
            </w:r>
          </w:p>
        </w:tc>
        <w:tc>
          <w:tcPr>
            <w:tcW w:w="0" w:type="auto"/>
            <w:vAlign w:val="center"/>
            <w:hideMark/>
          </w:tcPr>
          <w:p w:rsidR="00146AB2" w:rsidRPr="00146AB2" w:rsidRDefault="00146AB2" w:rsidP="00146AB2">
            <w:pPr>
              <w:tabs>
                <w:tab w:val="left" w:pos="7328"/>
              </w:tabs>
              <w:rPr>
                <w:b/>
                <w:bCs/>
              </w:rPr>
            </w:pPr>
            <w:r w:rsidRPr="00146AB2">
              <w:rPr>
                <w:b/>
                <w:bCs/>
              </w:rPr>
              <w:t>Df</w:t>
            </w:r>
          </w:p>
        </w:tc>
        <w:tc>
          <w:tcPr>
            <w:tcW w:w="0" w:type="auto"/>
            <w:vAlign w:val="center"/>
            <w:hideMark/>
          </w:tcPr>
          <w:p w:rsidR="00146AB2" w:rsidRPr="00146AB2" w:rsidRDefault="00146AB2" w:rsidP="00146AB2">
            <w:pPr>
              <w:tabs>
                <w:tab w:val="left" w:pos="7328"/>
              </w:tabs>
              <w:rPr>
                <w:b/>
                <w:bCs/>
              </w:rPr>
            </w:pPr>
            <w:r w:rsidRPr="00146AB2">
              <w:rPr>
                <w:b/>
                <w:bCs/>
              </w:rPr>
              <w:t>Pr(&gt;Chisq)</w:t>
            </w:r>
          </w:p>
        </w:tc>
      </w:tr>
      <w:tr w:rsidR="00146AB2" w:rsidRPr="00146AB2" w:rsidTr="00146AB2">
        <w:trPr>
          <w:tblCellSpacing w:w="15" w:type="dxa"/>
        </w:trPr>
        <w:tc>
          <w:tcPr>
            <w:tcW w:w="0" w:type="auto"/>
            <w:vAlign w:val="center"/>
            <w:hideMark/>
          </w:tcPr>
          <w:p w:rsidR="00146AB2" w:rsidRPr="00146AB2" w:rsidRDefault="00146AB2" w:rsidP="00146AB2">
            <w:pPr>
              <w:tabs>
                <w:tab w:val="left" w:pos="7328"/>
              </w:tabs>
            </w:pPr>
            <w:r w:rsidRPr="00146AB2">
              <w:t>Microsite</w:t>
            </w:r>
          </w:p>
        </w:tc>
        <w:tc>
          <w:tcPr>
            <w:tcW w:w="0" w:type="auto"/>
            <w:vAlign w:val="center"/>
            <w:hideMark/>
          </w:tcPr>
          <w:p w:rsidR="00146AB2" w:rsidRPr="00146AB2" w:rsidRDefault="00146AB2" w:rsidP="00146AB2">
            <w:pPr>
              <w:tabs>
                <w:tab w:val="left" w:pos="7328"/>
              </w:tabs>
            </w:pPr>
            <w:r w:rsidRPr="00146AB2">
              <w:t>7.5990818</w:t>
            </w:r>
          </w:p>
        </w:tc>
        <w:tc>
          <w:tcPr>
            <w:tcW w:w="0" w:type="auto"/>
            <w:vAlign w:val="center"/>
            <w:hideMark/>
          </w:tcPr>
          <w:p w:rsidR="00146AB2" w:rsidRPr="00146AB2" w:rsidRDefault="00146AB2" w:rsidP="00146AB2">
            <w:pPr>
              <w:tabs>
                <w:tab w:val="left" w:pos="7328"/>
              </w:tabs>
            </w:pPr>
            <w:r w:rsidRPr="00146AB2">
              <w:t>1</w:t>
            </w:r>
          </w:p>
        </w:tc>
        <w:tc>
          <w:tcPr>
            <w:tcW w:w="0" w:type="auto"/>
            <w:vAlign w:val="center"/>
            <w:hideMark/>
          </w:tcPr>
          <w:p w:rsidR="00146AB2" w:rsidRPr="00146AB2" w:rsidRDefault="00146AB2" w:rsidP="00146AB2">
            <w:pPr>
              <w:tabs>
                <w:tab w:val="left" w:pos="7328"/>
              </w:tabs>
            </w:pPr>
            <w:r w:rsidRPr="00146AB2">
              <w:t>0.0058398</w:t>
            </w:r>
          </w:p>
        </w:tc>
      </w:tr>
      <w:tr w:rsidR="00146AB2" w:rsidRPr="00146AB2" w:rsidTr="00146AB2">
        <w:trPr>
          <w:tblCellSpacing w:w="15" w:type="dxa"/>
        </w:trPr>
        <w:tc>
          <w:tcPr>
            <w:tcW w:w="0" w:type="auto"/>
            <w:vAlign w:val="center"/>
            <w:hideMark/>
          </w:tcPr>
          <w:p w:rsidR="00146AB2" w:rsidRPr="00146AB2" w:rsidRDefault="00146AB2" w:rsidP="00146AB2">
            <w:pPr>
              <w:tabs>
                <w:tab w:val="left" w:pos="7328"/>
              </w:tabs>
            </w:pPr>
            <w:r w:rsidRPr="00146AB2">
              <w:t>RDM</w:t>
            </w:r>
          </w:p>
        </w:tc>
        <w:tc>
          <w:tcPr>
            <w:tcW w:w="0" w:type="auto"/>
            <w:vAlign w:val="center"/>
            <w:hideMark/>
          </w:tcPr>
          <w:p w:rsidR="00146AB2" w:rsidRPr="00146AB2" w:rsidRDefault="00146AB2" w:rsidP="00146AB2">
            <w:pPr>
              <w:tabs>
                <w:tab w:val="left" w:pos="7328"/>
              </w:tabs>
            </w:pPr>
            <w:r w:rsidRPr="00146AB2">
              <w:t>0.0459305</w:t>
            </w:r>
          </w:p>
        </w:tc>
        <w:tc>
          <w:tcPr>
            <w:tcW w:w="0" w:type="auto"/>
            <w:vAlign w:val="center"/>
            <w:hideMark/>
          </w:tcPr>
          <w:p w:rsidR="00146AB2" w:rsidRPr="00146AB2" w:rsidRDefault="00146AB2" w:rsidP="00146AB2">
            <w:pPr>
              <w:tabs>
                <w:tab w:val="left" w:pos="7328"/>
              </w:tabs>
            </w:pPr>
            <w:r w:rsidRPr="00146AB2">
              <w:t>1</w:t>
            </w:r>
          </w:p>
        </w:tc>
        <w:tc>
          <w:tcPr>
            <w:tcW w:w="0" w:type="auto"/>
            <w:vAlign w:val="center"/>
            <w:hideMark/>
          </w:tcPr>
          <w:p w:rsidR="00146AB2" w:rsidRPr="00146AB2" w:rsidRDefault="00146AB2" w:rsidP="00146AB2">
            <w:pPr>
              <w:tabs>
                <w:tab w:val="left" w:pos="7328"/>
              </w:tabs>
            </w:pPr>
            <w:r w:rsidRPr="00146AB2">
              <w:t>0.8303022</w:t>
            </w:r>
          </w:p>
        </w:tc>
      </w:tr>
    </w:tbl>
    <w:p w:rsidR="006469F4" w:rsidRDefault="006469F4" w:rsidP="006469F4">
      <w:pPr>
        <w:tabs>
          <w:tab w:val="left" w:pos="7328"/>
        </w:tabs>
      </w:pPr>
      <w:r>
        <w:tab/>
      </w:r>
    </w:p>
    <w:p w:rsidR="006469F4" w:rsidRDefault="006469F4" w:rsidP="006469F4">
      <w:pPr>
        <w:pStyle w:val="HTMLPreformatted"/>
        <w:rPr>
          <w:rStyle w:val="HTMLCode"/>
        </w:rPr>
      </w:pPr>
      <w:r>
        <w:rPr>
          <w:rStyle w:val="HTMLCode"/>
        </w:rPr>
        <w:t>## Conditional model: Abundance</w:t>
      </w:r>
    </w:p>
    <w:p w:rsidR="006469F4" w:rsidRDefault="006469F4" w:rsidP="006469F4">
      <w:pPr>
        <w:pStyle w:val="HTMLPreformatted"/>
        <w:rPr>
          <w:rStyle w:val="HTMLCode"/>
        </w:rPr>
      </w:pPr>
      <w:r>
        <w:rPr>
          <w:rStyle w:val="HTMLCode"/>
        </w:rPr>
        <w:t xml:space="preserve">##               Estimate Std. Error z value Pr(&gt;|z|)    </w:t>
      </w:r>
    </w:p>
    <w:p w:rsidR="006469F4" w:rsidRDefault="006469F4" w:rsidP="006469F4">
      <w:pPr>
        <w:pStyle w:val="HTMLPreformatted"/>
        <w:rPr>
          <w:rStyle w:val="HTMLCode"/>
        </w:rPr>
      </w:pPr>
      <w:r>
        <w:rPr>
          <w:rStyle w:val="HTMLCode"/>
        </w:rPr>
        <w:t>## (Intercept)    3.55435    0.20258  17.546   &lt;2e-16 ***</w:t>
      </w:r>
    </w:p>
    <w:p w:rsidR="006469F4" w:rsidRDefault="006469F4" w:rsidP="006469F4">
      <w:pPr>
        <w:pStyle w:val="HTMLPreformatted"/>
        <w:rPr>
          <w:rStyle w:val="HTMLCode"/>
        </w:rPr>
      </w:pPr>
      <w:r>
        <w:rPr>
          <w:rStyle w:val="HTMLCode"/>
        </w:rPr>
        <w:t xml:space="preserve">## Micrositeopen -0.37588    0.14283  -2.632   0.0085 ** </w:t>
      </w:r>
    </w:p>
    <w:p w:rsidR="006469F4" w:rsidRDefault="006469F4" w:rsidP="006469F4">
      <w:pPr>
        <w:pStyle w:val="HTMLPreformatted"/>
      </w:pPr>
      <w:r>
        <w:rPr>
          <w:rStyle w:val="HTMLCode"/>
        </w:rPr>
        <w:t xml:space="preserve">## RDM           -0.01602    0.02626  -0.610   0.5416    </w:t>
      </w:r>
    </w:p>
    <w:p w:rsidR="006469F4" w:rsidRDefault="006469F4" w:rsidP="006469F4">
      <w:pPr>
        <w:tabs>
          <w:tab w:val="left" w:pos="7328"/>
        </w:tabs>
      </w:pP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 xml:space="preserve">Chisq </w:t>
      </w:r>
      <w:r w:rsidRPr="006469F4">
        <w:rPr>
          <w:rFonts w:ascii="Courier New" w:eastAsia="Times New Roman" w:hAnsi="Courier New" w:cs="Courier New"/>
          <w:sz w:val="20"/>
          <w:szCs w:val="20"/>
        </w:rPr>
        <w:tab/>
        <w:t xml:space="preserve">Df </w:t>
      </w:r>
      <w:r w:rsidRPr="006469F4">
        <w:rPr>
          <w:rFonts w:ascii="Courier New" w:eastAsia="Times New Roman" w:hAnsi="Courier New" w:cs="Courier New"/>
          <w:sz w:val="20"/>
          <w:szCs w:val="20"/>
        </w:rPr>
        <w:tab/>
        <w:t>Pr(&gt;Chisq)</w:t>
      </w: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 xml:space="preserve">Microsite </w:t>
      </w:r>
      <w:r w:rsidRPr="006469F4">
        <w:rPr>
          <w:rFonts w:ascii="Courier New" w:eastAsia="Times New Roman" w:hAnsi="Courier New" w:cs="Courier New"/>
          <w:sz w:val="20"/>
          <w:szCs w:val="20"/>
        </w:rPr>
        <w:tab/>
        <w:t xml:space="preserve">6.9253041 </w:t>
      </w:r>
      <w:r w:rsidRPr="006469F4">
        <w:rPr>
          <w:rFonts w:ascii="Courier New" w:eastAsia="Times New Roman" w:hAnsi="Courier New" w:cs="Courier New"/>
          <w:sz w:val="20"/>
          <w:szCs w:val="20"/>
        </w:rPr>
        <w:tab/>
        <w:t xml:space="preserve">1 </w:t>
      </w:r>
      <w:r w:rsidRPr="006469F4">
        <w:rPr>
          <w:rFonts w:ascii="Courier New" w:eastAsia="Times New Roman" w:hAnsi="Courier New" w:cs="Courier New"/>
          <w:sz w:val="20"/>
          <w:szCs w:val="20"/>
        </w:rPr>
        <w:tab/>
        <w:t>0.0084985</w:t>
      </w: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 xml:space="preserve">RDM </w:t>
      </w:r>
      <w:r w:rsidRPr="006469F4">
        <w:rPr>
          <w:rFonts w:ascii="Courier New" w:eastAsia="Times New Roman" w:hAnsi="Courier New" w:cs="Courier New"/>
          <w:sz w:val="20"/>
          <w:szCs w:val="20"/>
        </w:rPr>
        <w:tab/>
        <w:t xml:space="preserve">0.3724924 </w:t>
      </w:r>
      <w:r w:rsidRPr="006469F4">
        <w:rPr>
          <w:rFonts w:ascii="Courier New" w:eastAsia="Times New Roman" w:hAnsi="Courier New" w:cs="Courier New"/>
          <w:sz w:val="20"/>
          <w:szCs w:val="20"/>
        </w:rPr>
        <w:tab/>
        <w:t xml:space="preserve">1 </w:t>
      </w:r>
      <w:r w:rsidRPr="006469F4">
        <w:rPr>
          <w:rFonts w:ascii="Courier New" w:eastAsia="Times New Roman" w:hAnsi="Courier New" w:cs="Courier New"/>
          <w:sz w:val="20"/>
          <w:szCs w:val="20"/>
        </w:rPr>
        <w:tab/>
        <w:t xml:space="preserve">0.5416488 </w:t>
      </w:r>
    </w:p>
    <w:p w:rsidR="00146AB2" w:rsidRDefault="00146AB2" w:rsidP="006469F4">
      <w:pPr>
        <w:tabs>
          <w:tab w:val="left" w:pos="7328"/>
        </w:tabs>
      </w:pPr>
    </w:p>
    <w:p w:rsidR="002E078D" w:rsidRDefault="002E078D" w:rsidP="007F3247">
      <w:r>
        <w:t>Table 3: Results from RDA</w:t>
      </w:r>
    </w:p>
    <w:p w:rsidR="00180835" w:rsidRDefault="00180835" w:rsidP="007F3247">
      <w:r>
        <w:lastRenderedPageBreak/>
        <w:t>Figure 1: Map of study sites across Southern California.</w:t>
      </w:r>
    </w:p>
    <w:p w:rsidR="002E078D" w:rsidRDefault="002E078D" w:rsidP="007F3247">
      <w:r>
        <w:t>Figure 2: RII abun/richness vs RDM under shrubs</w:t>
      </w:r>
    </w:p>
    <w:p w:rsidR="002E078D" w:rsidRDefault="002E078D" w:rsidP="007F3247">
      <w:r>
        <w:t>Figure 3: RDA ordination</w:t>
      </w:r>
    </w:p>
    <w:p w:rsidR="00180835" w:rsidRDefault="00180835" w:rsidP="007F3247"/>
    <w:p w:rsidR="00180835" w:rsidRDefault="00180835" w:rsidP="007F3247"/>
    <w:p w:rsidR="00180835" w:rsidRDefault="00180835" w:rsidP="007F3247"/>
    <w:p w:rsidR="00180835" w:rsidRDefault="0092318A" w:rsidP="007F3247">
      <w:r>
        <w:t>Appendix</w:t>
      </w:r>
    </w:p>
    <w:p w:rsidR="0092318A" w:rsidRDefault="0092318A" w:rsidP="007F3247">
      <w:r>
        <w:rPr>
          <w:noProof/>
        </w:rPr>
        <w:drawing>
          <wp:inline distT="0" distB="0" distL="0" distR="0">
            <wp:extent cx="5943600" cy="3714750"/>
            <wp:effectExtent l="0" t="0" r="0" b="0"/>
            <wp:docPr id="1" name="Picture 1" descr="C:\Users\moais\AppData\Local\Microsoft\Windows\INetCache\Content.MSO\86597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ais\AppData\Local\Microsoft\Windows\INetCache\Content.MSO\865972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180835" w:rsidRDefault="0092318A" w:rsidP="007F3247">
      <w:r>
        <w:t xml:space="preserve">Figure A1: Distribution of RDM collected for each microsite over all sites. </w:t>
      </w:r>
    </w:p>
    <w:p w:rsidR="00180835" w:rsidRDefault="00180835" w:rsidP="007F3247"/>
    <w:p w:rsidR="00180835" w:rsidRDefault="00180835" w:rsidP="007F3247"/>
    <w:p w:rsidR="00180835" w:rsidRDefault="00180835" w:rsidP="007F3247"/>
    <w:p w:rsidR="00180835" w:rsidRDefault="00180835" w:rsidP="007F3247"/>
    <w:p w:rsidR="000B2CA9" w:rsidRDefault="000B2CA9" w:rsidP="007F3247"/>
    <w:p w:rsidR="000B2CA9" w:rsidRDefault="000B2CA9" w:rsidP="007F3247"/>
    <w:p w:rsidR="000B2CA9" w:rsidRDefault="000B2CA9" w:rsidP="007F3247"/>
    <w:p w:rsidR="000B2CA9" w:rsidRDefault="000B2CA9" w:rsidP="007F3247">
      <w:r>
        <w:lastRenderedPageBreak/>
        <w:t>7</w:t>
      </w:r>
    </w:p>
    <w:p w:rsidR="000B2CA9" w:rsidRPr="00A814B5" w:rsidRDefault="000B2CA9" w:rsidP="007F3247"/>
    <w:p w:rsidR="00A33827" w:rsidRPr="000B2CA9" w:rsidRDefault="007F3247" w:rsidP="007F3247">
      <w:pPr>
        <w:rPr>
          <w:b/>
        </w:rPr>
      </w:pPr>
      <w:r w:rsidRPr="007F3247">
        <w:rPr>
          <w:b/>
        </w:rPr>
        <w:t>LITERATURE CITED</w:t>
      </w:r>
    </w:p>
    <w:p w:rsidR="00B34BF9" w:rsidRPr="00B34BF9" w:rsidRDefault="00A33827" w:rsidP="00B34BF9">
      <w:pPr>
        <w:pStyle w:val="EndNoteBibliography"/>
      </w:pPr>
      <w:r>
        <w:fldChar w:fldCharType="begin"/>
      </w:r>
      <w:r>
        <w:instrText xml:space="preserve"> ADDIN EN.REFLIST </w:instrText>
      </w:r>
      <w:r>
        <w:fldChar w:fldCharType="separate"/>
      </w:r>
      <w:bookmarkStart w:id="0" w:name="_ENREF_1"/>
      <w:r w:rsidR="00B34BF9" w:rsidRPr="00B34BF9">
        <w:t xml:space="preserve">Bertness, M. D. and R. Callaway (1994). "Positive interactions in communities." </w:t>
      </w:r>
      <w:r w:rsidR="00B34BF9" w:rsidRPr="00B34BF9">
        <w:rPr>
          <w:u w:val="single"/>
        </w:rPr>
        <w:t>Trends in Ecology &amp; Evolution</w:t>
      </w:r>
      <w:r w:rsidR="00B34BF9" w:rsidRPr="00B34BF9">
        <w:t xml:space="preserve"> </w:t>
      </w:r>
      <w:r w:rsidR="00B34BF9" w:rsidRPr="00B34BF9">
        <w:rPr>
          <w:b/>
        </w:rPr>
        <w:t>9</w:t>
      </w:r>
      <w:r w:rsidR="00B34BF9" w:rsidRPr="00B34BF9">
        <w:t>(5): 191-193.</w:t>
      </w:r>
    </w:p>
    <w:p w:rsidR="00B34BF9" w:rsidRPr="00B34BF9" w:rsidRDefault="00B34BF9" w:rsidP="00B34BF9">
      <w:pPr>
        <w:pStyle w:val="EndNoteBibliography"/>
        <w:spacing w:after="0"/>
        <w:ind w:left="720" w:hanging="720"/>
      </w:pPr>
      <w:r w:rsidRPr="00B34BF9">
        <w:tab/>
      </w:r>
      <w:bookmarkEnd w:id="0"/>
    </w:p>
    <w:p w:rsidR="00B34BF9" w:rsidRPr="00B34BF9" w:rsidRDefault="00B34BF9" w:rsidP="00B34BF9">
      <w:pPr>
        <w:pStyle w:val="EndNoteBibliography"/>
      </w:pPr>
      <w:bookmarkStart w:id="1" w:name="_ENREF_2"/>
      <w:r w:rsidRPr="00B34BF9">
        <w:t xml:space="preserve">Callaway, R. M. (2007). </w:t>
      </w:r>
      <w:r w:rsidRPr="00B34BF9">
        <w:rPr>
          <w:u w:val="single"/>
        </w:rPr>
        <w:t>Positive interactions and interdependence in plant communities</w:t>
      </w:r>
      <w:r w:rsidRPr="00B34BF9">
        <w:t>, Springer.</w:t>
      </w:r>
    </w:p>
    <w:p w:rsidR="00B34BF9" w:rsidRPr="00B34BF9" w:rsidRDefault="00B34BF9" w:rsidP="00B34BF9">
      <w:pPr>
        <w:pStyle w:val="EndNoteBibliography"/>
        <w:spacing w:after="0"/>
        <w:ind w:left="720" w:hanging="720"/>
      </w:pPr>
      <w:r w:rsidRPr="00B34BF9">
        <w:tab/>
      </w:r>
      <w:bookmarkEnd w:id="1"/>
    </w:p>
    <w:p w:rsidR="00B34BF9" w:rsidRPr="00B34BF9" w:rsidRDefault="00B34BF9" w:rsidP="00B34BF9">
      <w:pPr>
        <w:pStyle w:val="EndNoteBibliography"/>
      </w:pPr>
      <w:bookmarkStart w:id="2" w:name="_ENREF_3"/>
      <w:r w:rsidRPr="00B34BF9">
        <w:t xml:space="preserve">Canty, A. J. (2002). "Resampling methods in R: the boot package." </w:t>
      </w:r>
      <w:r w:rsidRPr="00B34BF9">
        <w:rPr>
          <w:u w:val="single"/>
        </w:rPr>
        <w:t>The Newsletter of the R Project Volume</w:t>
      </w:r>
      <w:r w:rsidRPr="00B34BF9">
        <w:t xml:space="preserve"> </w:t>
      </w:r>
      <w:r w:rsidRPr="00B34BF9">
        <w:rPr>
          <w:b/>
        </w:rPr>
        <w:t>2</w:t>
      </w:r>
      <w:r w:rsidRPr="00B34BF9">
        <w:t>: 3.</w:t>
      </w:r>
    </w:p>
    <w:p w:rsidR="00B34BF9" w:rsidRPr="00B34BF9" w:rsidRDefault="00B34BF9" w:rsidP="00B34BF9">
      <w:pPr>
        <w:pStyle w:val="EndNoteBibliography"/>
        <w:spacing w:after="0"/>
        <w:ind w:left="720" w:hanging="720"/>
      </w:pPr>
      <w:r w:rsidRPr="00B34BF9">
        <w:tab/>
      </w:r>
      <w:bookmarkEnd w:id="2"/>
    </w:p>
    <w:p w:rsidR="00B34BF9" w:rsidRPr="00B34BF9" w:rsidRDefault="00B34BF9" w:rsidP="00B34BF9">
      <w:pPr>
        <w:pStyle w:val="EndNoteBibliography"/>
      </w:pPr>
      <w:bookmarkStart w:id="3" w:name="_ENREF_4"/>
      <w:r w:rsidRPr="00B34BF9">
        <w:t xml:space="preserve">Filazzola, A. and C. J. Lortie (2014). "A systematic review and conceptual framework for the mechanistic pathways of nurse plants." </w:t>
      </w:r>
      <w:r w:rsidRPr="00B34BF9">
        <w:rPr>
          <w:u w:val="single"/>
        </w:rPr>
        <w:t>Global Ecology and Biogeography</w:t>
      </w:r>
      <w:r w:rsidRPr="00B34BF9">
        <w:t xml:space="preserve"> </w:t>
      </w:r>
      <w:r w:rsidRPr="00B34BF9">
        <w:rPr>
          <w:b/>
        </w:rPr>
        <w:t>23</w:t>
      </w:r>
      <w:r w:rsidRPr="00B34BF9">
        <w:t>(12): 1335-1345.</w:t>
      </w:r>
    </w:p>
    <w:p w:rsidR="00B34BF9" w:rsidRPr="00B34BF9" w:rsidRDefault="00B34BF9" w:rsidP="00B34BF9">
      <w:pPr>
        <w:pStyle w:val="EndNoteBibliography"/>
        <w:spacing w:after="0"/>
        <w:ind w:left="720" w:hanging="720"/>
      </w:pPr>
      <w:r w:rsidRPr="00B34BF9">
        <w:tab/>
      </w:r>
      <w:bookmarkEnd w:id="3"/>
    </w:p>
    <w:p w:rsidR="00B34BF9" w:rsidRPr="00B34BF9" w:rsidRDefault="00B34BF9" w:rsidP="00B34BF9">
      <w:pPr>
        <w:pStyle w:val="EndNoteBibliography"/>
      </w:pPr>
      <w:bookmarkStart w:id="4" w:name="_ENREF_5"/>
      <w:r w:rsidRPr="00B34BF9">
        <w:t xml:space="preserve">Liu, R., et al. (2014). "Effect of naturally vs manually managed restoration on ground-dwelling arthropod communities in a desertified region." </w:t>
      </w:r>
      <w:r w:rsidRPr="00B34BF9">
        <w:rPr>
          <w:u w:val="single"/>
        </w:rPr>
        <w:t>Ecological engineering</w:t>
      </w:r>
      <w:r w:rsidRPr="00B34BF9">
        <w:t xml:space="preserve"> </w:t>
      </w:r>
      <w:r w:rsidRPr="00B34BF9">
        <w:rPr>
          <w:b/>
        </w:rPr>
        <w:t>73</w:t>
      </w:r>
      <w:r w:rsidRPr="00B34BF9">
        <w:t>: 545-552.</w:t>
      </w:r>
    </w:p>
    <w:p w:rsidR="00B34BF9" w:rsidRPr="00B34BF9" w:rsidRDefault="00B34BF9" w:rsidP="00B34BF9">
      <w:pPr>
        <w:pStyle w:val="EndNoteBibliography"/>
        <w:spacing w:after="0"/>
        <w:ind w:left="720" w:hanging="720"/>
      </w:pPr>
      <w:r w:rsidRPr="00B34BF9">
        <w:tab/>
      </w:r>
      <w:bookmarkEnd w:id="4"/>
    </w:p>
    <w:p w:rsidR="00B34BF9" w:rsidRPr="00B34BF9" w:rsidRDefault="00B34BF9" w:rsidP="00B34BF9">
      <w:pPr>
        <w:pStyle w:val="EndNoteBibliography"/>
      </w:pPr>
      <w:bookmarkStart w:id="5" w:name="_ENREF_6"/>
      <w:r w:rsidRPr="00B34BF9">
        <w:t xml:space="preserve">Liu, R., et al. (2016). "Changes in ground-dwelling arthropod diversity related to the proximity of shrub cover in a desertified system." </w:t>
      </w:r>
      <w:r w:rsidRPr="00B34BF9">
        <w:rPr>
          <w:u w:val="single"/>
        </w:rPr>
        <w:t>Journal of arid environments</w:t>
      </w:r>
      <w:r w:rsidRPr="00B34BF9">
        <w:t xml:space="preserve"> </w:t>
      </w:r>
      <w:r w:rsidRPr="00B34BF9">
        <w:rPr>
          <w:b/>
        </w:rPr>
        <w:t>124</w:t>
      </w:r>
      <w:r w:rsidRPr="00B34BF9">
        <w:t>: 172-179.</w:t>
      </w:r>
    </w:p>
    <w:p w:rsidR="00B34BF9" w:rsidRPr="00B34BF9" w:rsidRDefault="00B34BF9" w:rsidP="00B34BF9">
      <w:pPr>
        <w:pStyle w:val="EndNoteBibliography"/>
        <w:spacing w:after="0"/>
        <w:ind w:left="720" w:hanging="720"/>
      </w:pPr>
      <w:r w:rsidRPr="00B34BF9">
        <w:tab/>
      </w:r>
      <w:bookmarkEnd w:id="5"/>
    </w:p>
    <w:p w:rsidR="00B34BF9" w:rsidRPr="00B34BF9" w:rsidRDefault="00B34BF9" w:rsidP="00B34BF9">
      <w:pPr>
        <w:pStyle w:val="EndNoteBibliography"/>
      </w:pPr>
      <w:bookmarkStart w:id="6" w:name="_ENREF_7"/>
      <w:r w:rsidRPr="00B34BF9">
        <w:t xml:space="preserve">Maestre, F. T., et al. (2009). "Refining the stress‐gradient hypothesis for competition and facilitation in plant communities." </w:t>
      </w:r>
      <w:r w:rsidRPr="00B34BF9">
        <w:rPr>
          <w:u w:val="single"/>
        </w:rPr>
        <w:t>Journal of Ecology</w:t>
      </w:r>
      <w:r w:rsidRPr="00B34BF9">
        <w:t xml:space="preserve"> </w:t>
      </w:r>
      <w:r w:rsidRPr="00B34BF9">
        <w:rPr>
          <w:b/>
        </w:rPr>
        <w:t>97</w:t>
      </w:r>
      <w:r w:rsidRPr="00B34BF9">
        <w:t>(2): 199-205.</w:t>
      </w:r>
    </w:p>
    <w:p w:rsidR="00B34BF9" w:rsidRPr="00B34BF9" w:rsidRDefault="00B34BF9" w:rsidP="00B34BF9">
      <w:pPr>
        <w:pStyle w:val="EndNoteBibliography"/>
        <w:spacing w:after="0"/>
        <w:ind w:left="720" w:hanging="720"/>
      </w:pPr>
      <w:r w:rsidRPr="00B34BF9">
        <w:tab/>
      </w:r>
      <w:bookmarkEnd w:id="6"/>
    </w:p>
    <w:p w:rsidR="00B34BF9" w:rsidRPr="00B34BF9" w:rsidRDefault="00B34BF9" w:rsidP="00B34BF9">
      <w:pPr>
        <w:pStyle w:val="EndNoteBibliography"/>
      </w:pPr>
      <w:bookmarkStart w:id="7" w:name="_ENREF_8"/>
      <w:r w:rsidRPr="00B34BF9">
        <w:t xml:space="preserve">Siemann, E. (1998). "Experimental tests of effects of plant productivity and diversity on grassland arthropod diversity." </w:t>
      </w:r>
      <w:r w:rsidRPr="00B34BF9">
        <w:rPr>
          <w:u w:val="single"/>
        </w:rPr>
        <w:t>Ecology</w:t>
      </w:r>
      <w:r w:rsidRPr="00B34BF9">
        <w:t xml:space="preserve"> </w:t>
      </w:r>
      <w:r w:rsidRPr="00B34BF9">
        <w:rPr>
          <w:b/>
        </w:rPr>
        <w:t>79</w:t>
      </w:r>
      <w:r w:rsidRPr="00B34BF9">
        <w:t>(6): 2057-2070.</w:t>
      </w:r>
    </w:p>
    <w:p w:rsidR="00B34BF9" w:rsidRPr="00B34BF9" w:rsidRDefault="00B34BF9" w:rsidP="00B34BF9">
      <w:pPr>
        <w:pStyle w:val="EndNoteBibliography"/>
        <w:spacing w:after="0"/>
        <w:ind w:left="720" w:hanging="720"/>
      </w:pPr>
      <w:r w:rsidRPr="00B34BF9">
        <w:tab/>
      </w:r>
      <w:bookmarkEnd w:id="7"/>
    </w:p>
    <w:p w:rsidR="00B34BF9" w:rsidRPr="00B34BF9" w:rsidRDefault="00B34BF9" w:rsidP="00B34BF9">
      <w:pPr>
        <w:pStyle w:val="EndNoteBibliography"/>
      </w:pPr>
      <w:bookmarkStart w:id="8" w:name="_ENREF_9"/>
      <w:r w:rsidRPr="00B34BF9">
        <w:t xml:space="preserve">Whitford, W. G. (2000). "Keystone arthropods as webmasters in desert ecosystems." </w:t>
      </w:r>
      <w:r w:rsidRPr="00B34BF9">
        <w:rPr>
          <w:u w:val="single"/>
        </w:rPr>
        <w:t>Invertebrates as webmasters in ecosystems</w:t>
      </w:r>
      <w:r w:rsidRPr="00B34BF9">
        <w:t>: 25-41.</w:t>
      </w:r>
    </w:p>
    <w:p w:rsidR="00B34BF9" w:rsidRPr="00B34BF9" w:rsidRDefault="00B34BF9" w:rsidP="00B34BF9">
      <w:pPr>
        <w:pStyle w:val="EndNoteBibliography"/>
        <w:ind w:left="720" w:hanging="720"/>
      </w:pPr>
      <w:r w:rsidRPr="00B34BF9">
        <w:tab/>
      </w:r>
      <w:bookmarkEnd w:id="8"/>
    </w:p>
    <w:p w:rsidR="007F3247" w:rsidRPr="007F3247" w:rsidRDefault="00A33827" w:rsidP="007F3247">
      <w:r>
        <w:fldChar w:fldCharType="end"/>
      </w:r>
      <w:bookmarkStart w:id="9" w:name="_GoBack"/>
      <w:bookmarkEnd w:id="9"/>
    </w:p>
    <w:sectPr w:rsidR="007F3247" w:rsidRPr="007F3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720" w:rsidRDefault="009D4720" w:rsidP="004F4A9F">
      <w:pPr>
        <w:spacing w:after="0" w:line="240" w:lineRule="auto"/>
      </w:pPr>
      <w:r>
        <w:separator/>
      </w:r>
    </w:p>
  </w:endnote>
  <w:endnote w:type="continuationSeparator" w:id="0">
    <w:p w:rsidR="009D4720" w:rsidRDefault="009D4720" w:rsidP="004F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5235d5a9">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720" w:rsidRDefault="009D4720" w:rsidP="004F4A9F">
      <w:pPr>
        <w:spacing w:after="0" w:line="240" w:lineRule="auto"/>
      </w:pPr>
      <w:r>
        <w:separator/>
      </w:r>
    </w:p>
  </w:footnote>
  <w:footnote w:type="continuationSeparator" w:id="0">
    <w:p w:rsidR="009D4720" w:rsidRDefault="009D4720" w:rsidP="004F4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C41"/>
    <w:multiLevelType w:val="multilevel"/>
    <w:tmpl w:val="5C96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741F0"/>
    <w:multiLevelType w:val="hybridMultilevel"/>
    <w:tmpl w:val="AFB677D8"/>
    <w:lvl w:ilvl="0" w:tplc="5B903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40903"/>
    <w:multiLevelType w:val="hybridMultilevel"/>
    <w:tmpl w:val="B55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9769C"/>
    <w:multiLevelType w:val="hybridMultilevel"/>
    <w:tmpl w:val="1F5EC412"/>
    <w:lvl w:ilvl="0" w:tplc="E392F3E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43&lt;/item&gt;&lt;item&gt;129&lt;/item&gt;&lt;item&gt;309&lt;/item&gt;&lt;item&gt;311&lt;/item&gt;&lt;item&gt;416&lt;/item&gt;&lt;item&gt;431&lt;/item&gt;&lt;item&gt;432&lt;/item&gt;&lt;item&gt;434&lt;/item&gt;&lt;item&gt;435&lt;/item&gt;&lt;/record-ids&gt;&lt;/item&gt;&lt;/Libraries&gt;"/>
  </w:docVars>
  <w:rsids>
    <w:rsidRoot w:val="007F3247"/>
    <w:rsid w:val="000A6588"/>
    <w:rsid w:val="000B2CA9"/>
    <w:rsid w:val="00111D4A"/>
    <w:rsid w:val="00123A4C"/>
    <w:rsid w:val="00146AB2"/>
    <w:rsid w:val="00161AFF"/>
    <w:rsid w:val="001635AC"/>
    <w:rsid w:val="00180835"/>
    <w:rsid w:val="00181BE3"/>
    <w:rsid w:val="001B5047"/>
    <w:rsid w:val="001D395E"/>
    <w:rsid w:val="001D5A06"/>
    <w:rsid w:val="00205B6C"/>
    <w:rsid w:val="00223263"/>
    <w:rsid w:val="00236701"/>
    <w:rsid w:val="00254B68"/>
    <w:rsid w:val="002706F2"/>
    <w:rsid w:val="00295F26"/>
    <w:rsid w:val="002A1C7E"/>
    <w:rsid w:val="002B3804"/>
    <w:rsid w:val="002B7C94"/>
    <w:rsid w:val="002E078D"/>
    <w:rsid w:val="002F6BDB"/>
    <w:rsid w:val="0030021B"/>
    <w:rsid w:val="003051C9"/>
    <w:rsid w:val="00392142"/>
    <w:rsid w:val="00392913"/>
    <w:rsid w:val="003F3919"/>
    <w:rsid w:val="0047032C"/>
    <w:rsid w:val="00475235"/>
    <w:rsid w:val="00485F89"/>
    <w:rsid w:val="004C5835"/>
    <w:rsid w:val="004F1F60"/>
    <w:rsid w:val="004F4A9F"/>
    <w:rsid w:val="0051099A"/>
    <w:rsid w:val="00552CE2"/>
    <w:rsid w:val="00565BB7"/>
    <w:rsid w:val="005A1590"/>
    <w:rsid w:val="005A603D"/>
    <w:rsid w:val="005D28B9"/>
    <w:rsid w:val="00610A5A"/>
    <w:rsid w:val="00612793"/>
    <w:rsid w:val="006469F4"/>
    <w:rsid w:val="00653AFD"/>
    <w:rsid w:val="006C345C"/>
    <w:rsid w:val="007567E3"/>
    <w:rsid w:val="00761D92"/>
    <w:rsid w:val="00774B1E"/>
    <w:rsid w:val="00793FF7"/>
    <w:rsid w:val="007947C8"/>
    <w:rsid w:val="007E0707"/>
    <w:rsid w:val="007F282E"/>
    <w:rsid w:val="007F3247"/>
    <w:rsid w:val="008033E4"/>
    <w:rsid w:val="00844A10"/>
    <w:rsid w:val="00867E93"/>
    <w:rsid w:val="00873C4D"/>
    <w:rsid w:val="008905EF"/>
    <w:rsid w:val="008C26BF"/>
    <w:rsid w:val="008D66AC"/>
    <w:rsid w:val="0090070F"/>
    <w:rsid w:val="0091785A"/>
    <w:rsid w:val="0092318A"/>
    <w:rsid w:val="009543AE"/>
    <w:rsid w:val="00961B0D"/>
    <w:rsid w:val="0098152D"/>
    <w:rsid w:val="00993C86"/>
    <w:rsid w:val="00995AD6"/>
    <w:rsid w:val="009A2EAD"/>
    <w:rsid w:val="009C622D"/>
    <w:rsid w:val="009D4720"/>
    <w:rsid w:val="009E153A"/>
    <w:rsid w:val="00A05685"/>
    <w:rsid w:val="00A33827"/>
    <w:rsid w:val="00A35ABC"/>
    <w:rsid w:val="00A60A0A"/>
    <w:rsid w:val="00A634C7"/>
    <w:rsid w:val="00A66D7D"/>
    <w:rsid w:val="00A71ED3"/>
    <w:rsid w:val="00A814B5"/>
    <w:rsid w:val="00A944FB"/>
    <w:rsid w:val="00B01B48"/>
    <w:rsid w:val="00B102CC"/>
    <w:rsid w:val="00B34BF9"/>
    <w:rsid w:val="00BA281A"/>
    <w:rsid w:val="00BB6798"/>
    <w:rsid w:val="00BC1426"/>
    <w:rsid w:val="00BD13EC"/>
    <w:rsid w:val="00BE0923"/>
    <w:rsid w:val="00BE3D38"/>
    <w:rsid w:val="00BF2978"/>
    <w:rsid w:val="00C12B97"/>
    <w:rsid w:val="00C202A2"/>
    <w:rsid w:val="00C32AF4"/>
    <w:rsid w:val="00C45148"/>
    <w:rsid w:val="00C52701"/>
    <w:rsid w:val="00C61D71"/>
    <w:rsid w:val="00C90FA9"/>
    <w:rsid w:val="00D021F9"/>
    <w:rsid w:val="00D250D8"/>
    <w:rsid w:val="00D270DD"/>
    <w:rsid w:val="00D64D03"/>
    <w:rsid w:val="00D8098E"/>
    <w:rsid w:val="00D8417D"/>
    <w:rsid w:val="00DA54C9"/>
    <w:rsid w:val="00DE6B8D"/>
    <w:rsid w:val="00DF7956"/>
    <w:rsid w:val="00E06C63"/>
    <w:rsid w:val="00E70D49"/>
    <w:rsid w:val="00F06463"/>
    <w:rsid w:val="00F178A3"/>
    <w:rsid w:val="00F35E63"/>
    <w:rsid w:val="00F81948"/>
    <w:rsid w:val="00FB2A45"/>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BF399-8A36-42E2-8B72-71616849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247"/>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47"/>
    <w:pPr>
      <w:ind w:left="720"/>
      <w:contextualSpacing/>
    </w:pPr>
  </w:style>
  <w:style w:type="paragraph" w:customStyle="1" w:styleId="EndNoteBibliographyTitle">
    <w:name w:val="EndNote Bibliography Title"/>
    <w:basedOn w:val="Normal"/>
    <w:link w:val="EndNoteBibliographyTitleChar"/>
    <w:rsid w:val="00A33827"/>
    <w:pPr>
      <w:spacing w:after="0"/>
      <w:jc w:val="center"/>
    </w:pPr>
    <w:rPr>
      <w:noProof/>
    </w:rPr>
  </w:style>
  <w:style w:type="character" w:customStyle="1" w:styleId="EndNoteBibliographyTitleChar">
    <w:name w:val="EndNote Bibliography Title Char"/>
    <w:basedOn w:val="DefaultParagraphFont"/>
    <w:link w:val="EndNoteBibliographyTitle"/>
    <w:rsid w:val="00A33827"/>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A33827"/>
    <w:pPr>
      <w:spacing w:line="240" w:lineRule="auto"/>
    </w:pPr>
    <w:rPr>
      <w:noProof/>
    </w:rPr>
  </w:style>
  <w:style w:type="character" w:customStyle="1" w:styleId="EndNoteBibliographyChar">
    <w:name w:val="EndNote Bibliography Char"/>
    <w:basedOn w:val="DefaultParagraphFont"/>
    <w:link w:val="EndNoteBibliography"/>
    <w:rsid w:val="00A33827"/>
    <w:rPr>
      <w:rFonts w:ascii="Times New Roman" w:hAnsi="Times New Roman" w:cs="Times New Roman"/>
      <w:noProof/>
      <w:sz w:val="24"/>
      <w:szCs w:val="24"/>
    </w:rPr>
  </w:style>
  <w:style w:type="character" w:styleId="Hyperlink">
    <w:name w:val="Hyperlink"/>
    <w:basedOn w:val="DefaultParagraphFont"/>
    <w:uiPriority w:val="99"/>
    <w:unhideWhenUsed/>
    <w:rsid w:val="00A33827"/>
    <w:rPr>
      <w:color w:val="0563C1" w:themeColor="hyperlink"/>
      <w:u w:val="single"/>
    </w:rPr>
  </w:style>
  <w:style w:type="character" w:customStyle="1" w:styleId="citationref">
    <w:name w:val="citationref"/>
    <w:basedOn w:val="DefaultParagraphFont"/>
    <w:rsid w:val="00A33827"/>
  </w:style>
  <w:style w:type="table" w:styleId="TableGrid">
    <w:name w:val="Table Grid"/>
    <w:basedOn w:val="TableNormal"/>
    <w:uiPriority w:val="39"/>
    <w:rsid w:val="00A81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69F4"/>
    <w:rPr>
      <w:rFonts w:ascii="Courier New" w:eastAsia="Times New Roman" w:hAnsi="Courier New" w:cs="Courier New"/>
      <w:sz w:val="20"/>
      <w:szCs w:val="20"/>
    </w:rPr>
  </w:style>
  <w:style w:type="character" w:styleId="Strong">
    <w:name w:val="Strong"/>
    <w:basedOn w:val="DefaultParagraphFont"/>
    <w:uiPriority w:val="22"/>
    <w:qFormat/>
    <w:rsid w:val="00223263"/>
    <w:rPr>
      <w:b/>
      <w:bCs/>
    </w:rPr>
  </w:style>
  <w:style w:type="paragraph" w:styleId="Header">
    <w:name w:val="header"/>
    <w:basedOn w:val="Normal"/>
    <w:link w:val="HeaderChar"/>
    <w:uiPriority w:val="99"/>
    <w:unhideWhenUsed/>
    <w:rsid w:val="004F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A9F"/>
    <w:rPr>
      <w:rFonts w:ascii="Times New Roman" w:hAnsi="Times New Roman" w:cs="Times New Roman"/>
      <w:sz w:val="24"/>
      <w:szCs w:val="24"/>
    </w:rPr>
  </w:style>
  <w:style w:type="paragraph" w:styleId="Footer">
    <w:name w:val="footer"/>
    <w:basedOn w:val="Normal"/>
    <w:link w:val="FooterChar"/>
    <w:uiPriority w:val="99"/>
    <w:unhideWhenUsed/>
    <w:rsid w:val="004F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A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7262">
      <w:bodyDiv w:val="1"/>
      <w:marLeft w:val="0"/>
      <w:marRight w:val="0"/>
      <w:marTop w:val="0"/>
      <w:marBottom w:val="0"/>
      <w:divBdr>
        <w:top w:val="none" w:sz="0" w:space="0" w:color="auto"/>
        <w:left w:val="none" w:sz="0" w:space="0" w:color="auto"/>
        <w:bottom w:val="none" w:sz="0" w:space="0" w:color="auto"/>
        <w:right w:val="none" w:sz="0" w:space="0" w:color="auto"/>
      </w:divBdr>
    </w:div>
    <w:div w:id="487672985">
      <w:bodyDiv w:val="1"/>
      <w:marLeft w:val="0"/>
      <w:marRight w:val="0"/>
      <w:marTop w:val="0"/>
      <w:marBottom w:val="0"/>
      <w:divBdr>
        <w:top w:val="none" w:sz="0" w:space="0" w:color="auto"/>
        <w:left w:val="none" w:sz="0" w:space="0" w:color="auto"/>
        <w:bottom w:val="none" w:sz="0" w:space="0" w:color="auto"/>
        <w:right w:val="none" w:sz="0" w:space="0" w:color="auto"/>
      </w:divBdr>
    </w:div>
    <w:div w:id="833228229">
      <w:bodyDiv w:val="1"/>
      <w:marLeft w:val="0"/>
      <w:marRight w:val="0"/>
      <w:marTop w:val="0"/>
      <w:marBottom w:val="0"/>
      <w:divBdr>
        <w:top w:val="none" w:sz="0" w:space="0" w:color="auto"/>
        <w:left w:val="none" w:sz="0" w:space="0" w:color="auto"/>
        <w:bottom w:val="none" w:sz="0" w:space="0" w:color="auto"/>
        <w:right w:val="none" w:sz="0" w:space="0" w:color="auto"/>
      </w:divBdr>
    </w:div>
    <w:div w:id="850534961">
      <w:bodyDiv w:val="1"/>
      <w:marLeft w:val="0"/>
      <w:marRight w:val="0"/>
      <w:marTop w:val="0"/>
      <w:marBottom w:val="0"/>
      <w:divBdr>
        <w:top w:val="none" w:sz="0" w:space="0" w:color="auto"/>
        <w:left w:val="none" w:sz="0" w:space="0" w:color="auto"/>
        <w:bottom w:val="none" w:sz="0" w:space="0" w:color="auto"/>
        <w:right w:val="none" w:sz="0" w:space="0" w:color="auto"/>
      </w:divBdr>
    </w:div>
    <w:div w:id="966160702">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20332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829-016-9450-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s11829-016-9450-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link.springer.com/article/10.1007/s11829-016-9450-z" TargetMode="External"/><Relationship Id="rId4" Type="http://schemas.openxmlformats.org/officeDocument/2006/relationships/webSettings" Target="webSettings.xml"/><Relationship Id="rId9" Type="http://schemas.openxmlformats.org/officeDocument/2006/relationships/hyperlink" Target="https://link.springer.com/article/10.1007/s11829-016-9450-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6190</TotalTime>
  <Pages>10</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83</cp:revision>
  <dcterms:created xsi:type="dcterms:W3CDTF">2019-10-31T15:35:00Z</dcterms:created>
  <dcterms:modified xsi:type="dcterms:W3CDTF">2019-11-26T21:15:00Z</dcterms:modified>
</cp:coreProperties>
</file>