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047" w:rsidRPr="007F3247" w:rsidRDefault="001B5047" w:rsidP="001B5047">
      <w:r w:rsidRPr="007F3247">
        <w:t xml:space="preserve">Ground-dwelling arthropods associated with Ephedra </w:t>
      </w:r>
      <w:proofErr w:type="spellStart"/>
      <w:r w:rsidRPr="007F3247">
        <w:t>californica</w:t>
      </w:r>
      <w:proofErr w:type="spellEnd"/>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7F3247" w:rsidRPr="007F3247" w:rsidRDefault="007F3247" w:rsidP="007F3247">
      <w:pPr>
        <w:rPr>
          <w:b/>
        </w:rPr>
      </w:pPr>
      <w:r w:rsidRPr="007F3247">
        <w:rPr>
          <w:b/>
        </w:rPr>
        <w:lastRenderedPageBreak/>
        <w:t>ABSTRACT</w:t>
      </w: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7F3247" w:rsidRPr="007F3247" w:rsidRDefault="007F3247" w:rsidP="007F3247">
      <w:pPr>
        <w:rPr>
          <w:b/>
        </w:rPr>
      </w:pPr>
      <w:r w:rsidRPr="007F3247">
        <w:rPr>
          <w:b/>
        </w:rPr>
        <w:lastRenderedPageBreak/>
        <w:t>INTRODUCTION</w:t>
      </w:r>
    </w:p>
    <w:p w:rsidR="007F3247" w:rsidRPr="007F3247" w:rsidRDefault="007F3247" w:rsidP="007F3247">
      <w:r w:rsidRPr="007F3247">
        <w:t>Insect conservation is becoming increasingly important.</w:t>
      </w:r>
    </w:p>
    <w:p w:rsidR="007F3247" w:rsidRPr="007F3247" w:rsidRDefault="007F3247" w:rsidP="007F3247">
      <w:r w:rsidRPr="007F3247">
        <w:t>Shrubs are keystone facilitators in arid environments.</w:t>
      </w:r>
    </w:p>
    <w:p w:rsidR="00A33827" w:rsidRDefault="007F3247" w:rsidP="007F3247">
      <w:r w:rsidRPr="007F3247">
        <w:t>Shrubs can facilitate through direct and indirect interactions.</w:t>
      </w:r>
      <w:r w:rsidR="00A33827">
        <w:t xml:space="preserve"> Previous work has found that shrubs provide keystone structure to ground-dwelling arthropods in Patagonian shrub steppe </w:t>
      </w:r>
      <w:r w:rsidR="00A33827">
        <w:fldChar w:fldCharType="begin"/>
      </w:r>
      <w:r w:rsidR="00A33827">
        <w:instrText xml:space="preserve"> ADDIN EN.CITE &lt;EndNote&gt;&lt;Cite&gt;&lt;Author&gt;Liu&lt;/Author&gt;&lt;Year&gt;2016&lt;/Year&gt;&lt;RecNum&gt;431&lt;/RecNum&gt;&lt;DisplayText&gt;(Liu, Zhu et al. 2016)&lt;/DisplayText&gt;&lt;record&gt;&lt;rec-number&gt;431&lt;/rec-number&gt;&lt;foreign-keys&gt;&lt;key app="EN" db-id="efxxxd2elfvxfde05eev9swq9zv0dswrxzp2"&gt;431&lt;/key&gt;&lt;/foreign-keys&gt;&lt;ref-type name="Journal Article"&gt;17&lt;/ref-type&gt;&lt;contributors&gt;&lt;authors&gt;&lt;author&gt;Liu, Rentao&lt;/author&gt;&lt;author&gt;Zhu, Fan&lt;/author&gt;&lt;author&gt;Steinberger, Yosef&lt;/author&gt;&lt;/authors&gt;&lt;/contributors&gt;&lt;titles&gt;&lt;title&gt;Changes in ground-dwelling arthropod diversity related to the proximity of shrub cover in a desertified system&lt;/title&gt;&lt;secondary-title&gt;Journal of Arid Environments&lt;/secondary-title&gt;&lt;/titles&gt;&lt;periodical&gt;&lt;full-title&gt;Journal of arid environments&lt;/full-title&gt;&lt;/periodical&gt;&lt;pages&gt;172-179&lt;/pages&gt;&lt;volume&gt;124&lt;/volume&gt;&lt;dates&gt;&lt;year&gt;2016&lt;/year&gt;&lt;/dates&gt;&lt;isbn&gt;0140-1963&lt;/isbn&gt;&lt;urls&gt;&lt;/urls&gt;&lt;/record&gt;&lt;/Cite&gt;&lt;/EndNote&gt;</w:instrText>
      </w:r>
      <w:r w:rsidR="00A33827">
        <w:fldChar w:fldCharType="separate"/>
      </w:r>
      <w:r w:rsidR="00A33827">
        <w:rPr>
          <w:noProof/>
        </w:rPr>
        <w:t>(</w:t>
      </w:r>
      <w:hyperlink w:anchor="_ENREF_1" w:tooltip="Liu, 2016 #431" w:history="1">
        <w:r w:rsidR="00A33827">
          <w:rPr>
            <w:noProof/>
          </w:rPr>
          <w:t>Liu, Zhu et al. 2016</w:t>
        </w:r>
      </w:hyperlink>
      <w:r w:rsidR="00A33827">
        <w:rPr>
          <w:noProof/>
        </w:rPr>
        <w:t>)</w:t>
      </w:r>
      <w:r w:rsidR="00A33827">
        <w:fldChar w:fldCharType="end"/>
      </w:r>
      <w:r w:rsidR="00A33827">
        <w:t>. “In recent years, the relationship between the shrub canopy and soil arthropod communities has received an increasing amount of attention. Two general, positive features of shrub presence: (1) habitat creator–physical environment; and (2) niche refuge as energy sources, will play an important role in trophic composition beneath the shrub canopy (</w:t>
      </w:r>
      <w:proofErr w:type="spellStart"/>
      <w:r w:rsidR="00A33827">
        <w:t>Groner</w:t>
      </w:r>
      <w:proofErr w:type="spellEnd"/>
      <w:r w:rsidR="00A33827">
        <w:t xml:space="preserve"> and </w:t>
      </w:r>
      <w:proofErr w:type="spellStart"/>
      <w:r w:rsidR="00A33827">
        <w:t>Ayal</w:t>
      </w:r>
      <w:proofErr w:type="spellEnd"/>
      <w:r w:rsidR="00A33827">
        <w:t xml:space="preserve"> </w:t>
      </w:r>
      <w:hyperlink r:id="rId5" w:anchor="CR10" w:tooltip="View reference" w:history="1">
        <w:r w:rsidR="00A33827">
          <w:rPr>
            <w:rStyle w:val="Hyperlink"/>
          </w:rPr>
          <w:t>2001</w:t>
        </w:r>
      </w:hyperlink>
      <w:r w:rsidR="00A33827">
        <w:t xml:space="preserve">; Polis </w:t>
      </w:r>
      <w:hyperlink r:id="rId6" w:anchor="CR28" w:tooltip="View reference" w:history="1">
        <w:r w:rsidR="00A33827">
          <w:rPr>
            <w:rStyle w:val="Hyperlink"/>
          </w:rPr>
          <w:t>1999</w:t>
        </w:r>
      </w:hyperlink>
      <w:r w:rsidR="00A33827">
        <w:t xml:space="preserve">). Sanchez and </w:t>
      </w:r>
      <w:proofErr w:type="spellStart"/>
      <w:r w:rsidR="00A33827">
        <w:t>Parmenter</w:t>
      </w:r>
      <w:proofErr w:type="spellEnd"/>
      <w:r w:rsidR="00A33827">
        <w:t xml:space="preserve"> (</w:t>
      </w:r>
      <w:hyperlink r:id="rId7" w:anchor="CR32" w:tooltip="View reference" w:history="1">
        <w:r w:rsidR="00A33827">
          <w:rPr>
            <w:rStyle w:val="Hyperlink"/>
          </w:rPr>
          <w:t>2002</w:t>
        </w:r>
      </w:hyperlink>
      <w:r w:rsidR="00A33827">
        <w:t xml:space="preserve">), </w:t>
      </w:r>
      <w:proofErr w:type="spellStart"/>
      <w:r w:rsidR="00A33827">
        <w:t>Seeber</w:t>
      </w:r>
      <w:proofErr w:type="spellEnd"/>
      <w:r w:rsidR="00A33827">
        <w:t xml:space="preserve"> et al. (</w:t>
      </w:r>
      <w:hyperlink r:id="rId8" w:anchor="CR36" w:tooltip="View reference" w:history="1">
        <w:r w:rsidR="00A33827">
          <w:rPr>
            <w:rStyle w:val="Hyperlink"/>
          </w:rPr>
          <w:t>2009</w:t>
        </w:r>
      </w:hyperlink>
      <w:r w:rsidR="00A33827">
        <w:t>), and Liu et al. (</w:t>
      </w:r>
      <w:hyperlink r:id="rId9" w:anchor="CR18" w:tooltip="View reference" w:history="1">
        <w:r w:rsidR="00A33827">
          <w:rPr>
            <w:rStyle w:val="Hyperlink"/>
          </w:rPr>
          <w:t>2011</w:t>
        </w:r>
      </w:hyperlink>
      <w:r w:rsidR="00A33827">
        <w:t>) described the facilitative effect of the shrub canopy on arthropod communities in arid and semiarid ecosystems.” Shrubs are reported to protect arthropods in harsh arctic climates as well</w:t>
      </w:r>
      <w:r w:rsidR="001635AC">
        <w:t xml:space="preserve">. </w:t>
      </w:r>
      <w:r w:rsidR="00A33827">
        <w:t xml:space="preserve">Previous work in </w:t>
      </w:r>
      <w:proofErr w:type="spellStart"/>
      <w:proofErr w:type="gramStart"/>
      <w:r w:rsidR="00A33827">
        <w:t>california</w:t>
      </w:r>
      <w:proofErr w:type="spellEnd"/>
      <w:proofErr w:type="gramEnd"/>
      <w:r w:rsidR="00A33827">
        <w:t xml:space="preserve"> has found L. </w:t>
      </w:r>
      <w:r w:rsidR="00C90FA9">
        <w:t>tridentata</w:t>
      </w:r>
      <w:r w:rsidR="00A33827">
        <w:t xml:space="preserve"> supports annual and arthropod communities (</w:t>
      </w:r>
      <w:proofErr w:type="spellStart"/>
      <w:r w:rsidR="00A33827">
        <w:t>Ruttan</w:t>
      </w:r>
      <w:proofErr w:type="spellEnd"/>
      <w:r w:rsidR="00A33827">
        <w:t xml:space="preserve"> 2016, Braun in prep). </w:t>
      </w:r>
      <w:r w:rsidR="00BE3D38">
        <w:t>However, these studies have been restricted</w:t>
      </w:r>
      <w:r w:rsidR="005A1590">
        <w:t xml:space="preserve"> to the spring season when annuals are actively growing. </w:t>
      </w:r>
    </w:p>
    <w:p w:rsidR="005A1590" w:rsidRDefault="005A1590" w:rsidP="007F3247">
      <w:r>
        <w:t xml:space="preserve">In arid regions of California, the growing season as a short period. Land managers have developed a set of protocols to measure the residual dry matter and apply it to several questions relating to rangeland management. If there are indirect effects of shrub facilitation that scale through the annual plants, they may </w:t>
      </w:r>
      <w:r w:rsidR="00D8417D">
        <w:t>…</w:t>
      </w:r>
    </w:p>
    <w:p w:rsidR="00D8417D" w:rsidRDefault="00D8417D" w:rsidP="007F3247">
      <w:r>
        <w:t>RDM…</w:t>
      </w:r>
    </w:p>
    <w:p w:rsidR="007F3247" w:rsidRDefault="007F3247" w:rsidP="007F3247">
      <w:r w:rsidRPr="007F3247">
        <w:t>Foundation plants play a central role in structuring arid environments. Microclimate amelioration and other mechanisms can affect survival, growth, and reproduction of annuals plants. The positive effects of vegetation can propagate through other trophic levels, including both primary and secondary consumers. Complex direct and indirect effects. Residual dry matter (</w:t>
      </w:r>
      <w:proofErr w:type="spellStart"/>
      <w:r w:rsidRPr="007F3247">
        <w:t>rdm</w:t>
      </w:r>
      <w:proofErr w:type="spellEnd"/>
      <w:r w:rsidRPr="007F3247">
        <w:t>) is a common measure of productivity in drylands.  It is comprised of both direct and indirect drivers on plant composition and structure including resource availability, plant-plant interactions, and interactions with consumers.</w:t>
      </w:r>
    </w:p>
    <w:p w:rsidR="00D250D8" w:rsidRPr="007F3247" w:rsidRDefault="00D250D8" w:rsidP="007F3247">
      <w:r>
        <w:t xml:space="preserve">Facilitation of annual plants and grasses by shrubs in arid environments is well established. </w:t>
      </w:r>
    </w:p>
    <w:p w:rsidR="007F3247" w:rsidRPr="007F3247" w:rsidRDefault="007F3247" w:rsidP="007F3247">
      <w:r w:rsidRPr="007F3247">
        <w:t>We hypothesize that shrubs facilitate arthropods. Predictions 1. More arthropods are associated with shrubs in deserts (abundance and richness). 2) Greater RDM under shrubs. 3)</w:t>
      </w:r>
      <w:r w:rsidR="00A814B5">
        <w:t xml:space="preserve"> </w:t>
      </w:r>
      <w:r w:rsidRPr="007F3247">
        <w:t xml:space="preserve">RDM facilitates arthropods. 4) </w:t>
      </w:r>
      <w:proofErr w:type="gramStart"/>
      <w:r w:rsidRPr="007F3247">
        <w:t>effect</w:t>
      </w:r>
      <w:proofErr w:type="gramEnd"/>
      <w:r w:rsidRPr="007F3247">
        <w:t xml:space="preserve"> of shrubs is influenced by </w:t>
      </w:r>
      <w:proofErr w:type="spellStart"/>
      <w:r w:rsidRPr="007F3247">
        <w:t>rdm</w:t>
      </w:r>
      <w:proofErr w:type="spellEnd"/>
      <w:r w:rsidRPr="007F3247">
        <w:t xml:space="preserve"> under the canopy</w:t>
      </w:r>
    </w:p>
    <w:p w:rsidR="007F3247" w:rsidRPr="007F3247" w:rsidRDefault="007F3247" w:rsidP="007F3247">
      <w:pPr>
        <w:rPr>
          <w:b/>
        </w:rPr>
      </w:pPr>
      <w:r w:rsidRPr="007F3247">
        <w:rPr>
          <w:b/>
        </w:rPr>
        <w:t>METHODS</w:t>
      </w:r>
    </w:p>
    <w:p w:rsidR="007F3247" w:rsidRPr="007F3247" w:rsidRDefault="007F3247" w:rsidP="007F3247">
      <w:r w:rsidRPr="007F3247">
        <w:t xml:space="preserve">Site description </w:t>
      </w:r>
    </w:p>
    <w:p w:rsidR="007F3247" w:rsidRPr="007F3247" w:rsidRDefault="007F3247" w:rsidP="007F3247">
      <w:r w:rsidRPr="007F3247">
        <w:t>Between the dates of June 23</w:t>
      </w:r>
      <w:r w:rsidRPr="007F3247">
        <w:rPr>
          <w:vertAlign w:val="superscript"/>
        </w:rPr>
        <w:t>rd</w:t>
      </w:r>
      <w:r w:rsidRPr="007F3247">
        <w:t xml:space="preserve"> and July 8</w:t>
      </w:r>
      <w:r w:rsidRPr="007F3247">
        <w:rPr>
          <w:vertAlign w:val="superscript"/>
        </w:rPr>
        <w:t>th</w:t>
      </w:r>
      <w:r w:rsidRPr="007F3247">
        <w:t>, 2019, I sampled 3 sites each within 3 desert regions.</w:t>
      </w:r>
    </w:p>
    <w:p w:rsidR="007F3247" w:rsidRPr="007F3247" w:rsidRDefault="007F3247" w:rsidP="007F3247">
      <w:r w:rsidRPr="007F3247">
        <w:t>Study species</w:t>
      </w:r>
    </w:p>
    <w:p w:rsidR="007F3247" w:rsidRPr="007F3247" w:rsidRDefault="007F3247" w:rsidP="007F3247">
      <w:r w:rsidRPr="007F3247">
        <w:t>Residual dry matter and vegetation characteristics</w:t>
      </w:r>
    </w:p>
    <w:p w:rsidR="007F3247" w:rsidRPr="007F3247" w:rsidRDefault="007F3247" w:rsidP="007F3247">
      <w:r w:rsidRPr="007F3247">
        <w:lastRenderedPageBreak/>
        <w:t xml:space="preserve">At each site, I chose 30 shrub open pairs. Shrub microsites were located on the northern aspect of the shrub, within the dripline. A 0.5 m by 0.5 quadrat was placed by randomly throwing it under the shrub and the open microsites were chosen by throwing the quadrat over my shoulder and were located at least 2 m away. Within in quadrat, I estimated cover of the residual dry matter, green veg cover, measured the height of the vegetation within the quadrat. I counted the number of burrows under the shrub within the dripline, and at open microsites within a 1.5m radius around the quadrat to approximate the size of the shrub. For shrubs, I measured the length of the longest axis, </w:t>
      </w:r>
      <w:proofErr w:type="gramStart"/>
      <w:r w:rsidRPr="007F3247">
        <w:t>it’s</w:t>
      </w:r>
      <w:proofErr w:type="gramEnd"/>
      <w:r w:rsidRPr="007F3247">
        <w:t xml:space="preserve"> perpendicular and the height. I collected all residual dry matter within a 20 cm quadrat placed at the center of the 0.5 m quadrat using scissors ensuring only plants rooted within the quadrat were collected. These were placed in paper bags, and then dried within a </w:t>
      </w:r>
      <w:r w:rsidRPr="007F3247">
        <w:rPr>
          <w:i/>
        </w:rPr>
        <w:t xml:space="preserve">blank </w:t>
      </w:r>
      <w:r w:rsidRPr="007F3247">
        <w:t xml:space="preserve">oven at 85º C for 75 hours. The samples were weighed using </w:t>
      </w:r>
      <w:r w:rsidRPr="007F3247">
        <w:rPr>
          <w:i/>
        </w:rPr>
        <w:t>blank</w:t>
      </w:r>
      <w:r w:rsidRPr="007F3247">
        <w:t xml:space="preserve"> scale with a precision of 0.001 g. </w:t>
      </w:r>
    </w:p>
    <w:p w:rsidR="007F3247" w:rsidRPr="007F3247" w:rsidRDefault="007F3247" w:rsidP="007F3247"/>
    <w:p w:rsidR="007F3247" w:rsidRPr="007F3247" w:rsidRDefault="007F3247" w:rsidP="007F3247">
      <w:r w:rsidRPr="007F3247">
        <w:t>Measuring ground-dwelling arthropod communities</w:t>
      </w:r>
    </w:p>
    <w:p w:rsidR="007F3247" w:rsidRPr="007F3247" w:rsidRDefault="007F3247" w:rsidP="007F3247">
      <w:r w:rsidRPr="007F3247">
        <w:t xml:space="preserve">At eight shrub/open pairs per site, pitfall traps were used to sample the arthropod communities. Clear plastic drink cups (10 cm tall, 7 cm diameter) were used. These were placed in the center of the 0.5 m quadrat so the top of the cup was flush with the ground. The traps were filled with a 50% propylene glycol and water mixture and left for 72 hours. They were checked during this time and topped up with water as needed. Residual dry matter was collected after the traps were collected. Arthropods were sieved and placed in labelled vials containing 95% denatured ethanol. </w:t>
      </w:r>
    </w:p>
    <w:p w:rsidR="007F3247" w:rsidRPr="007F3247" w:rsidRDefault="007F3247" w:rsidP="007F3247">
      <w:r w:rsidRPr="007F3247">
        <w:t xml:space="preserve">Insects were identified depending on the group (see Appendix) using keys. They were assigned to </w:t>
      </w:r>
      <w:proofErr w:type="spellStart"/>
      <w:r w:rsidRPr="007F3247">
        <w:t>morphospecies</w:t>
      </w:r>
      <w:proofErr w:type="spellEnd"/>
      <w:r w:rsidRPr="007F3247">
        <w:t xml:space="preserve"> where possible. </w:t>
      </w:r>
      <w:proofErr w:type="spellStart"/>
      <w:r w:rsidRPr="007F3247">
        <w:t>Mutillidae</w:t>
      </w:r>
      <w:proofErr w:type="spellEnd"/>
      <w:r w:rsidRPr="007F3247">
        <w:t xml:space="preserve"> were not </w:t>
      </w:r>
      <w:proofErr w:type="spellStart"/>
      <w:r w:rsidRPr="007F3247">
        <w:t>morphotyped</w:t>
      </w:r>
      <w:proofErr w:type="spellEnd"/>
      <w:r w:rsidRPr="007F3247">
        <w:t xml:space="preserve"> because of strong sexual dimorphism. Only worker and major caste </w:t>
      </w:r>
      <w:proofErr w:type="spellStart"/>
      <w:r w:rsidRPr="007F3247">
        <w:t>Formicidae</w:t>
      </w:r>
      <w:proofErr w:type="spellEnd"/>
      <w:r w:rsidRPr="007F3247">
        <w:t xml:space="preserve"> were included in analyses. Springtails and insects smaller were excluded due biases arising from sieve mesh size. Larval stages and hemipteran nymphs that could not be associated with the adult form were excluded. </w:t>
      </w:r>
    </w:p>
    <w:p w:rsidR="007F3247" w:rsidRPr="007F3247" w:rsidRDefault="007F3247" w:rsidP="007F3247">
      <w:r w:rsidRPr="007F3247">
        <w:t>Data analysis</w:t>
      </w:r>
    </w:p>
    <w:p w:rsidR="007F3247" w:rsidRPr="007F3247" w:rsidRDefault="007F3247" w:rsidP="007F3247">
      <w:r w:rsidRPr="007F3247">
        <w:t xml:space="preserve">Interaction strength between </w:t>
      </w:r>
      <w:r w:rsidRPr="007F3247">
        <w:rPr>
          <w:i/>
        </w:rPr>
        <w:t xml:space="preserve">E. </w:t>
      </w:r>
      <w:proofErr w:type="spellStart"/>
      <w:r w:rsidRPr="007F3247">
        <w:rPr>
          <w:i/>
        </w:rPr>
        <w:t>californica</w:t>
      </w:r>
      <w:proofErr w:type="spellEnd"/>
      <w:r w:rsidRPr="007F3247">
        <w:t xml:space="preserve"> and the annual communities was estimated using RII. Treatment was the weight of residual dry matter under the shrub and control was the </w:t>
      </w:r>
      <w:proofErr w:type="spellStart"/>
      <w:r w:rsidRPr="007F3247">
        <w:t>rdm</w:t>
      </w:r>
      <w:proofErr w:type="spellEnd"/>
      <w:r w:rsidRPr="007F3247">
        <w:t xml:space="preserve"> in open areas. RII used x equation. </w:t>
      </w:r>
    </w:p>
    <w:p w:rsidR="007F3247" w:rsidRPr="007F3247" w:rsidRDefault="007F3247" w:rsidP="007F3247">
      <w:r w:rsidRPr="007F3247">
        <w:t xml:space="preserve">To test for differences in arthropod communities associated with </w:t>
      </w:r>
      <w:r w:rsidRPr="007F3247">
        <w:rPr>
          <w:i/>
        </w:rPr>
        <w:t xml:space="preserve">Ephedra </w:t>
      </w:r>
      <w:proofErr w:type="spellStart"/>
      <w:r w:rsidRPr="007F3247">
        <w:rPr>
          <w:i/>
        </w:rPr>
        <w:t>californica</w:t>
      </w:r>
      <w:proofErr w:type="spellEnd"/>
      <w:r w:rsidRPr="007F3247">
        <w:t>, we fit generalized linear mixed models (</w:t>
      </w:r>
      <w:proofErr w:type="spellStart"/>
      <w:r w:rsidRPr="007F3247">
        <w:t>glmmTMB</w:t>
      </w:r>
      <w:proofErr w:type="spellEnd"/>
      <w:r w:rsidRPr="007F3247">
        <w:t xml:space="preserve">). For abundance, one sample was excluded as an outlier (it had 1200 individuals and everything else is below 350). Microsite and RDM were included as predictors, and the study site nested within the region was included as a random effect. Poisson was used for species richness and a negative binomial error distribution was used for abundances because </w:t>
      </w:r>
      <w:proofErr w:type="spellStart"/>
      <w:r w:rsidRPr="007F3247">
        <w:t>overdispersion</w:t>
      </w:r>
      <w:proofErr w:type="spellEnd"/>
      <w:r w:rsidRPr="007F3247">
        <w:t xml:space="preserve"> was detected. </w:t>
      </w:r>
    </w:p>
    <w:p w:rsidR="007F3247" w:rsidRPr="007F3247" w:rsidRDefault="007F3247" w:rsidP="007F3247">
      <w:r w:rsidRPr="007F3247">
        <w:t xml:space="preserve">To test for differences in the composition of arthropod community, RDA (vegan) was used with microsite, site, RDM and region as constraining variables. The species abundance matrix was Hellinger transformed to account for differences in sample abundance and provide more ecologically relevant information (citations). </w:t>
      </w:r>
    </w:p>
    <w:p w:rsidR="007F3247" w:rsidRPr="007F3247" w:rsidRDefault="007F3247" w:rsidP="007F3247">
      <w:pPr>
        <w:rPr>
          <w:b/>
        </w:rPr>
      </w:pPr>
      <w:r w:rsidRPr="007F3247">
        <w:rPr>
          <w:b/>
        </w:rPr>
        <w:lastRenderedPageBreak/>
        <w:t>RESULTS</w:t>
      </w:r>
    </w:p>
    <w:p w:rsidR="007F3247" w:rsidRPr="007F3247" w:rsidRDefault="007F3247" w:rsidP="007F3247">
      <w:r w:rsidRPr="007F3247">
        <w:t>Arthropod community responses: A total of ~6300 arthropods were collected. Ants were the most abundant group.</w:t>
      </w:r>
    </w:p>
    <w:p w:rsidR="007F3247" w:rsidRPr="007F3247" w:rsidRDefault="007F3247" w:rsidP="007F3247">
      <w:pPr>
        <w:pStyle w:val="ListParagraph"/>
        <w:numPr>
          <w:ilvl w:val="0"/>
          <w:numId w:val="2"/>
        </w:numPr>
      </w:pPr>
      <w:r w:rsidRPr="007F3247">
        <w:t xml:space="preserve">Arthropod abundance and </w:t>
      </w:r>
      <w:proofErr w:type="spellStart"/>
      <w:r w:rsidRPr="007F3247">
        <w:t>morphospecies</w:t>
      </w:r>
      <w:proofErr w:type="spellEnd"/>
      <w:r w:rsidRPr="007F3247">
        <w:t xml:space="preserve"> richness greater under shrubs. No influence of RDM.</w:t>
      </w:r>
    </w:p>
    <w:p w:rsidR="007F3247" w:rsidRPr="007F3247" w:rsidRDefault="007F3247" w:rsidP="007F3247">
      <w:pPr>
        <w:pStyle w:val="ListParagraph"/>
        <w:numPr>
          <w:ilvl w:val="0"/>
          <w:numId w:val="2"/>
        </w:numPr>
      </w:pPr>
      <w:r w:rsidRPr="007F3247">
        <w:t xml:space="preserve">RDM higher under shrubs. </w:t>
      </w:r>
    </w:p>
    <w:p w:rsidR="007F3247" w:rsidRPr="007F3247" w:rsidRDefault="007F3247" w:rsidP="007F3247">
      <w:pPr>
        <w:pStyle w:val="ListParagraph"/>
        <w:numPr>
          <w:ilvl w:val="0"/>
          <w:numId w:val="2"/>
        </w:numPr>
      </w:pPr>
      <w:r w:rsidRPr="007F3247">
        <w:t>No arthropod response to RDM at all.</w:t>
      </w:r>
    </w:p>
    <w:p w:rsidR="007F3247" w:rsidRPr="007F3247" w:rsidRDefault="007F3247" w:rsidP="007F3247">
      <w:pPr>
        <w:pStyle w:val="ListParagraph"/>
        <w:numPr>
          <w:ilvl w:val="0"/>
          <w:numId w:val="2"/>
        </w:numPr>
      </w:pPr>
      <w:r w:rsidRPr="007F3247">
        <w:t>RDA &amp; CCA show community are different.</w:t>
      </w:r>
    </w:p>
    <w:p w:rsidR="007F3247" w:rsidRPr="007F3247" w:rsidRDefault="007F3247" w:rsidP="007F3247">
      <w:pPr>
        <w:pStyle w:val="ListParagraph"/>
        <w:numPr>
          <w:ilvl w:val="0"/>
          <w:numId w:val="2"/>
        </w:numPr>
      </w:pPr>
      <w:r w:rsidRPr="007F3247">
        <w:t xml:space="preserve">Also </w:t>
      </w:r>
      <w:proofErr w:type="spellStart"/>
      <w:r w:rsidRPr="007F3247">
        <w:t>betadispersion</w:t>
      </w:r>
      <w:proofErr w:type="spellEnd"/>
      <w:r w:rsidRPr="007F3247">
        <w:t xml:space="preserve"> tests show same results.</w:t>
      </w:r>
    </w:p>
    <w:p w:rsidR="007F3247" w:rsidRPr="007F3247" w:rsidRDefault="007F3247" w:rsidP="007F3247">
      <w:pPr>
        <w:pStyle w:val="ListParagraph"/>
        <w:numPr>
          <w:ilvl w:val="0"/>
          <w:numId w:val="2"/>
        </w:numPr>
      </w:pPr>
      <w:r w:rsidRPr="007F3247">
        <w:t xml:space="preserve">More burrows in open areas – likely because there is no shrub in way. </w:t>
      </w:r>
    </w:p>
    <w:p w:rsidR="007F3247" w:rsidRPr="007F3247" w:rsidRDefault="007F3247" w:rsidP="007F3247"/>
    <w:p w:rsidR="007F3247" w:rsidRDefault="007F3247" w:rsidP="007F3247">
      <w:pPr>
        <w:rPr>
          <w:b/>
        </w:rPr>
      </w:pPr>
      <w:r w:rsidRPr="007F3247">
        <w:rPr>
          <w:b/>
        </w:rPr>
        <w:t>DISCUSSION</w:t>
      </w:r>
    </w:p>
    <w:p w:rsidR="00A814B5" w:rsidRDefault="00485F89" w:rsidP="007F3247">
      <w:r>
        <w:t>TABLES</w:t>
      </w:r>
    </w:p>
    <w:p w:rsidR="00485F89" w:rsidRDefault="00485F89" w:rsidP="007F3247">
      <w:r>
        <w:t>Table 1: List of study sites surveyed for this project</w:t>
      </w:r>
    </w:p>
    <w:tbl>
      <w:tblPr>
        <w:tblStyle w:val="TableGrid"/>
        <w:tblW w:w="0" w:type="auto"/>
        <w:tblLook w:val="04A0" w:firstRow="1" w:lastRow="0" w:firstColumn="1" w:lastColumn="0" w:noHBand="0" w:noVBand="1"/>
      </w:tblPr>
      <w:tblGrid>
        <w:gridCol w:w="1392"/>
        <w:gridCol w:w="1742"/>
        <w:gridCol w:w="1041"/>
        <w:gridCol w:w="1043"/>
        <w:gridCol w:w="1136"/>
        <w:gridCol w:w="990"/>
        <w:gridCol w:w="956"/>
        <w:gridCol w:w="1050"/>
      </w:tblGrid>
      <w:tr w:rsidR="003051C9" w:rsidTr="003051C9">
        <w:tc>
          <w:tcPr>
            <w:tcW w:w="1459" w:type="dxa"/>
          </w:tcPr>
          <w:p w:rsidR="00A814B5" w:rsidRDefault="00867E93" w:rsidP="007F3247">
            <w:r>
              <w:t>Site</w:t>
            </w:r>
          </w:p>
        </w:tc>
        <w:tc>
          <w:tcPr>
            <w:tcW w:w="1866" w:type="dxa"/>
          </w:tcPr>
          <w:p w:rsidR="00A814B5" w:rsidRDefault="00867E93" w:rsidP="007F3247">
            <w:r>
              <w:t>Region</w:t>
            </w:r>
          </w:p>
        </w:tc>
        <w:tc>
          <w:tcPr>
            <w:tcW w:w="757" w:type="dxa"/>
          </w:tcPr>
          <w:p w:rsidR="00A814B5" w:rsidRDefault="00867E93" w:rsidP="007F3247">
            <w:proofErr w:type="spellStart"/>
            <w:r>
              <w:t>Lat</w:t>
            </w:r>
            <w:proofErr w:type="spellEnd"/>
          </w:p>
        </w:tc>
        <w:tc>
          <w:tcPr>
            <w:tcW w:w="1061" w:type="dxa"/>
          </w:tcPr>
          <w:p w:rsidR="00A814B5" w:rsidRDefault="00867E93" w:rsidP="007F3247">
            <w:r>
              <w:t>Long</w:t>
            </w:r>
          </w:p>
        </w:tc>
        <w:tc>
          <w:tcPr>
            <w:tcW w:w="1136" w:type="dxa"/>
          </w:tcPr>
          <w:p w:rsidR="00A814B5" w:rsidRDefault="00867E93" w:rsidP="007F3247">
            <w:r>
              <w:t>Elevation</w:t>
            </w:r>
          </w:p>
        </w:tc>
        <w:tc>
          <w:tcPr>
            <w:tcW w:w="1028" w:type="dxa"/>
          </w:tcPr>
          <w:p w:rsidR="00A814B5" w:rsidRDefault="00254B68" w:rsidP="007F3247">
            <w:r>
              <w:t>MAT</w:t>
            </w:r>
          </w:p>
        </w:tc>
        <w:tc>
          <w:tcPr>
            <w:tcW w:w="991" w:type="dxa"/>
          </w:tcPr>
          <w:p w:rsidR="00A814B5" w:rsidRDefault="00254B68" w:rsidP="007F3247">
            <w:r>
              <w:t>MAP</w:t>
            </w:r>
          </w:p>
        </w:tc>
        <w:tc>
          <w:tcPr>
            <w:tcW w:w="1052" w:type="dxa"/>
          </w:tcPr>
          <w:p w:rsidR="00A814B5" w:rsidRDefault="00A814B5" w:rsidP="007F3247"/>
        </w:tc>
      </w:tr>
      <w:tr w:rsidR="003051C9" w:rsidTr="003051C9">
        <w:tc>
          <w:tcPr>
            <w:tcW w:w="1459" w:type="dxa"/>
          </w:tcPr>
          <w:p w:rsidR="00254B68" w:rsidRPr="003051C9" w:rsidRDefault="00254B68" w:rsidP="00254B68">
            <w:pPr>
              <w:rPr>
                <w:sz w:val="22"/>
                <w:szCs w:val="22"/>
              </w:rPr>
            </w:pPr>
            <w:r w:rsidRPr="003051C9">
              <w:rPr>
                <w:sz w:val="22"/>
                <w:szCs w:val="22"/>
              </w:rPr>
              <w:t>Pan1</w:t>
            </w:r>
          </w:p>
        </w:tc>
        <w:tc>
          <w:tcPr>
            <w:tcW w:w="1866" w:type="dxa"/>
          </w:tcPr>
          <w:p w:rsidR="00254B68" w:rsidRPr="003051C9" w:rsidRDefault="00254B68" w:rsidP="00254B68">
            <w:pPr>
              <w:rPr>
                <w:sz w:val="22"/>
                <w:szCs w:val="22"/>
              </w:rPr>
            </w:pPr>
            <w:proofErr w:type="spellStart"/>
            <w:r w:rsidRPr="003051C9">
              <w:rPr>
                <w:sz w:val="22"/>
                <w:szCs w:val="22"/>
              </w:rPr>
              <w:t>Panoche</w:t>
            </w:r>
            <w:proofErr w:type="spellEnd"/>
            <w:r w:rsidRPr="003051C9">
              <w:rPr>
                <w:sz w:val="22"/>
                <w:szCs w:val="22"/>
              </w:rPr>
              <w:t xml:space="preserve"> Hills</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36.70654</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-120.812</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611</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14.4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377</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2.618056</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proofErr w:type="spellStart"/>
            <w:r w:rsidRPr="003051C9">
              <w:rPr>
                <w:sz w:val="22"/>
                <w:szCs w:val="22"/>
              </w:rPr>
              <w:t>Panoche</w:t>
            </w:r>
            <w:proofErr w:type="spellEnd"/>
            <w:r w:rsidRPr="003051C9">
              <w:rPr>
                <w:sz w:val="22"/>
                <w:szCs w:val="22"/>
              </w:rPr>
              <w:t xml:space="preserve"> Hills</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36.70554</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-120.812</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596</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14.4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377</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2.618056</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proofErr w:type="spellStart"/>
            <w:r w:rsidRPr="003051C9">
              <w:rPr>
                <w:sz w:val="22"/>
                <w:szCs w:val="22"/>
              </w:rPr>
              <w:t>Panoche</w:t>
            </w:r>
            <w:proofErr w:type="spellEnd"/>
            <w:r w:rsidRPr="003051C9">
              <w:rPr>
                <w:sz w:val="22"/>
                <w:szCs w:val="22"/>
              </w:rPr>
              <w:t xml:space="preserve"> Hills</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36.70001</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-120.801</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656.3209</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14.4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381</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2.474026</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proofErr w:type="spellStart"/>
            <w:r w:rsidRPr="003051C9">
              <w:rPr>
                <w:sz w:val="22"/>
                <w:szCs w:val="22"/>
              </w:rPr>
              <w:t>Cuyama</w:t>
            </w:r>
            <w:proofErr w:type="spellEnd"/>
            <w:r w:rsidRPr="003051C9">
              <w:rPr>
                <w:sz w:val="22"/>
                <w:szCs w:val="22"/>
              </w:rPr>
              <w:t xml:space="preserve"> Valley</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34.84873</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-119.483</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848</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13.4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533</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3.701389</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proofErr w:type="spellStart"/>
            <w:r w:rsidRPr="003051C9">
              <w:rPr>
                <w:sz w:val="22"/>
                <w:szCs w:val="22"/>
              </w:rPr>
              <w:t>Cuyama</w:t>
            </w:r>
            <w:proofErr w:type="spellEnd"/>
            <w:r w:rsidRPr="003051C9">
              <w:rPr>
                <w:sz w:val="22"/>
                <w:szCs w:val="22"/>
              </w:rPr>
              <w:t xml:space="preserve"> Valley</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34.85362</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-119.486</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837</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13.4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533</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3.701389</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proofErr w:type="spellStart"/>
            <w:r w:rsidRPr="003051C9">
              <w:rPr>
                <w:sz w:val="22"/>
                <w:szCs w:val="22"/>
              </w:rPr>
              <w:t>Cuyama</w:t>
            </w:r>
            <w:proofErr w:type="spellEnd"/>
            <w:r w:rsidRPr="003051C9">
              <w:rPr>
                <w:sz w:val="22"/>
                <w:szCs w:val="22"/>
              </w:rPr>
              <w:t xml:space="preserve"> Valley</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34.93824</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-119.481</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827</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13.4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533</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3.701389</w:t>
            </w:r>
          </w:p>
        </w:tc>
      </w:tr>
      <w:tr w:rsidR="003051C9" w:rsidTr="003051C9">
        <w:tc>
          <w:tcPr>
            <w:tcW w:w="1459" w:type="dxa"/>
          </w:tcPr>
          <w:p w:rsidR="00254B68" w:rsidRPr="003051C9" w:rsidRDefault="00254B68" w:rsidP="00254B68">
            <w:pPr>
              <w:rPr>
                <w:sz w:val="22"/>
                <w:szCs w:val="22"/>
              </w:rPr>
            </w:pPr>
            <w:r w:rsidRPr="003051C9">
              <w:rPr>
                <w:sz w:val="22"/>
                <w:szCs w:val="22"/>
              </w:rPr>
              <w:t>M1 (Sheep hole valley)</w:t>
            </w:r>
          </w:p>
        </w:tc>
        <w:tc>
          <w:tcPr>
            <w:tcW w:w="1866" w:type="dxa"/>
          </w:tcPr>
          <w:p w:rsidR="00254B68" w:rsidRPr="003051C9" w:rsidRDefault="00254B68" w:rsidP="00254B68">
            <w:pPr>
              <w:rPr>
                <w:sz w:val="22"/>
                <w:szCs w:val="22"/>
              </w:rPr>
            </w:pPr>
            <w:r w:rsidRPr="003051C9">
              <w:rPr>
                <w:sz w:val="22"/>
                <w:szCs w:val="22"/>
              </w:rPr>
              <w:t>Mojave Desert</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35.09405</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-116.835</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496.02</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19.7</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135</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0.652174</w:t>
            </w:r>
          </w:p>
        </w:tc>
      </w:tr>
      <w:tr w:rsidR="003051C9" w:rsidTr="003051C9">
        <w:tc>
          <w:tcPr>
            <w:tcW w:w="1459" w:type="dxa"/>
          </w:tcPr>
          <w:p w:rsidR="00254B68" w:rsidRPr="003051C9" w:rsidRDefault="00254B68" w:rsidP="00254B68">
            <w:pPr>
              <w:rPr>
                <w:sz w:val="22"/>
                <w:szCs w:val="22"/>
              </w:rPr>
            </w:pPr>
            <w:r w:rsidRPr="003051C9">
              <w:rPr>
                <w:sz w:val="22"/>
                <w:szCs w:val="22"/>
              </w:rPr>
              <w:t>M2 (Heart of the Mojave)</w:t>
            </w:r>
          </w:p>
        </w:tc>
        <w:tc>
          <w:tcPr>
            <w:tcW w:w="1866" w:type="dxa"/>
          </w:tcPr>
          <w:p w:rsidR="00254B68" w:rsidRPr="003051C9" w:rsidRDefault="00254B68" w:rsidP="00254B68">
            <w:pPr>
              <w:rPr>
                <w:sz w:val="22"/>
                <w:szCs w:val="22"/>
              </w:rPr>
            </w:pPr>
            <w:r w:rsidRPr="003051C9">
              <w:rPr>
                <w:sz w:val="22"/>
                <w:szCs w:val="22"/>
              </w:rPr>
              <w:t>Mojave Desert</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34.6982</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-115.684</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784.73</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19.3</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79</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0.389163</w:t>
            </w:r>
          </w:p>
        </w:tc>
      </w:tr>
      <w:tr w:rsidR="003051C9" w:rsidTr="003051C9">
        <w:tc>
          <w:tcPr>
            <w:tcW w:w="1459" w:type="dxa"/>
          </w:tcPr>
          <w:p w:rsidR="00254B68" w:rsidRPr="003051C9" w:rsidRDefault="00254B68" w:rsidP="00254B68">
            <w:pPr>
              <w:rPr>
                <w:sz w:val="22"/>
                <w:szCs w:val="22"/>
              </w:rPr>
            </w:pPr>
            <w:r w:rsidRPr="003051C9">
              <w:rPr>
                <w:sz w:val="22"/>
                <w:szCs w:val="22"/>
              </w:rPr>
              <w:t>M3 (Ft. Irwin area)</w:t>
            </w:r>
          </w:p>
        </w:tc>
        <w:tc>
          <w:tcPr>
            <w:tcW w:w="1866" w:type="dxa"/>
          </w:tcPr>
          <w:p w:rsidR="00254B68" w:rsidRPr="003051C9" w:rsidRDefault="00254B68" w:rsidP="00254B68">
            <w:pPr>
              <w:rPr>
                <w:sz w:val="22"/>
                <w:szCs w:val="22"/>
              </w:rPr>
            </w:pPr>
            <w:r w:rsidRPr="003051C9">
              <w:rPr>
                <w:sz w:val="22"/>
                <w:szCs w:val="22"/>
              </w:rPr>
              <w:t>Mojave Desert</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34.20568</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-115.72</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545.92</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20.9</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109</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0.497717</w:t>
            </w:r>
          </w:p>
        </w:tc>
      </w:tr>
    </w:tbl>
    <w:p w:rsidR="00A814B5" w:rsidRDefault="00A814B5" w:rsidP="007F3247"/>
    <w:p w:rsidR="00180835" w:rsidRDefault="00180835" w:rsidP="007F3247">
      <w:r>
        <w:t>Table 2: GLMM showing arthropod community responses</w:t>
      </w:r>
    </w:p>
    <w:p w:rsidR="00180835" w:rsidRDefault="00180835" w:rsidP="007F3247">
      <w:r>
        <w:t>Figure 1: Map of study sites across Southern California.</w:t>
      </w:r>
      <w:bookmarkStart w:id="0" w:name="_GoBack"/>
      <w:bookmarkEnd w:id="0"/>
    </w:p>
    <w:p w:rsidR="00180835" w:rsidRDefault="00180835" w:rsidP="007F3247"/>
    <w:p w:rsidR="00180835" w:rsidRDefault="00180835" w:rsidP="007F3247"/>
    <w:p w:rsidR="00180835" w:rsidRDefault="00180835" w:rsidP="007F3247"/>
    <w:p w:rsidR="00180835" w:rsidRDefault="00180835" w:rsidP="007F3247"/>
    <w:p w:rsidR="00180835" w:rsidRDefault="00180835" w:rsidP="007F3247"/>
    <w:p w:rsidR="00180835" w:rsidRDefault="00180835" w:rsidP="007F3247"/>
    <w:p w:rsidR="00180835" w:rsidRDefault="00180835" w:rsidP="007F3247"/>
    <w:p w:rsidR="00180835" w:rsidRDefault="00180835" w:rsidP="007F3247"/>
    <w:p w:rsidR="00180835" w:rsidRPr="00A814B5" w:rsidRDefault="00180835" w:rsidP="007F3247"/>
    <w:p w:rsidR="007F3247" w:rsidRPr="007F3247" w:rsidRDefault="007F3247" w:rsidP="007F3247">
      <w:pPr>
        <w:rPr>
          <w:b/>
        </w:rPr>
      </w:pPr>
      <w:r w:rsidRPr="007F3247">
        <w:rPr>
          <w:b/>
        </w:rPr>
        <w:t>LITERATURE CITED</w:t>
      </w:r>
    </w:p>
    <w:p w:rsidR="00A33827" w:rsidRDefault="00A33827" w:rsidP="007F3247"/>
    <w:p w:rsidR="00A33827" w:rsidRDefault="00A33827" w:rsidP="007F3247"/>
    <w:p w:rsidR="00A33827" w:rsidRPr="00A33827" w:rsidRDefault="00A33827" w:rsidP="00A33827">
      <w:pPr>
        <w:pStyle w:val="EndNoteBibliography"/>
      </w:pPr>
      <w:r>
        <w:fldChar w:fldCharType="begin"/>
      </w:r>
      <w:r>
        <w:instrText xml:space="preserve"> ADDIN EN.REFLIST </w:instrText>
      </w:r>
      <w:r>
        <w:fldChar w:fldCharType="separate"/>
      </w:r>
      <w:bookmarkStart w:id="1" w:name="_ENREF_1"/>
      <w:r w:rsidRPr="00A33827">
        <w:t xml:space="preserve">Liu, R., et al. (2016). "Changes in ground-dwelling arthropod diversity related to the proximity of shrub cover in a desertified system." </w:t>
      </w:r>
      <w:r w:rsidRPr="00A33827">
        <w:rPr>
          <w:u w:val="single"/>
        </w:rPr>
        <w:t>Journal of arid environments</w:t>
      </w:r>
      <w:r w:rsidRPr="00A33827">
        <w:t xml:space="preserve"> </w:t>
      </w:r>
      <w:r w:rsidRPr="00A33827">
        <w:rPr>
          <w:b/>
        </w:rPr>
        <w:t>124</w:t>
      </w:r>
      <w:r w:rsidRPr="00A33827">
        <w:t>: 172-179.</w:t>
      </w:r>
    </w:p>
    <w:p w:rsidR="00A33827" w:rsidRPr="00A33827" w:rsidRDefault="00A33827" w:rsidP="00A33827">
      <w:pPr>
        <w:pStyle w:val="EndNoteBibliography"/>
        <w:ind w:left="720" w:hanging="720"/>
      </w:pPr>
      <w:r w:rsidRPr="00A33827">
        <w:tab/>
      </w:r>
      <w:bookmarkEnd w:id="1"/>
    </w:p>
    <w:p w:rsidR="007F3247" w:rsidRPr="007F3247" w:rsidRDefault="00A33827" w:rsidP="007F3247">
      <w:r>
        <w:fldChar w:fldCharType="end"/>
      </w:r>
    </w:p>
    <w:sectPr w:rsidR="007F3247" w:rsidRPr="007F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C41"/>
    <w:multiLevelType w:val="multilevel"/>
    <w:tmpl w:val="5C96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40903"/>
    <w:multiLevelType w:val="hybridMultilevel"/>
    <w:tmpl w:val="B55E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431&lt;/item&gt;&lt;/record-ids&gt;&lt;/item&gt;&lt;/Libraries&gt;"/>
  </w:docVars>
  <w:rsids>
    <w:rsidRoot w:val="007F3247"/>
    <w:rsid w:val="000A6588"/>
    <w:rsid w:val="001635AC"/>
    <w:rsid w:val="00180835"/>
    <w:rsid w:val="001B5047"/>
    <w:rsid w:val="00254B68"/>
    <w:rsid w:val="002B7C94"/>
    <w:rsid w:val="003051C9"/>
    <w:rsid w:val="00392142"/>
    <w:rsid w:val="00485F89"/>
    <w:rsid w:val="0051099A"/>
    <w:rsid w:val="005A1590"/>
    <w:rsid w:val="005D28B9"/>
    <w:rsid w:val="007F3247"/>
    <w:rsid w:val="00867E93"/>
    <w:rsid w:val="0091785A"/>
    <w:rsid w:val="00A33827"/>
    <w:rsid w:val="00A814B5"/>
    <w:rsid w:val="00BE3D38"/>
    <w:rsid w:val="00C90FA9"/>
    <w:rsid w:val="00D250D8"/>
    <w:rsid w:val="00D8417D"/>
    <w:rsid w:val="00F1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51E5"/>
  <w15:chartTrackingRefBased/>
  <w15:docId w15:val="{387BF399-8A36-42E2-8B72-71616849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247"/>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47"/>
    <w:pPr>
      <w:ind w:left="720"/>
      <w:contextualSpacing/>
    </w:pPr>
  </w:style>
  <w:style w:type="paragraph" w:customStyle="1" w:styleId="EndNoteBibliographyTitle">
    <w:name w:val="EndNote Bibliography Title"/>
    <w:basedOn w:val="Normal"/>
    <w:link w:val="EndNoteBibliographyTitleChar"/>
    <w:rsid w:val="00A33827"/>
    <w:pPr>
      <w:spacing w:after="0"/>
      <w:jc w:val="center"/>
    </w:pPr>
    <w:rPr>
      <w:noProof/>
    </w:rPr>
  </w:style>
  <w:style w:type="character" w:customStyle="1" w:styleId="EndNoteBibliographyTitleChar">
    <w:name w:val="EndNote Bibliography Title Char"/>
    <w:basedOn w:val="DefaultParagraphFont"/>
    <w:link w:val="EndNoteBibliographyTitle"/>
    <w:rsid w:val="00A33827"/>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A33827"/>
    <w:pPr>
      <w:spacing w:line="240" w:lineRule="auto"/>
    </w:pPr>
    <w:rPr>
      <w:noProof/>
    </w:rPr>
  </w:style>
  <w:style w:type="character" w:customStyle="1" w:styleId="EndNoteBibliographyChar">
    <w:name w:val="EndNote Bibliography Char"/>
    <w:basedOn w:val="DefaultParagraphFont"/>
    <w:link w:val="EndNoteBibliography"/>
    <w:rsid w:val="00A33827"/>
    <w:rPr>
      <w:rFonts w:ascii="Times New Roman" w:hAnsi="Times New Roman" w:cs="Times New Roman"/>
      <w:noProof/>
      <w:sz w:val="24"/>
      <w:szCs w:val="24"/>
    </w:rPr>
  </w:style>
  <w:style w:type="character" w:styleId="Hyperlink">
    <w:name w:val="Hyperlink"/>
    <w:basedOn w:val="DefaultParagraphFont"/>
    <w:uiPriority w:val="99"/>
    <w:unhideWhenUsed/>
    <w:rsid w:val="00A33827"/>
    <w:rPr>
      <w:color w:val="0563C1" w:themeColor="hyperlink"/>
      <w:u w:val="single"/>
    </w:rPr>
  </w:style>
  <w:style w:type="character" w:customStyle="1" w:styleId="citationref">
    <w:name w:val="citationref"/>
    <w:basedOn w:val="DefaultParagraphFont"/>
    <w:rsid w:val="00A33827"/>
  </w:style>
  <w:style w:type="table" w:styleId="TableGrid">
    <w:name w:val="Table Grid"/>
    <w:basedOn w:val="TableNormal"/>
    <w:uiPriority w:val="39"/>
    <w:rsid w:val="00A81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6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829-016-9450-z" TargetMode="External"/><Relationship Id="rId3" Type="http://schemas.openxmlformats.org/officeDocument/2006/relationships/settings" Target="settings.xml"/><Relationship Id="rId7" Type="http://schemas.openxmlformats.org/officeDocument/2006/relationships/hyperlink" Target="https://link.springer.com/article/10.1007/s11829-016-9450-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1829-016-9450-z" TargetMode="External"/><Relationship Id="rId11" Type="http://schemas.openxmlformats.org/officeDocument/2006/relationships/theme" Target="theme/theme1.xml"/><Relationship Id="rId5" Type="http://schemas.openxmlformats.org/officeDocument/2006/relationships/hyperlink" Target="https://link.springer.com/article/10.1007/s11829-016-9450-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article/10.1007/s11829-016-9450-z"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4475</TotalTime>
  <Pages>6</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15</cp:revision>
  <dcterms:created xsi:type="dcterms:W3CDTF">2019-10-31T15:35:00Z</dcterms:created>
  <dcterms:modified xsi:type="dcterms:W3CDTF">2019-11-04T19:18:00Z</dcterms:modified>
</cp:coreProperties>
</file>