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0B9DC" w14:textId="031B34B0" w:rsidR="00E86820" w:rsidRPr="007B29BD" w:rsidRDefault="00CA220F" w:rsidP="001E4B5C">
      <w:pPr>
        <w:spacing w:line="3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29BD">
        <w:rPr>
          <w:rFonts w:ascii="Times New Roman" w:hAnsi="Times New Roman" w:cs="Times New Roman"/>
          <w:b/>
          <w:bCs/>
          <w:sz w:val="24"/>
          <w:szCs w:val="24"/>
        </w:rPr>
        <w:t>Using Census Data to Understand Borough Park</w:t>
      </w:r>
    </w:p>
    <w:p w14:paraId="17BC73FC" w14:textId="7265B44E" w:rsidR="00DA1782" w:rsidRPr="00DA1782" w:rsidRDefault="00DA1782" w:rsidP="00DA1782">
      <w:pPr>
        <w:spacing w:line="30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A1782">
        <w:rPr>
          <w:rFonts w:ascii="Times New Roman" w:hAnsi="Times New Roman" w:cs="Times New Roman"/>
          <w:i/>
          <w:iCs/>
          <w:sz w:val="24"/>
          <w:szCs w:val="24"/>
        </w:rPr>
        <w:t>What does the current demographic pattern tell about the neighborhood?</w:t>
      </w:r>
    </w:p>
    <w:p w14:paraId="308C2248" w14:textId="1A144C36" w:rsidR="00EF5259" w:rsidRPr="007B29BD" w:rsidRDefault="007C0656" w:rsidP="00EF5259">
      <w:pPr>
        <w:spacing w:line="30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B29BD">
        <w:rPr>
          <w:rFonts w:ascii="Times New Roman" w:hAnsi="Times New Roman" w:cs="Times New Roman"/>
          <w:sz w:val="24"/>
          <w:szCs w:val="24"/>
        </w:rPr>
        <w:t xml:space="preserve">Borough Park is a neighborhood in </w:t>
      </w:r>
      <w:r w:rsidR="002C168E" w:rsidRPr="007B29BD">
        <w:rPr>
          <w:rFonts w:ascii="Times New Roman" w:hAnsi="Times New Roman" w:cs="Times New Roman"/>
          <w:sz w:val="24"/>
          <w:szCs w:val="24"/>
        </w:rPr>
        <w:t>southwest</w:t>
      </w:r>
      <w:r w:rsidR="001E4B5C" w:rsidRPr="007B29BD">
        <w:rPr>
          <w:rFonts w:ascii="Times New Roman" w:hAnsi="Times New Roman" w:cs="Times New Roman"/>
          <w:sz w:val="24"/>
          <w:szCs w:val="24"/>
        </w:rPr>
        <w:t xml:space="preserve"> Brooklyn</w:t>
      </w:r>
      <w:r w:rsidR="00FC65B5" w:rsidRPr="007B29BD">
        <w:rPr>
          <w:rFonts w:ascii="Times New Roman" w:hAnsi="Times New Roman" w:cs="Times New Roman"/>
          <w:sz w:val="24"/>
          <w:szCs w:val="24"/>
        </w:rPr>
        <w:t xml:space="preserve"> that is, both historically and currently, home to </w:t>
      </w:r>
      <w:r w:rsidR="00CF06F2" w:rsidRPr="007B29BD">
        <w:rPr>
          <w:rFonts w:ascii="Times New Roman" w:hAnsi="Times New Roman" w:cs="Times New Roman"/>
          <w:sz w:val="24"/>
          <w:szCs w:val="24"/>
        </w:rPr>
        <w:t>many</w:t>
      </w:r>
      <w:r w:rsidR="00FC65B5" w:rsidRPr="007B29BD">
        <w:rPr>
          <w:rFonts w:ascii="Times New Roman" w:hAnsi="Times New Roman" w:cs="Times New Roman"/>
          <w:sz w:val="24"/>
          <w:szCs w:val="24"/>
        </w:rPr>
        <w:t xml:space="preserve"> Orthodox and Hasidic Jewish </w:t>
      </w:r>
      <w:r w:rsidR="00CF06F2" w:rsidRPr="007B29BD">
        <w:rPr>
          <w:rFonts w:ascii="Times New Roman" w:hAnsi="Times New Roman" w:cs="Times New Roman"/>
          <w:sz w:val="24"/>
          <w:szCs w:val="24"/>
        </w:rPr>
        <w:t>residents</w:t>
      </w:r>
      <w:r w:rsidR="00FC65B5" w:rsidRPr="007B29BD">
        <w:rPr>
          <w:rFonts w:ascii="Times New Roman" w:hAnsi="Times New Roman" w:cs="Times New Roman"/>
          <w:sz w:val="24"/>
          <w:szCs w:val="24"/>
        </w:rPr>
        <w:t>—one of the largest such communities in the U.S. (</w:t>
      </w:r>
      <w:r w:rsidR="00ED72D3" w:rsidRPr="007B29BD">
        <w:rPr>
          <w:rFonts w:ascii="Times New Roman" w:hAnsi="Times New Roman" w:cs="Times New Roman"/>
          <w:sz w:val="24"/>
          <w:szCs w:val="24"/>
        </w:rPr>
        <w:t>Beyer</w:t>
      </w:r>
      <w:r w:rsidR="00313424" w:rsidRPr="007B29BD">
        <w:rPr>
          <w:rFonts w:ascii="Times New Roman" w:hAnsi="Times New Roman" w:cs="Times New Roman"/>
          <w:sz w:val="24"/>
          <w:szCs w:val="24"/>
        </w:rPr>
        <w:t>, 20</w:t>
      </w:r>
      <w:r w:rsidR="00D34612" w:rsidRPr="007B29BD">
        <w:rPr>
          <w:rFonts w:ascii="Times New Roman" w:hAnsi="Times New Roman" w:cs="Times New Roman"/>
          <w:sz w:val="24"/>
          <w:szCs w:val="24"/>
        </w:rPr>
        <w:t>1</w:t>
      </w:r>
      <w:r w:rsidR="00313424" w:rsidRPr="007B29BD">
        <w:rPr>
          <w:rFonts w:ascii="Times New Roman" w:hAnsi="Times New Roman" w:cs="Times New Roman"/>
          <w:sz w:val="24"/>
          <w:szCs w:val="24"/>
        </w:rPr>
        <w:t>0</w:t>
      </w:r>
      <w:r w:rsidR="00ED72D3" w:rsidRPr="007B29BD">
        <w:rPr>
          <w:rFonts w:ascii="Times New Roman" w:hAnsi="Times New Roman" w:cs="Times New Roman"/>
          <w:sz w:val="24"/>
          <w:szCs w:val="24"/>
        </w:rPr>
        <w:t>).</w:t>
      </w:r>
      <w:r w:rsidR="006C4F48" w:rsidRPr="007B29BD">
        <w:rPr>
          <w:rFonts w:ascii="Times New Roman" w:hAnsi="Times New Roman" w:cs="Times New Roman"/>
          <w:sz w:val="24"/>
          <w:szCs w:val="24"/>
        </w:rPr>
        <w:t xml:space="preserve"> On a Friday evening or Saturday morning, the streets are mostly desolate as </w:t>
      </w:r>
      <w:r w:rsidR="00B43528" w:rsidRPr="007B29BD">
        <w:rPr>
          <w:rFonts w:ascii="Times New Roman" w:hAnsi="Times New Roman" w:cs="Times New Roman"/>
          <w:sz w:val="24"/>
          <w:szCs w:val="24"/>
        </w:rPr>
        <w:t xml:space="preserve">residents observe </w:t>
      </w:r>
      <w:r w:rsidR="00874913" w:rsidRPr="007B29BD">
        <w:rPr>
          <w:rFonts w:ascii="Times New Roman" w:hAnsi="Times New Roman" w:cs="Times New Roman"/>
          <w:sz w:val="24"/>
          <w:szCs w:val="24"/>
        </w:rPr>
        <w:t>Shabbat.</w:t>
      </w:r>
      <w:r w:rsidR="003B7630" w:rsidRPr="007B29BD">
        <w:rPr>
          <w:rFonts w:ascii="Times New Roman" w:hAnsi="Times New Roman" w:cs="Times New Roman"/>
          <w:sz w:val="24"/>
          <w:szCs w:val="24"/>
        </w:rPr>
        <w:t xml:space="preserve"> </w:t>
      </w:r>
      <w:r w:rsidR="00EF5259" w:rsidRPr="007B29BD">
        <w:rPr>
          <w:rFonts w:ascii="Times New Roman" w:hAnsi="Times New Roman" w:cs="Times New Roman"/>
          <w:sz w:val="24"/>
          <w:szCs w:val="24"/>
        </w:rPr>
        <w:t>In smaller numbers, the</w:t>
      </w:r>
      <w:r w:rsidR="00ED69FC" w:rsidRPr="007B29BD">
        <w:rPr>
          <w:rFonts w:ascii="Times New Roman" w:hAnsi="Times New Roman" w:cs="Times New Roman"/>
          <w:sz w:val="24"/>
          <w:szCs w:val="24"/>
        </w:rPr>
        <w:t>re are also historic</w:t>
      </w:r>
      <w:r w:rsidR="00EF5259" w:rsidRPr="007B29BD">
        <w:rPr>
          <w:rFonts w:ascii="Times New Roman" w:hAnsi="Times New Roman" w:cs="Times New Roman"/>
          <w:sz w:val="24"/>
          <w:szCs w:val="24"/>
        </w:rPr>
        <w:t xml:space="preserve"> Italian and Irish communities.</w:t>
      </w:r>
      <w:r w:rsidR="00E8031D" w:rsidRPr="007B29BD">
        <w:rPr>
          <w:rFonts w:ascii="Times New Roman" w:hAnsi="Times New Roman" w:cs="Times New Roman"/>
          <w:sz w:val="24"/>
          <w:szCs w:val="24"/>
        </w:rPr>
        <w:t xml:space="preserve"> The neighborhood has a 711-bed hospital, Maimonides Medical Center, and more than 300 religious institutions (Beyer, 2010).</w:t>
      </w:r>
      <w:r w:rsidR="00EF5259" w:rsidRPr="007B29BD">
        <w:rPr>
          <w:rFonts w:ascii="Times New Roman" w:hAnsi="Times New Roman" w:cs="Times New Roman"/>
          <w:sz w:val="24"/>
          <w:szCs w:val="24"/>
        </w:rPr>
        <w:t xml:space="preserve"> </w:t>
      </w:r>
      <w:r w:rsidR="00E8031D" w:rsidRPr="007B29BD">
        <w:rPr>
          <w:rFonts w:ascii="Times New Roman" w:hAnsi="Times New Roman" w:cs="Times New Roman"/>
          <w:sz w:val="24"/>
          <w:szCs w:val="24"/>
        </w:rPr>
        <w:t>M</w:t>
      </w:r>
      <w:r w:rsidR="00ED69FC" w:rsidRPr="007B29BD">
        <w:rPr>
          <w:rFonts w:ascii="Times New Roman" w:hAnsi="Times New Roman" w:cs="Times New Roman"/>
          <w:sz w:val="24"/>
          <w:szCs w:val="24"/>
        </w:rPr>
        <w:t xml:space="preserve">ost religious institutions are Jewish, </w:t>
      </w:r>
      <w:r w:rsidR="00E8031D" w:rsidRPr="007B29BD">
        <w:rPr>
          <w:rFonts w:ascii="Times New Roman" w:hAnsi="Times New Roman" w:cs="Times New Roman"/>
          <w:sz w:val="24"/>
          <w:szCs w:val="24"/>
        </w:rPr>
        <w:t xml:space="preserve">but not all. </w:t>
      </w:r>
      <w:r w:rsidR="007D74CD" w:rsidRPr="007B29BD">
        <w:rPr>
          <w:rFonts w:ascii="Times New Roman" w:hAnsi="Times New Roman" w:cs="Times New Roman"/>
          <w:sz w:val="24"/>
          <w:szCs w:val="24"/>
        </w:rPr>
        <w:t>For example, t</w:t>
      </w:r>
      <w:r w:rsidR="00ED69FC" w:rsidRPr="007B29BD">
        <w:rPr>
          <w:rFonts w:ascii="Times New Roman" w:hAnsi="Times New Roman" w:cs="Times New Roman"/>
          <w:sz w:val="24"/>
          <w:szCs w:val="24"/>
        </w:rPr>
        <w:t>here’s a Roman Catholic church on 58</w:t>
      </w:r>
      <w:r w:rsidR="00ED69FC" w:rsidRPr="007B29B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D69FC" w:rsidRPr="007B29BD">
        <w:rPr>
          <w:rFonts w:ascii="Times New Roman" w:hAnsi="Times New Roman" w:cs="Times New Roman"/>
          <w:sz w:val="24"/>
          <w:szCs w:val="24"/>
        </w:rPr>
        <w:t xml:space="preserve"> street that offers mass in English and Polish</w:t>
      </w:r>
      <w:r w:rsidR="00C0603B" w:rsidRPr="007B29BD">
        <w:rPr>
          <w:rFonts w:ascii="Times New Roman" w:hAnsi="Times New Roman" w:cs="Times New Roman"/>
          <w:sz w:val="24"/>
          <w:szCs w:val="24"/>
        </w:rPr>
        <w:t xml:space="preserve"> (Beyer, 2010)</w:t>
      </w:r>
      <w:r w:rsidR="00ED69FC" w:rsidRPr="007B29BD">
        <w:rPr>
          <w:rFonts w:ascii="Times New Roman" w:hAnsi="Times New Roman" w:cs="Times New Roman"/>
          <w:sz w:val="24"/>
          <w:szCs w:val="24"/>
        </w:rPr>
        <w:t>.</w:t>
      </w:r>
    </w:p>
    <w:p w14:paraId="58202CF9" w14:textId="47C2E2E2" w:rsidR="0031255E" w:rsidRPr="007B29BD" w:rsidRDefault="00523B19" w:rsidP="0031255E">
      <w:pPr>
        <w:spacing w:line="30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B29BD">
        <w:rPr>
          <w:rFonts w:ascii="Times New Roman" w:hAnsi="Times New Roman" w:cs="Times New Roman"/>
          <w:sz w:val="24"/>
          <w:szCs w:val="24"/>
        </w:rPr>
        <w:t xml:space="preserve">For this </w:t>
      </w:r>
      <w:r w:rsidR="00BB5E7B" w:rsidRPr="007B29BD">
        <w:rPr>
          <w:rFonts w:ascii="Times New Roman" w:hAnsi="Times New Roman" w:cs="Times New Roman"/>
          <w:sz w:val="24"/>
          <w:szCs w:val="24"/>
        </w:rPr>
        <w:t>lab</w:t>
      </w:r>
      <w:r w:rsidRPr="007B29BD">
        <w:rPr>
          <w:rFonts w:ascii="Times New Roman" w:hAnsi="Times New Roman" w:cs="Times New Roman"/>
          <w:sz w:val="24"/>
          <w:szCs w:val="24"/>
        </w:rPr>
        <w:t xml:space="preserve">, </w:t>
      </w:r>
      <w:r w:rsidR="00EE661B" w:rsidRPr="007B29BD">
        <w:rPr>
          <w:rFonts w:ascii="Times New Roman" w:hAnsi="Times New Roman" w:cs="Times New Roman"/>
          <w:sz w:val="24"/>
          <w:szCs w:val="24"/>
        </w:rPr>
        <w:t xml:space="preserve">five </w:t>
      </w:r>
      <w:r w:rsidR="00BB5E7B" w:rsidRPr="007B29BD">
        <w:rPr>
          <w:rFonts w:ascii="Times New Roman" w:hAnsi="Times New Roman" w:cs="Times New Roman"/>
          <w:sz w:val="24"/>
          <w:szCs w:val="24"/>
        </w:rPr>
        <w:t>census tracts in the northe</w:t>
      </w:r>
      <w:r w:rsidR="00E2172E" w:rsidRPr="007B29BD">
        <w:rPr>
          <w:rFonts w:ascii="Times New Roman" w:hAnsi="Times New Roman" w:cs="Times New Roman"/>
          <w:sz w:val="24"/>
          <w:szCs w:val="24"/>
        </w:rPr>
        <w:t xml:space="preserve">astern half of the neighborhood </w:t>
      </w:r>
      <w:r w:rsidR="00EE661B" w:rsidRPr="007B29BD">
        <w:rPr>
          <w:rFonts w:ascii="Times New Roman" w:hAnsi="Times New Roman" w:cs="Times New Roman"/>
          <w:sz w:val="24"/>
          <w:szCs w:val="24"/>
        </w:rPr>
        <w:t>were</w:t>
      </w:r>
      <w:r w:rsidR="00E2172E" w:rsidRPr="007B29BD">
        <w:rPr>
          <w:rFonts w:ascii="Times New Roman" w:hAnsi="Times New Roman" w:cs="Times New Roman"/>
          <w:sz w:val="24"/>
          <w:szCs w:val="24"/>
        </w:rPr>
        <w:t xml:space="preserve"> chosen to represent </w:t>
      </w:r>
      <w:r w:rsidR="00CA3074" w:rsidRPr="007B29BD">
        <w:rPr>
          <w:rFonts w:ascii="Times New Roman" w:hAnsi="Times New Roman" w:cs="Times New Roman"/>
          <w:sz w:val="24"/>
          <w:szCs w:val="24"/>
        </w:rPr>
        <w:t xml:space="preserve">the Borough Park </w:t>
      </w:r>
      <w:r w:rsidR="00DF1625" w:rsidRPr="007B29BD">
        <w:rPr>
          <w:rFonts w:ascii="Times New Roman" w:hAnsi="Times New Roman" w:cs="Times New Roman"/>
          <w:sz w:val="24"/>
          <w:szCs w:val="24"/>
        </w:rPr>
        <w:t>neighborhood</w:t>
      </w:r>
      <w:r w:rsidR="00E2172E" w:rsidRPr="007B29BD">
        <w:rPr>
          <w:rFonts w:ascii="Times New Roman" w:hAnsi="Times New Roman" w:cs="Times New Roman"/>
          <w:sz w:val="24"/>
          <w:szCs w:val="24"/>
        </w:rPr>
        <w:t xml:space="preserve">. </w:t>
      </w:r>
      <w:r w:rsidR="004211A4">
        <w:rPr>
          <w:rFonts w:ascii="Times New Roman" w:hAnsi="Times New Roman" w:cs="Times New Roman"/>
          <w:sz w:val="24"/>
          <w:szCs w:val="24"/>
        </w:rPr>
        <w:t xml:space="preserve">When Borough Park is mentioned in relation to </w:t>
      </w:r>
      <w:r w:rsidR="008365AB">
        <w:rPr>
          <w:rFonts w:ascii="Times New Roman" w:hAnsi="Times New Roman" w:cs="Times New Roman"/>
          <w:sz w:val="24"/>
          <w:szCs w:val="24"/>
        </w:rPr>
        <w:t>Census data in this lab</w:t>
      </w:r>
      <w:r w:rsidR="004211A4">
        <w:rPr>
          <w:rFonts w:ascii="Times New Roman" w:hAnsi="Times New Roman" w:cs="Times New Roman"/>
          <w:sz w:val="24"/>
          <w:szCs w:val="24"/>
        </w:rPr>
        <w:t xml:space="preserve">, these five census tracts should be inferred. </w:t>
      </w:r>
      <w:r w:rsidR="00EE661B" w:rsidRPr="007B29BD">
        <w:rPr>
          <w:rFonts w:ascii="Times New Roman" w:hAnsi="Times New Roman" w:cs="Times New Roman"/>
          <w:sz w:val="24"/>
          <w:szCs w:val="24"/>
        </w:rPr>
        <w:t>The selected census tracts are: 472, 476, 474,</w:t>
      </w:r>
      <w:r w:rsidR="001A5B84" w:rsidRPr="001A5B84">
        <w:rPr>
          <w:rFonts w:ascii="Times New Roman" w:hAnsi="Times New Roman" w:cs="Times New Roman"/>
          <w:sz w:val="24"/>
          <w:szCs w:val="24"/>
        </w:rPr>
        <w:t xml:space="preserve"> </w:t>
      </w:r>
      <w:r w:rsidR="001A5B84" w:rsidRPr="007B29BD">
        <w:rPr>
          <w:rFonts w:ascii="Times New Roman" w:hAnsi="Times New Roman" w:cs="Times New Roman"/>
          <w:sz w:val="24"/>
          <w:szCs w:val="24"/>
        </w:rPr>
        <w:t xml:space="preserve">234, </w:t>
      </w:r>
      <w:r w:rsidR="00EE661B" w:rsidRPr="007B29BD">
        <w:rPr>
          <w:rFonts w:ascii="Times New Roman" w:hAnsi="Times New Roman" w:cs="Times New Roman"/>
          <w:sz w:val="24"/>
          <w:szCs w:val="24"/>
        </w:rPr>
        <w:t>and 232</w:t>
      </w:r>
      <w:r w:rsidR="00CA3074" w:rsidRPr="007B29BD">
        <w:rPr>
          <w:rFonts w:ascii="Times New Roman" w:hAnsi="Times New Roman" w:cs="Times New Roman"/>
          <w:sz w:val="24"/>
          <w:szCs w:val="24"/>
        </w:rPr>
        <w:t xml:space="preserve"> (see figure 1)</w:t>
      </w:r>
      <w:r w:rsidR="00EE661B" w:rsidRPr="007B29BD">
        <w:rPr>
          <w:rFonts w:ascii="Times New Roman" w:hAnsi="Times New Roman" w:cs="Times New Roman"/>
          <w:sz w:val="24"/>
          <w:szCs w:val="24"/>
        </w:rPr>
        <w:t xml:space="preserve">. </w:t>
      </w:r>
      <w:r w:rsidR="00812E34" w:rsidRPr="007B29BD">
        <w:rPr>
          <w:rFonts w:ascii="Times New Roman" w:hAnsi="Times New Roman" w:cs="Times New Roman"/>
          <w:sz w:val="24"/>
          <w:szCs w:val="24"/>
        </w:rPr>
        <w:t>None of these census tracts changed between the 2000 and 2010 census. The 5-year American Community Survey for 2005-2009, 2010-2014, and 2015-2019</w:t>
      </w:r>
      <w:r w:rsidR="00E90273" w:rsidRPr="007B29BD">
        <w:rPr>
          <w:rFonts w:ascii="Times New Roman" w:hAnsi="Times New Roman" w:cs="Times New Roman"/>
          <w:sz w:val="24"/>
          <w:szCs w:val="24"/>
        </w:rPr>
        <w:t xml:space="preserve"> provides relevant data on demographics for </w:t>
      </w:r>
      <w:r w:rsidR="00AA5996" w:rsidRPr="007B29BD">
        <w:rPr>
          <w:rFonts w:ascii="Times New Roman" w:hAnsi="Times New Roman" w:cs="Times New Roman"/>
          <w:sz w:val="24"/>
          <w:szCs w:val="24"/>
        </w:rPr>
        <w:t>these census tracts</w:t>
      </w:r>
      <w:r w:rsidR="00CA3074" w:rsidRPr="007B29BD">
        <w:rPr>
          <w:rFonts w:ascii="Times New Roman" w:hAnsi="Times New Roman" w:cs="Times New Roman"/>
          <w:sz w:val="24"/>
          <w:szCs w:val="24"/>
        </w:rPr>
        <w:t xml:space="preserve">, including: race and ethnicity, age, </w:t>
      </w:r>
      <w:r w:rsidR="00A541C5" w:rsidRPr="007B29BD">
        <w:rPr>
          <w:rFonts w:ascii="Times New Roman" w:hAnsi="Times New Roman" w:cs="Times New Roman"/>
          <w:sz w:val="24"/>
          <w:szCs w:val="24"/>
        </w:rPr>
        <w:t xml:space="preserve">highest </w:t>
      </w:r>
      <w:r w:rsidR="00CA3074" w:rsidRPr="007B29BD">
        <w:rPr>
          <w:rFonts w:ascii="Times New Roman" w:hAnsi="Times New Roman" w:cs="Times New Roman"/>
          <w:sz w:val="24"/>
          <w:szCs w:val="24"/>
        </w:rPr>
        <w:t xml:space="preserve">level of education, median household income, and </w:t>
      </w:r>
      <w:r w:rsidR="00A541C5" w:rsidRPr="007B29BD">
        <w:rPr>
          <w:rFonts w:ascii="Times New Roman" w:hAnsi="Times New Roman" w:cs="Times New Roman"/>
          <w:sz w:val="24"/>
          <w:szCs w:val="24"/>
        </w:rPr>
        <w:t>household renter status.</w:t>
      </w:r>
    </w:p>
    <w:p w14:paraId="66DF55AF" w14:textId="62FF1044" w:rsidR="00A724AF" w:rsidRPr="007B29BD" w:rsidRDefault="00381264" w:rsidP="00C9433D">
      <w:pPr>
        <w:spacing w:line="30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B29BD">
        <w:rPr>
          <w:rFonts w:ascii="Times New Roman" w:hAnsi="Times New Roman" w:cs="Times New Roman"/>
          <w:sz w:val="24"/>
          <w:szCs w:val="24"/>
        </w:rPr>
        <w:t xml:space="preserve">In the most recent 5-year ACS survey, the census tracts representing Borough Park </w:t>
      </w:r>
      <w:r w:rsidR="00477C29" w:rsidRPr="007B29BD">
        <w:rPr>
          <w:rFonts w:ascii="Times New Roman" w:hAnsi="Times New Roman" w:cs="Times New Roman"/>
          <w:sz w:val="24"/>
          <w:szCs w:val="24"/>
        </w:rPr>
        <w:t>show</w:t>
      </w:r>
      <w:r w:rsidRPr="007B29BD">
        <w:rPr>
          <w:rFonts w:ascii="Times New Roman" w:hAnsi="Times New Roman" w:cs="Times New Roman"/>
          <w:sz w:val="24"/>
          <w:szCs w:val="24"/>
        </w:rPr>
        <w:t xml:space="preserve"> that the neighborhood is </w:t>
      </w:r>
      <w:r w:rsidR="00041083" w:rsidRPr="007B29BD">
        <w:rPr>
          <w:rFonts w:ascii="Times New Roman" w:hAnsi="Times New Roman" w:cs="Times New Roman"/>
          <w:sz w:val="24"/>
          <w:szCs w:val="24"/>
        </w:rPr>
        <w:t>95%</w:t>
      </w:r>
      <w:r w:rsidRPr="007B29BD">
        <w:rPr>
          <w:rFonts w:ascii="Times New Roman" w:hAnsi="Times New Roman" w:cs="Times New Roman"/>
          <w:sz w:val="24"/>
          <w:szCs w:val="24"/>
        </w:rPr>
        <w:t xml:space="preserve"> white and not Latinx (see figures 2 and 3</w:t>
      </w:r>
      <w:r w:rsidR="00172653" w:rsidRPr="007B29BD">
        <w:rPr>
          <w:rFonts w:ascii="Times New Roman" w:hAnsi="Times New Roman" w:cs="Times New Roman"/>
          <w:sz w:val="24"/>
          <w:szCs w:val="24"/>
        </w:rPr>
        <w:t>). Smaller percentages—less than 2%</w:t>
      </w:r>
      <w:r w:rsidR="006D28A3" w:rsidRPr="007B29BD">
        <w:rPr>
          <w:rFonts w:ascii="Times New Roman" w:hAnsi="Times New Roman" w:cs="Times New Roman"/>
          <w:sz w:val="24"/>
          <w:szCs w:val="24"/>
        </w:rPr>
        <w:t xml:space="preserve"> of the total population</w:t>
      </w:r>
      <w:r w:rsidR="00537B7A" w:rsidRPr="007B29BD">
        <w:rPr>
          <w:rFonts w:ascii="Times New Roman" w:hAnsi="Times New Roman" w:cs="Times New Roman"/>
          <w:sz w:val="24"/>
          <w:szCs w:val="24"/>
        </w:rPr>
        <w:t>—</w:t>
      </w:r>
      <w:r w:rsidR="004C28AF" w:rsidRPr="007B29BD">
        <w:rPr>
          <w:rFonts w:ascii="Times New Roman" w:hAnsi="Times New Roman" w:cs="Times New Roman"/>
          <w:sz w:val="24"/>
          <w:szCs w:val="24"/>
        </w:rPr>
        <w:t xml:space="preserve">are </w:t>
      </w:r>
      <w:r w:rsidR="00537B7A" w:rsidRPr="007B29BD">
        <w:rPr>
          <w:rFonts w:ascii="Times New Roman" w:hAnsi="Times New Roman" w:cs="Times New Roman"/>
          <w:sz w:val="24"/>
          <w:szCs w:val="24"/>
        </w:rPr>
        <w:t>Asian</w:t>
      </w:r>
      <w:r w:rsidR="00840949" w:rsidRPr="007B29BD">
        <w:rPr>
          <w:rFonts w:ascii="Times New Roman" w:hAnsi="Times New Roman" w:cs="Times New Roman"/>
          <w:sz w:val="24"/>
          <w:szCs w:val="24"/>
        </w:rPr>
        <w:t xml:space="preserve"> or </w:t>
      </w:r>
      <w:r w:rsidR="00537B7A" w:rsidRPr="007B29BD">
        <w:rPr>
          <w:rFonts w:ascii="Times New Roman" w:hAnsi="Times New Roman" w:cs="Times New Roman"/>
          <w:sz w:val="24"/>
          <w:szCs w:val="24"/>
        </w:rPr>
        <w:t>Black</w:t>
      </w:r>
      <w:r w:rsidR="0009625D" w:rsidRPr="007B29BD">
        <w:rPr>
          <w:rFonts w:ascii="Times New Roman" w:hAnsi="Times New Roman" w:cs="Times New Roman"/>
          <w:sz w:val="24"/>
          <w:szCs w:val="24"/>
        </w:rPr>
        <w:t xml:space="preserve"> and African</w:t>
      </w:r>
      <w:r w:rsidR="00537B7A" w:rsidRPr="007B29BD">
        <w:rPr>
          <w:rFonts w:ascii="Times New Roman" w:hAnsi="Times New Roman" w:cs="Times New Roman"/>
          <w:sz w:val="24"/>
          <w:szCs w:val="24"/>
        </w:rPr>
        <w:t xml:space="preserve"> </w:t>
      </w:r>
      <w:r w:rsidR="00031DB2" w:rsidRPr="007B29BD">
        <w:rPr>
          <w:rFonts w:ascii="Times New Roman" w:hAnsi="Times New Roman" w:cs="Times New Roman"/>
          <w:sz w:val="24"/>
          <w:szCs w:val="24"/>
        </w:rPr>
        <w:t>American.</w:t>
      </w:r>
      <w:r w:rsidR="003D5338" w:rsidRPr="007B29BD">
        <w:rPr>
          <w:rFonts w:ascii="Times New Roman" w:hAnsi="Times New Roman" w:cs="Times New Roman"/>
          <w:sz w:val="24"/>
          <w:szCs w:val="24"/>
        </w:rPr>
        <w:t xml:space="preserve"> </w:t>
      </w:r>
      <w:r w:rsidR="004A0FC6" w:rsidRPr="007B29BD">
        <w:rPr>
          <w:rFonts w:ascii="Times New Roman" w:hAnsi="Times New Roman" w:cs="Times New Roman"/>
          <w:sz w:val="24"/>
          <w:szCs w:val="24"/>
        </w:rPr>
        <w:t>The</w:t>
      </w:r>
      <w:r w:rsidR="007930DD" w:rsidRPr="007B29BD">
        <w:rPr>
          <w:rFonts w:ascii="Times New Roman" w:hAnsi="Times New Roman" w:cs="Times New Roman"/>
          <w:sz w:val="24"/>
          <w:szCs w:val="24"/>
        </w:rPr>
        <w:t xml:space="preserve"> distribution</w:t>
      </w:r>
      <w:r w:rsidR="0022464A" w:rsidRPr="007B29BD">
        <w:rPr>
          <w:rFonts w:ascii="Times New Roman" w:hAnsi="Times New Roman" w:cs="Times New Roman"/>
          <w:sz w:val="24"/>
          <w:szCs w:val="24"/>
        </w:rPr>
        <w:t xml:space="preserve"> of age</w:t>
      </w:r>
      <w:r w:rsidR="00EA472E" w:rsidRPr="007B29BD">
        <w:rPr>
          <w:rFonts w:ascii="Times New Roman" w:hAnsi="Times New Roman" w:cs="Times New Roman"/>
          <w:sz w:val="24"/>
          <w:szCs w:val="24"/>
        </w:rPr>
        <w:t xml:space="preserve">s in the neighborhood </w:t>
      </w:r>
      <w:r w:rsidR="00354B83" w:rsidRPr="007B29BD">
        <w:rPr>
          <w:rFonts w:ascii="Times New Roman" w:hAnsi="Times New Roman" w:cs="Times New Roman"/>
          <w:sz w:val="24"/>
          <w:szCs w:val="24"/>
        </w:rPr>
        <w:t>skews</w:t>
      </w:r>
      <w:r w:rsidR="00EA472E" w:rsidRPr="007B29BD">
        <w:rPr>
          <w:rFonts w:ascii="Times New Roman" w:hAnsi="Times New Roman" w:cs="Times New Roman"/>
          <w:sz w:val="24"/>
          <w:szCs w:val="24"/>
        </w:rPr>
        <w:t xml:space="preserve"> younger.</w:t>
      </w:r>
      <w:r w:rsidR="0022464A" w:rsidRPr="007B29BD">
        <w:rPr>
          <w:rFonts w:ascii="Times New Roman" w:hAnsi="Times New Roman" w:cs="Times New Roman"/>
          <w:sz w:val="24"/>
          <w:szCs w:val="24"/>
        </w:rPr>
        <w:t xml:space="preserve"> </w:t>
      </w:r>
      <w:r w:rsidR="00F40884" w:rsidRPr="007B29BD">
        <w:rPr>
          <w:rFonts w:ascii="Times New Roman" w:hAnsi="Times New Roman" w:cs="Times New Roman"/>
          <w:sz w:val="24"/>
          <w:szCs w:val="24"/>
        </w:rPr>
        <w:t>Based on the Census categories</w:t>
      </w:r>
      <w:r w:rsidR="005F681F" w:rsidRPr="007B29BD">
        <w:rPr>
          <w:rFonts w:ascii="Times New Roman" w:hAnsi="Times New Roman" w:cs="Times New Roman"/>
          <w:sz w:val="24"/>
          <w:szCs w:val="24"/>
        </w:rPr>
        <w:t xml:space="preserve"> for age</w:t>
      </w:r>
      <w:r w:rsidR="00850A42" w:rsidRPr="007B29BD">
        <w:rPr>
          <w:rFonts w:ascii="Times New Roman" w:hAnsi="Times New Roman" w:cs="Times New Roman"/>
          <w:sz w:val="24"/>
          <w:szCs w:val="24"/>
        </w:rPr>
        <w:t xml:space="preserve"> in the 2015-2019 ACS survey</w:t>
      </w:r>
      <w:r w:rsidR="00F40884" w:rsidRPr="007B29BD">
        <w:rPr>
          <w:rFonts w:ascii="Times New Roman" w:hAnsi="Times New Roman" w:cs="Times New Roman"/>
          <w:sz w:val="24"/>
          <w:szCs w:val="24"/>
        </w:rPr>
        <w:t xml:space="preserve">, </w:t>
      </w:r>
      <w:r w:rsidR="008E2C73" w:rsidRPr="007B29BD">
        <w:rPr>
          <w:rFonts w:ascii="Times New Roman" w:hAnsi="Times New Roman" w:cs="Times New Roman"/>
          <w:sz w:val="24"/>
          <w:szCs w:val="24"/>
        </w:rPr>
        <w:t xml:space="preserve">the categories </w:t>
      </w:r>
      <w:r w:rsidR="001532C9" w:rsidRPr="007B29BD">
        <w:rPr>
          <w:rFonts w:ascii="Times New Roman" w:hAnsi="Times New Roman" w:cs="Times New Roman"/>
          <w:sz w:val="24"/>
          <w:szCs w:val="24"/>
        </w:rPr>
        <w:t xml:space="preserve">with the greatest percentage of the population </w:t>
      </w:r>
      <w:r w:rsidR="00C9433D" w:rsidRPr="007B29BD">
        <w:rPr>
          <w:rFonts w:ascii="Times New Roman" w:hAnsi="Times New Roman" w:cs="Times New Roman"/>
          <w:sz w:val="24"/>
          <w:szCs w:val="24"/>
        </w:rPr>
        <w:t xml:space="preserve">include </w:t>
      </w:r>
      <w:r w:rsidR="00212227" w:rsidRPr="007B29BD">
        <w:rPr>
          <w:rFonts w:ascii="Times New Roman" w:hAnsi="Times New Roman" w:cs="Times New Roman"/>
          <w:sz w:val="24"/>
          <w:szCs w:val="24"/>
        </w:rPr>
        <w:t xml:space="preserve">ages </w:t>
      </w:r>
      <w:r w:rsidR="00C45E9C" w:rsidRPr="007B29BD">
        <w:rPr>
          <w:rFonts w:ascii="Times New Roman" w:hAnsi="Times New Roman" w:cs="Times New Roman"/>
          <w:sz w:val="24"/>
          <w:szCs w:val="24"/>
        </w:rPr>
        <w:t>less than 1</w:t>
      </w:r>
      <w:r w:rsidR="00E77B17" w:rsidRPr="007B29BD">
        <w:rPr>
          <w:rFonts w:ascii="Times New Roman" w:hAnsi="Times New Roman" w:cs="Times New Roman"/>
          <w:sz w:val="24"/>
          <w:szCs w:val="24"/>
        </w:rPr>
        <w:t>5</w:t>
      </w:r>
      <w:r w:rsidR="00C45E9C" w:rsidRPr="007B29BD">
        <w:rPr>
          <w:rFonts w:ascii="Times New Roman" w:hAnsi="Times New Roman" w:cs="Times New Roman"/>
          <w:sz w:val="24"/>
          <w:szCs w:val="24"/>
        </w:rPr>
        <w:t xml:space="preserve"> years old</w:t>
      </w:r>
      <w:r w:rsidR="00CC32A4" w:rsidRPr="007B29BD">
        <w:rPr>
          <w:rFonts w:ascii="Times New Roman" w:hAnsi="Times New Roman" w:cs="Times New Roman"/>
          <w:sz w:val="24"/>
          <w:szCs w:val="24"/>
        </w:rPr>
        <w:t xml:space="preserve"> </w:t>
      </w:r>
      <w:r w:rsidR="003911DF">
        <w:rPr>
          <w:rFonts w:ascii="Times New Roman" w:hAnsi="Times New Roman" w:cs="Times New Roman"/>
          <w:sz w:val="24"/>
          <w:szCs w:val="24"/>
        </w:rPr>
        <w:t xml:space="preserve">and </w:t>
      </w:r>
      <w:r w:rsidR="00CC32A4" w:rsidRPr="007B29BD">
        <w:rPr>
          <w:rFonts w:ascii="Times New Roman" w:hAnsi="Times New Roman" w:cs="Times New Roman"/>
          <w:sz w:val="24"/>
          <w:szCs w:val="24"/>
        </w:rPr>
        <w:t>30-34 years old</w:t>
      </w:r>
      <w:r w:rsidR="007C34DC" w:rsidRPr="007B29BD">
        <w:rPr>
          <w:rFonts w:ascii="Times New Roman" w:hAnsi="Times New Roman" w:cs="Times New Roman"/>
          <w:sz w:val="24"/>
          <w:szCs w:val="24"/>
        </w:rPr>
        <w:t xml:space="preserve"> (see </w:t>
      </w:r>
      <w:r w:rsidR="008C2B97" w:rsidRPr="007B29BD">
        <w:rPr>
          <w:rFonts w:ascii="Times New Roman" w:hAnsi="Times New Roman" w:cs="Times New Roman"/>
          <w:sz w:val="24"/>
          <w:szCs w:val="24"/>
        </w:rPr>
        <w:t>figure 5).</w:t>
      </w:r>
      <w:r w:rsidR="00B37FC3" w:rsidRPr="007B29BD">
        <w:rPr>
          <w:rFonts w:ascii="Times New Roman" w:hAnsi="Times New Roman" w:cs="Times New Roman"/>
          <w:sz w:val="24"/>
          <w:szCs w:val="24"/>
        </w:rPr>
        <w:t xml:space="preserve"> </w:t>
      </w:r>
      <w:r w:rsidR="00A7418B" w:rsidRPr="007B29BD">
        <w:rPr>
          <w:rFonts w:ascii="Times New Roman" w:hAnsi="Times New Roman" w:cs="Times New Roman"/>
          <w:sz w:val="24"/>
          <w:szCs w:val="24"/>
        </w:rPr>
        <w:t xml:space="preserve">There aren’t noticeable differences </w:t>
      </w:r>
      <w:r w:rsidR="00CC4BD0" w:rsidRPr="007B29BD">
        <w:rPr>
          <w:rFonts w:ascii="Times New Roman" w:hAnsi="Times New Roman" w:cs="Times New Roman"/>
          <w:sz w:val="24"/>
          <w:szCs w:val="24"/>
        </w:rPr>
        <w:t xml:space="preserve">in these percentages </w:t>
      </w:r>
      <w:r w:rsidR="00A7418B" w:rsidRPr="007B29BD">
        <w:rPr>
          <w:rFonts w:ascii="Times New Roman" w:hAnsi="Times New Roman" w:cs="Times New Roman"/>
          <w:sz w:val="24"/>
          <w:szCs w:val="24"/>
        </w:rPr>
        <w:t>by sex</w:t>
      </w:r>
      <w:r w:rsidR="00C67ACA" w:rsidRPr="007B29BD">
        <w:rPr>
          <w:rFonts w:ascii="Times New Roman" w:hAnsi="Times New Roman" w:cs="Times New Roman"/>
          <w:sz w:val="24"/>
          <w:szCs w:val="24"/>
        </w:rPr>
        <w:t>.</w:t>
      </w:r>
    </w:p>
    <w:p w14:paraId="06C966FF" w14:textId="02976ACB" w:rsidR="003073B9" w:rsidRPr="00DA1782" w:rsidRDefault="00A724AF" w:rsidP="00DA1782">
      <w:pPr>
        <w:spacing w:line="30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B29BD">
        <w:rPr>
          <w:rFonts w:ascii="Times New Roman" w:hAnsi="Times New Roman" w:cs="Times New Roman"/>
          <w:sz w:val="24"/>
          <w:szCs w:val="24"/>
        </w:rPr>
        <w:t>In general, t</w:t>
      </w:r>
      <w:r w:rsidR="00C9433D" w:rsidRPr="007B29BD">
        <w:rPr>
          <w:rFonts w:ascii="Times New Roman" w:hAnsi="Times New Roman" w:cs="Times New Roman"/>
          <w:sz w:val="24"/>
          <w:szCs w:val="24"/>
        </w:rPr>
        <w:t xml:space="preserve">hese </w:t>
      </w:r>
      <w:r w:rsidR="00636300" w:rsidRPr="007B29BD">
        <w:rPr>
          <w:rFonts w:ascii="Times New Roman" w:hAnsi="Times New Roman" w:cs="Times New Roman"/>
          <w:sz w:val="24"/>
          <w:szCs w:val="24"/>
        </w:rPr>
        <w:t>demographic</w:t>
      </w:r>
      <w:r w:rsidR="008B299F" w:rsidRPr="007B29BD">
        <w:rPr>
          <w:rFonts w:ascii="Times New Roman" w:hAnsi="Times New Roman" w:cs="Times New Roman"/>
          <w:sz w:val="24"/>
          <w:szCs w:val="24"/>
        </w:rPr>
        <w:t xml:space="preserve"> trends</w:t>
      </w:r>
      <w:r w:rsidR="00C9433D" w:rsidRPr="007B29BD">
        <w:rPr>
          <w:rFonts w:ascii="Times New Roman" w:hAnsi="Times New Roman" w:cs="Times New Roman"/>
          <w:sz w:val="24"/>
          <w:szCs w:val="24"/>
        </w:rPr>
        <w:t xml:space="preserve"> make sense</w:t>
      </w:r>
      <w:r w:rsidR="00C67ACA" w:rsidRPr="007B29BD">
        <w:rPr>
          <w:rFonts w:ascii="Times New Roman" w:hAnsi="Times New Roman" w:cs="Times New Roman"/>
          <w:sz w:val="24"/>
          <w:szCs w:val="24"/>
        </w:rPr>
        <w:t>, given the history of the neighborhood and the communities that</w:t>
      </w:r>
      <w:r w:rsidR="0066577D" w:rsidRPr="007B29BD">
        <w:rPr>
          <w:rFonts w:ascii="Times New Roman" w:hAnsi="Times New Roman" w:cs="Times New Roman"/>
          <w:sz w:val="24"/>
          <w:szCs w:val="24"/>
        </w:rPr>
        <w:t xml:space="preserve"> currently</w:t>
      </w:r>
      <w:r w:rsidR="00C67ACA" w:rsidRPr="007B29BD">
        <w:rPr>
          <w:rFonts w:ascii="Times New Roman" w:hAnsi="Times New Roman" w:cs="Times New Roman"/>
          <w:sz w:val="24"/>
          <w:szCs w:val="24"/>
        </w:rPr>
        <w:t xml:space="preserve"> live there</w:t>
      </w:r>
      <w:r w:rsidR="00841C94" w:rsidRPr="007B29BD">
        <w:rPr>
          <w:rFonts w:ascii="Times New Roman" w:hAnsi="Times New Roman" w:cs="Times New Roman"/>
          <w:sz w:val="24"/>
          <w:szCs w:val="24"/>
        </w:rPr>
        <w:t xml:space="preserve">. </w:t>
      </w:r>
      <w:r w:rsidR="00F2270A" w:rsidRPr="007B29BD">
        <w:rPr>
          <w:rFonts w:ascii="Times New Roman" w:hAnsi="Times New Roman" w:cs="Times New Roman"/>
          <w:sz w:val="24"/>
          <w:szCs w:val="24"/>
        </w:rPr>
        <w:t>For example, the high percentages of younger children</w:t>
      </w:r>
      <w:r w:rsidR="0031149D" w:rsidRPr="007B29BD">
        <w:rPr>
          <w:rFonts w:ascii="Times New Roman" w:hAnsi="Times New Roman" w:cs="Times New Roman"/>
          <w:sz w:val="24"/>
          <w:szCs w:val="24"/>
        </w:rPr>
        <w:t xml:space="preserve"> </w:t>
      </w:r>
      <w:r w:rsidR="00CA53D4" w:rsidRPr="007B29BD">
        <w:rPr>
          <w:rFonts w:ascii="Times New Roman" w:hAnsi="Times New Roman" w:cs="Times New Roman"/>
          <w:sz w:val="24"/>
          <w:szCs w:val="24"/>
        </w:rPr>
        <w:t>reflect the Hasidic tradition of raising large families</w:t>
      </w:r>
      <w:r w:rsidR="00045534">
        <w:rPr>
          <w:rFonts w:ascii="Times New Roman" w:hAnsi="Times New Roman" w:cs="Times New Roman"/>
          <w:sz w:val="24"/>
          <w:szCs w:val="24"/>
        </w:rPr>
        <w:t xml:space="preserve"> (Beyer, 2010).</w:t>
      </w:r>
      <w:r w:rsidR="00BA08C0">
        <w:rPr>
          <w:rFonts w:ascii="Times New Roman" w:hAnsi="Times New Roman" w:cs="Times New Roman"/>
          <w:sz w:val="24"/>
          <w:szCs w:val="24"/>
        </w:rPr>
        <w:t xml:space="preserve"> The small percentages of Latinx and Asian residents </w:t>
      </w:r>
      <w:r w:rsidR="009C4D1C">
        <w:rPr>
          <w:rFonts w:ascii="Times New Roman" w:hAnsi="Times New Roman" w:cs="Times New Roman"/>
          <w:sz w:val="24"/>
          <w:szCs w:val="24"/>
        </w:rPr>
        <w:t>reflect the proximity</w:t>
      </w:r>
      <w:r w:rsidR="00607844">
        <w:rPr>
          <w:rFonts w:ascii="Times New Roman" w:hAnsi="Times New Roman" w:cs="Times New Roman"/>
          <w:sz w:val="24"/>
          <w:szCs w:val="24"/>
        </w:rPr>
        <w:t>—</w:t>
      </w:r>
      <w:r w:rsidR="00A13999">
        <w:rPr>
          <w:rFonts w:ascii="Times New Roman" w:hAnsi="Times New Roman" w:cs="Times New Roman"/>
          <w:sz w:val="24"/>
          <w:szCs w:val="24"/>
        </w:rPr>
        <w:t>and</w:t>
      </w:r>
      <w:r w:rsidR="00607844">
        <w:rPr>
          <w:rFonts w:ascii="Times New Roman" w:hAnsi="Times New Roman" w:cs="Times New Roman"/>
          <w:sz w:val="24"/>
          <w:szCs w:val="24"/>
        </w:rPr>
        <w:t xml:space="preserve"> </w:t>
      </w:r>
      <w:r w:rsidR="00A13999">
        <w:rPr>
          <w:rFonts w:ascii="Times New Roman" w:hAnsi="Times New Roman" w:cs="Times New Roman"/>
          <w:sz w:val="24"/>
          <w:szCs w:val="24"/>
        </w:rPr>
        <w:t>interconnectedness</w:t>
      </w:r>
      <w:r w:rsidR="003440D0">
        <w:rPr>
          <w:rFonts w:ascii="Times New Roman" w:hAnsi="Times New Roman" w:cs="Times New Roman"/>
          <w:sz w:val="24"/>
          <w:szCs w:val="24"/>
        </w:rPr>
        <w:t xml:space="preserve">—of </w:t>
      </w:r>
      <w:r w:rsidR="009C4D1C">
        <w:rPr>
          <w:rFonts w:ascii="Times New Roman" w:hAnsi="Times New Roman" w:cs="Times New Roman"/>
          <w:sz w:val="24"/>
          <w:szCs w:val="24"/>
        </w:rPr>
        <w:t>neighborhoods like Sunset Park and Bensonhurst</w:t>
      </w:r>
      <w:r w:rsidR="00BD5713">
        <w:rPr>
          <w:rFonts w:ascii="Times New Roman" w:hAnsi="Times New Roman" w:cs="Times New Roman"/>
          <w:sz w:val="24"/>
          <w:szCs w:val="24"/>
        </w:rPr>
        <w:t xml:space="preserve"> </w:t>
      </w:r>
      <w:r w:rsidR="003154F2">
        <w:rPr>
          <w:rFonts w:ascii="Times New Roman" w:hAnsi="Times New Roman" w:cs="Times New Roman"/>
          <w:sz w:val="24"/>
          <w:szCs w:val="24"/>
        </w:rPr>
        <w:t xml:space="preserve">with Borough Park. Both adjacent neighborhoods </w:t>
      </w:r>
      <w:r w:rsidR="00FF2A7F">
        <w:rPr>
          <w:rFonts w:ascii="Times New Roman" w:hAnsi="Times New Roman" w:cs="Times New Roman"/>
          <w:sz w:val="24"/>
          <w:szCs w:val="24"/>
        </w:rPr>
        <w:t>have much larger</w:t>
      </w:r>
      <w:r w:rsidR="008D66AD">
        <w:rPr>
          <w:rFonts w:ascii="Times New Roman" w:hAnsi="Times New Roman" w:cs="Times New Roman"/>
          <w:sz w:val="24"/>
          <w:szCs w:val="24"/>
        </w:rPr>
        <w:t xml:space="preserve"> </w:t>
      </w:r>
      <w:r w:rsidR="009319D0">
        <w:rPr>
          <w:rFonts w:ascii="Times New Roman" w:hAnsi="Times New Roman" w:cs="Times New Roman"/>
          <w:sz w:val="24"/>
          <w:szCs w:val="24"/>
        </w:rPr>
        <w:t xml:space="preserve">Latinx and </w:t>
      </w:r>
      <w:r w:rsidR="00BB59D9">
        <w:rPr>
          <w:rFonts w:ascii="Times New Roman" w:hAnsi="Times New Roman" w:cs="Times New Roman"/>
          <w:sz w:val="24"/>
          <w:szCs w:val="24"/>
        </w:rPr>
        <w:t>Asian</w:t>
      </w:r>
      <w:r w:rsidR="009319D0">
        <w:rPr>
          <w:rFonts w:ascii="Times New Roman" w:hAnsi="Times New Roman" w:cs="Times New Roman"/>
          <w:sz w:val="24"/>
          <w:szCs w:val="24"/>
        </w:rPr>
        <w:t xml:space="preserve"> </w:t>
      </w:r>
      <w:r w:rsidR="00623671">
        <w:rPr>
          <w:rFonts w:ascii="Times New Roman" w:hAnsi="Times New Roman" w:cs="Times New Roman"/>
          <w:sz w:val="24"/>
          <w:szCs w:val="24"/>
        </w:rPr>
        <w:t>populations</w:t>
      </w:r>
      <w:r w:rsidR="00FF2A7F">
        <w:rPr>
          <w:rFonts w:ascii="Times New Roman" w:hAnsi="Times New Roman" w:cs="Times New Roman"/>
          <w:sz w:val="24"/>
          <w:szCs w:val="24"/>
        </w:rPr>
        <w:t>.</w:t>
      </w:r>
      <w:r w:rsidR="00BD5713">
        <w:rPr>
          <w:rFonts w:ascii="Times New Roman" w:hAnsi="Times New Roman" w:cs="Times New Roman"/>
          <w:sz w:val="24"/>
          <w:szCs w:val="24"/>
        </w:rPr>
        <w:t xml:space="preserve"> </w:t>
      </w:r>
      <w:r w:rsidR="00BA08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326F1D" w14:textId="0A16CC32" w:rsidR="00DA1782" w:rsidRDefault="001E7830" w:rsidP="004454A1">
      <w:pPr>
        <w:spacing w:line="30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1E7830">
        <w:rPr>
          <w:rFonts w:ascii="Times New Roman" w:hAnsi="Times New Roman" w:cs="Times New Roman"/>
          <w:i/>
          <w:iCs/>
          <w:sz w:val="24"/>
          <w:szCs w:val="24"/>
        </w:rPr>
        <w:t>How did population change over the past? What would be the population size 20 years from now</w:t>
      </w:r>
      <w:r w:rsidR="00361682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6648B28C" w14:textId="77B25358" w:rsidR="00A12C9C" w:rsidRPr="00B66ACC" w:rsidRDefault="00A12C9C" w:rsidP="00B8427C">
      <w:pPr>
        <w:spacing w:line="300" w:lineRule="auto"/>
        <w:ind w:firstLine="720"/>
        <w:rPr>
          <w:rFonts w:ascii="Cambria Math" w:eastAsiaTheme="minorEastAsia" w:hAnsi="Cambria Math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2005-2009, the population in Borough Park has not changed significantly. There was a small increase from 2005-2009 to 2010-2014 and </w:t>
      </w:r>
      <w:r w:rsidR="002247B8">
        <w:rPr>
          <w:rFonts w:ascii="Times New Roman" w:hAnsi="Times New Roman" w:cs="Times New Roman"/>
          <w:sz w:val="24"/>
          <w:szCs w:val="24"/>
        </w:rPr>
        <w:t>since 2010-2014 there has been a slight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decrease </w:t>
      </w:r>
      <w:r w:rsidR="004D1061">
        <w:rPr>
          <w:rFonts w:ascii="Times New Roman" w:hAnsi="Times New Roman" w:cs="Times New Roman"/>
          <w:sz w:val="24"/>
          <w:szCs w:val="24"/>
        </w:rPr>
        <w:t>in the population</w:t>
      </w:r>
      <w:r w:rsidR="00597FF9">
        <w:rPr>
          <w:rFonts w:ascii="Times New Roman" w:hAnsi="Times New Roman" w:cs="Times New Roman"/>
          <w:sz w:val="24"/>
          <w:szCs w:val="24"/>
        </w:rPr>
        <w:t xml:space="preserve"> (see figure 6).</w:t>
      </w:r>
      <w:r w:rsidR="00170FC6">
        <w:rPr>
          <w:rFonts w:ascii="Times New Roman" w:hAnsi="Times New Roman" w:cs="Times New Roman"/>
          <w:sz w:val="24"/>
          <w:szCs w:val="24"/>
        </w:rPr>
        <w:t xml:space="preserve"> In general, since 2005, total population estimates have hovered around 20,000 residents. </w:t>
      </w:r>
      <w:r w:rsidR="008530DF">
        <w:rPr>
          <w:rFonts w:ascii="Times New Roman" w:hAnsi="Times New Roman" w:cs="Times New Roman"/>
          <w:sz w:val="24"/>
          <w:szCs w:val="24"/>
        </w:rPr>
        <w:t>For</w:t>
      </w:r>
      <w:r w:rsidR="00E23489">
        <w:rPr>
          <w:rFonts w:ascii="Times New Roman" w:hAnsi="Times New Roman" w:cs="Times New Roman"/>
          <w:sz w:val="24"/>
          <w:szCs w:val="24"/>
        </w:rPr>
        <w:t xml:space="preserve"> 2005-2009, the total population estimate </w:t>
      </w:r>
      <w:r w:rsidR="004C6CB0">
        <w:rPr>
          <w:rFonts w:ascii="Times New Roman" w:hAnsi="Times New Roman" w:cs="Times New Roman"/>
          <w:sz w:val="24"/>
          <w:szCs w:val="24"/>
        </w:rPr>
        <w:t xml:space="preserve">from ACS data </w:t>
      </w:r>
      <w:r w:rsidR="00E23489">
        <w:rPr>
          <w:rFonts w:ascii="Times New Roman" w:hAnsi="Times New Roman" w:cs="Times New Roman"/>
          <w:sz w:val="24"/>
          <w:szCs w:val="24"/>
        </w:rPr>
        <w:t xml:space="preserve">is </w:t>
      </w:r>
      <w:r w:rsidR="0005558C" w:rsidRPr="0005558C">
        <w:rPr>
          <w:rFonts w:ascii="Times New Roman" w:hAnsi="Times New Roman" w:cs="Times New Roman"/>
          <w:sz w:val="24"/>
          <w:szCs w:val="24"/>
        </w:rPr>
        <w:t>20</w:t>
      </w:r>
      <w:r w:rsidR="0005558C">
        <w:rPr>
          <w:rFonts w:ascii="Times New Roman" w:hAnsi="Times New Roman" w:cs="Times New Roman"/>
          <w:sz w:val="24"/>
          <w:szCs w:val="24"/>
        </w:rPr>
        <w:t>,</w:t>
      </w:r>
      <w:r w:rsidR="0005558C" w:rsidRPr="0005558C">
        <w:rPr>
          <w:rFonts w:ascii="Times New Roman" w:hAnsi="Times New Roman" w:cs="Times New Roman"/>
          <w:sz w:val="24"/>
          <w:szCs w:val="24"/>
        </w:rPr>
        <w:t>048</w:t>
      </w:r>
      <w:r w:rsidR="0005558C">
        <w:rPr>
          <w:rFonts w:ascii="Times New Roman" w:hAnsi="Times New Roman" w:cs="Times New Roman"/>
          <w:sz w:val="24"/>
          <w:szCs w:val="24"/>
        </w:rPr>
        <w:t xml:space="preserve">. </w:t>
      </w:r>
      <w:r w:rsidR="00ED3609">
        <w:rPr>
          <w:rFonts w:ascii="Times New Roman" w:hAnsi="Times New Roman" w:cs="Times New Roman"/>
          <w:sz w:val="24"/>
          <w:szCs w:val="24"/>
        </w:rPr>
        <w:t xml:space="preserve">For 2010-2014, the total population estimate is </w:t>
      </w:r>
      <w:r w:rsidR="00ED3609" w:rsidRPr="00ED3609">
        <w:rPr>
          <w:rFonts w:ascii="Times New Roman" w:hAnsi="Times New Roman" w:cs="Times New Roman"/>
          <w:sz w:val="24"/>
          <w:szCs w:val="24"/>
        </w:rPr>
        <w:t>21</w:t>
      </w:r>
      <w:r w:rsidR="0004040D">
        <w:rPr>
          <w:rFonts w:ascii="Times New Roman" w:hAnsi="Times New Roman" w:cs="Times New Roman"/>
          <w:sz w:val="24"/>
          <w:szCs w:val="24"/>
        </w:rPr>
        <w:t>,</w:t>
      </w:r>
      <w:r w:rsidR="00ED3609" w:rsidRPr="00ED3609">
        <w:rPr>
          <w:rFonts w:ascii="Times New Roman" w:hAnsi="Times New Roman" w:cs="Times New Roman"/>
          <w:sz w:val="24"/>
          <w:szCs w:val="24"/>
        </w:rPr>
        <w:t>545</w:t>
      </w:r>
      <w:r w:rsidR="00ED3609">
        <w:rPr>
          <w:rFonts w:ascii="Times New Roman" w:hAnsi="Times New Roman" w:cs="Times New Roman"/>
          <w:sz w:val="24"/>
          <w:szCs w:val="24"/>
        </w:rPr>
        <w:t xml:space="preserve">. </w:t>
      </w:r>
      <w:r w:rsidR="00170FC6">
        <w:rPr>
          <w:rFonts w:ascii="Times New Roman" w:hAnsi="Times New Roman" w:cs="Times New Roman"/>
          <w:sz w:val="24"/>
          <w:szCs w:val="24"/>
        </w:rPr>
        <w:t xml:space="preserve">The most recent ACS survey for 2015-2019 shows </w:t>
      </w:r>
      <w:r w:rsidR="0036141B">
        <w:rPr>
          <w:rFonts w:ascii="Times New Roman" w:hAnsi="Times New Roman" w:cs="Times New Roman"/>
          <w:sz w:val="24"/>
          <w:szCs w:val="24"/>
        </w:rPr>
        <w:t>a population of 18,663 residents.</w:t>
      </w:r>
      <w:r w:rsidR="000D5B58">
        <w:rPr>
          <w:rFonts w:ascii="Times New Roman" w:hAnsi="Times New Roman" w:cs="Times New Roman"/>
          <w:sz w:val="24"/>
          <w:szCs w:val="24"/>
        </w:rPr>
        <w:t xml:space="preserve"> Based on the formula for </w:t>
      </w:r>
      <w:r w:rsidR="00412ED6">
        <w:rPr>
          <w:rFonts w:ascii="Times New Roman" w:hAnsi="Times New Roman" w:cs="Times New Roman"/>
          <w:sz w:val="24"/>
          <w:szCs w:val="24"/>
        </w:rPr>
        <w:t>20-year population projections</w:t>
      </w:r>
      <w:r w:rsidR="000D5B58">
        <w:rPr>
          <w:rFonts w:ascii="Times New Roman" w:hAnsi="Times New Roman" w:cs="Times New Roman"/>
          <w:sz w:val="24"/>
          <w:szCs w:val="24"/>
        </w:rPr>
        <w:t xml:space="preserve">, </w:t>
      </w:r>
      <w:r w:rsidR="00F931F2">
        <w:rPr>
          <w:rFonts w:ascii="Times New Roman" w:hAnsi="Times New Roman" w:cs="Times New Roman"/>
          <w:sz w:val="24"/>
          <w:szCs w:val="24"/>
        </w:rPr>
        <w:t xml:space="preserve">and the population growth rates for Brooklyn as a whole, the population </w:t>
      </w:r>
      <w:r w:rsidR="00DC3A8C">
        <w:rPr>
          <w:rFonts w:ascii="Times New Roman" w:hAnsi="Times New Roman" w:cs="Times New Roman"/>
          <w:sz w:val="24"/>
          <w:szCs w:val="24"/>
        </w:rPr>
        <w:t>of</w:t>
      </w:r>
      <w:r w:rsidR="00BD4A15">
        <w:rPr>
          <w:rFonts w:ascii="Times New Roman" w:hAnsi="Times New Roman" w:cs="Times New Roman"/>
          <w:sz w:val="24"/>
          <w:szCs w:val="24"/>
        </w:rPr>
        <w:t xml:space="preserve"> these census tracts in</w:t>
      </w:r>
      <w:r w:rsidR="00F931F2">
        <w:rPr>
          <w:rFonts w:ascii="Times New Roman" w:hAnsi="Times New Roman" w:cs="Times New Roman"/>
          <w:sz w:val="24"/>
          <w:szCs w:val="24"/>
        </w:rPr>
        <w:t xml:space="preserve"> Borough Park </w:t>
      </w:r>
      <w:r w:rsidR="003F6A07">
        <w:rPr>
          <w:rFonts w:ascii="Times New Roman" w:hAnsi="Times New Roman" w:cs="Times New Roman"/>
          <w:sz w:val="24"/>
          <w:szCs w:val="24"/>
        </w:rPr>
        <w:t xml:space="preserve">will rise to </w:t>
      </w:r>
      <w:r w:rsidR="000531CE" w:rsidRPr="000531CE">
        <w:rPr>
          <w:rFonts w:ascii="Times New Roman" w:hAnsi="Times New Roman" w:cs="Times New Roman"/>
          <w:sz w:val="24"/>
          <w:szCs w:val="24"/>
        </w:rPr>
        <w:t>20</w:t>
      </w:r>
      <w:r w:rsidR="00341976">
        <w:rPr>
          <w:rFonts w:ascii="Times New Roman" w:hAnsi="Times New Roman" w:cs="Times New Roman"/>
          <w:sz w:val="24"/>
          <w:szCs w:val="24"/>
        </w:rPr>
        <w:t>,</w:t>
      </w:r>
      <w:r w:rsidR="000531CE" w:rsidRPr="000531CE">
        <w:rPr>
          <w:rFonts w:ascii="Times New Roman" w:hAnsi="Times New Roman" w:cs="Times New Roman"/>
          <w:sz w:val="24"/>
          <w:szCs w:val="24"/>
        </w:rPr>
        <w:t>01</w:t>
      </w:r>
      <w:r w:rsidR="00164BC1">
        <w:rPr>
          <w:rFonts w:ascii="Times New Roman" w:hAnsi="Times New Roman" w:cs="Times New Roman"/>
          <w:sz w:val="24"/>
          <w:szCs w:val="24"/>
        </w:rPr>
        <w:t>2</w:t>
      </w:r>
      <w:r w:rsidR="000531CE">
        <w:rPr>
          <w:rFonts w:ascii="Times New Roman" w:hAnsi="Times New Roman" w:cs="Times New Roman"/>
          <w:sz w:val="24"/>
          <w:szCs w:val="24"/>
        </w:rPr>
        <w:t xml:space="preserve"> by</w:t>
      </w:r>
      <w:r w:rsidR="00552428">
        <w:rPr>
          <w:rFonts w:ascii="Times New Roman" w:hAnsi="Times New Roman" w:cs="Times New Roman"/>
          <w:sz w:val="24"/>
          <w:szCs w:val="24"/>
        </w:rPr>
        <w:t xml:space="preserve"> 2040</w:t>
      </w:r>
      <w:r w:rsidR="00E76CB7">
        <w:rPr>
          <w:rFonts w:ascii="Times New Roman" w:hAnsi="Times New Roman" w:cs="Times New Roman"/>
          <w:sz w:val="24"/>
          <w:szCs w:val="24"/>
        </w:rPr>
        <w:t>—an increase of 1,348 residents</w:t>
      </w:r>
      <w:r w:rsidR="00604A43">
        <w:rPr>
          <w:rFonts w:ascii="Times New Roman" w:hAnsi="Times New Roman" w:cs="Times New Roman"/>
          <w:sz w:val="24"/>
          <w:szCs w:val="24"/>
        </w:rPr>
        <w:t>.</w:t>
      </w:r>
      <w:r w:rsidR="001F44EC">
        <w:rPr>
          <w:rFonts w:ascii="Times New Roman" w:hAnsi="Times New Roman" w:cs="Times New Roman"/>
          <w:sz w:val="24"/>
          <w:szCs w:val="24"/>
        </w:rPr>
        <w:t xml:space="preserve"> The </w:t>
      </w:r>
      <w:r w:rsidR="00B66ACC">
        <w:rPr>
          <w:rFonts w:ascii="Times New Roman" w:hAnsi="Times New Roman" w:cs="Times New Roman"/>
          <w:sz w:val="24"/>
          <w:szCs w:val="24"/>
        </w:rPr>
        <w:t>calculation</w:t>
      </w:r>
      <w:r w:rsidR="001F44EC">
        <w:rPr>
          <w:rFonts w:ascii="Times New Roman" w:hAnsi="Times New Roman" w:cs="Times New Roman"/>
          <w:sz w:val="24"/>
          <w:szCs w:val="24"/>
        </w:rPr>
        <w:t xml:space="preserve"> for </w:t>
      </w:r>
      <w:r w:rsidR="00B66ACC">
        <w:rPr>
          <w:rFonts w:ascii="Times New Roman" w:hAnsi="Times New Roman" w:cs="Times New Roman"/>
          <w:sz w:val="24"/>
          <w:szCs w:val="24"/>
        </w:rPr>
        <w:t xml:space="preserve">the </w:t>
      </w:r>
      <w:r w:rsidR="00BD40E5">
        <w:rPr>
          <w:rFonts w:ascii="Times New Roman" w:hAnsi="Times New Roman" w:cs="Times New Roman"/>
          <w:sz w:val="24"/>
          <w:szCs w:val="24"/>
        </w:rPr>
        <w:t>20-year population projections is</w:t>
      </w:r>
      <w:r w:rsidR="009B1137">
        <w:rPr>
          <w:rFonts w:ascii="Times New Roman" w:hAnsi="Times New Roman" w:cs="Times New Roman"/>
          <w:sz w:val="24"/>
          <w:szCs w:val="24"/>
        </w:rPr>
        <w:t xml:space="preserve"> as follows</w:t>
      </w:r>
      <w:r w:rsidR="001F44EC">
        <w:rPr>
          <w:rFonts w:ascii="Times New Roman" w:hAnsi="Times New Roman" w:cs="Times New Roman"/>
          <w:sz w:val="24"/>
          <w:szCs w:val="24"/>
        </w:rPr>
        <w:t>:</w:t>
      </w:r>
      <w:r w:rsidR="00EA67BA" w:rsidRPr="00EA67BA">
        <w:rPr>
          <w:rFonts w:ascii="Cambria Math" w:hAnsi="Cambria Math" w:cs="Times New Roman"/>
          <w:i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Pop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2040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Pop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2020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2020-2030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×(1+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2030-2040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  <m:r>
            <w:rPr>
              <w:rStyle w:val="FootnoteReference"/>
              <w:rFonts w:ascii="Cambria Math" w:eastAsiaTheme="minorEastAsia" w:hAnsi="Cambria Math" w:cs="Times New Roman"/>
              <w:i/>
              <w:sz w:val="24"/>
              <w:szCs w:val="24"/>
            </w:rPr>
            <w:footnoteReference w:id="1"/>
          </m:r>
        </m:oMath>
      </m:oMathPara>
    </w:p>
    <w:p w14:paraId="3F44105B" w14:textId="2840D5D5" w:rsidR="00B66ACC" w:rsidRPr="009916E6" w:rsidRDefault="00B66ACC" w:rsidP="004454A1">
      <w:pPr>
        <w:spacing w:line="300" w:lineRule="auto"/>
        <w:rPr>
          <w:rFonts w:ascii="Cambria Math" w:eastAsiaTheme="minorEastAsia" w:hAnsi="Cambria Math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20,012= 18,663 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1+0.04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×(1+ 0.031)</m:t>
          </m:r>
        </m:oMath>
      </m:oMathPara>
    </w:p>
    <w:p w14:paraId="04B36E3F" w14:textId="7791E448" w:rsidR="00904618" w:rsidRDefault="003A170E" w:rsidP="004454A1">
      <w:pPr>
        <w:spacing w:line="30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A170E">
        <w:rPr>
          <w:rFonts w:ascii="Times New Roman" w:hAnsi="Times New Roman" w:cs="Times New Roman"/>
          <w:i/>
          <w:iCs/>
          <w:sz w:val="24"/>
          <w:szCs w:val="24"/>
        </w:rPr>
        <w:t>Is the neighborhood gentrifying</w:t>
      </w:r>
      <w:r w:rsidR="00904618">
        <w:rPr>
          <w:rFonts w:ascii="Times New Roman" w:hAnsi="Times New Roman" w:cs="Times New Roman"/>
          <w:i/>
          <w:iCs/>
          <w:sz w:val="24"/>
          <w:szCs w:val="24"/>
        </w:rPr>
        <w:t>?</w:t>
      </w:r>
    </w:p>
    <w:p w14:paraId="501347A3" w14:textId="6C58FAC9" w:rsidR="00CE5991" w:rsidRDefault="00BD5433" w:rsidP="007C21E9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Overall, Census data do not suggest that Borough Park is gentrifying.</w:t>
      </w:r>
      <w:r w:rsidR="007C21E9">
        <w:rPr>
          <w:rFonts w:ascii="Times New Roman" w:hAnsi="Times New Roman" w:cs="Times New Roman"/>
          <w:sz w:val="24"/>
          <w:szCs w:val="24"/>
        </w:rPr>
        <w:t xml:space="preserve"> </w:t>
      </w:r>
      <w:r w:rsidR="00C41227">
        <w:rPr>
          <w:rFonts w:ascii="Times New Roman" w:hAnsi="Times New Roman" w:cs="Times New Roman"/>
          <w:sz w:val="24"/>
          <w:szCs w:val="24"/>
        </w:rPr>
        <w:t xml:space="preserve">According to the Furman Center’s </w:t>
      </w:r>
      <w:r w:rsidR="006F6C38">
        <w:rPr>
          <w:rFonts w:ascii="Times New Roman" w:hAnsi="Times New Roman" w:cs="Times New Roman"/>
          <w:sz w:val="24"/>
          <w:szCs w:val="24"/>
        </w:rPr>
        <w:t xml:space="preserve">2015 State of the City, gentrification </w:t>
      </w:r>
      <w:r w:rsidR="00451C33">
        <w:rPr>
          <w:rFonts w:ascii="Times New Roman" w:hAnsi="Times New Roman" w:cs="Times New Roman"/>
          <w:sz w:val="24"/>
          <w:szCs w:val="24"/>
        </w:rPr>
        <w:t xml:space="preserve">describes neighborhoods that </w:t>
      </w:r>
      <w:r w:rsidR="00C61C56">
        <w:rPr>
          <w:rFonts w:ascii="Times New Roman" w:hAnsi="Times New Roman" w:cs="Times New Roman"/>
          <w:sz w:val="24"/>
          <w:szCs w:val="24"/>
        </w:rPr>
        <w:t xml:space="preserve">were </w:t>
      </w:r>
      <w:r w:rsidR="00451C33">
        <w:rPr>
          <w:rFonts w:ascii="Times New Roman" w:hAnsi="Times New Roman" w:cs="Times New Roman"/>
          <w:sz w:val="24"/>
          <w:szCs w:val="24"/>
        </w:rPr>
        <w:t>majority households with low</w:t>
      </w:r>
      <w:r w:rsidR="00555AD1">
        <w:rPr>
          <w:rFonts w:ascii="Times New Roman" w:hAnsi="Times New Roman" w:cs="Times New Roman"/>
          <w:sz w:val="24"/>
          <w:szCs w:val="24"/>
        </w:rPr>
        <w:t xml:space="preserve"> socioeconomic </w:t>
      </w:r>
      <w:r w:rsidR="00C61C56">
        <w:rPr>
          <w:rFonts w:ascii="Times New Roman" w:hAnsi="Times New Roman" w:cs="Times New Roman"/>
          <w:sz w:val="24"/>
          <w:szCs w:val="24"/>
        </w:rPr>
        <w:t>s</w:t>
      </w:r>
      <w:r w:rsidR="0018310F">
        <w:rPr>
          <w:rFonts w:ascii="Times New Roman" w:hAnsi="Times New Roman" w:cs="Times New Roman"/>
          <w:sz w:val="24"/>
          <w:szCs w:val="24"/>
        </w:rPr>
        <w:t>tatus</w:t>
      </w:r>
      <w:r w:rsidR="00C61C56">
        <w:rPr>
          <w:rFonts w:ascii="Times New Roman" w:hAnsi="Times New Roman" w:cs="Times New Roman"/>
          <w:sz w:val="24"/>
          <w:szCs w:val="24"/>
        </w:rPr>
        <w:t xml:space="preserve"> and that have since experienced an influx of households with higher socio</w:t>
      </w:r>
      <w:r w:rsidR="00347B02">
        <w:rPr>
          <w:rFonts w:ascii="Times New Roman" w:hAnsi="Times New Roman" w:cs="Times New Roman"/>
          <w:sz w:val="24"/>
          <w:szCs w:val="24"/>
        </w:rPr>
        <w:t xml:space="preserve">economic status. </w:t>
      </w:r>
      <w:r w:rsidR="00AA370C">
        <w:rPr>
          <w:rFonts w:ascii="Times New Roman" w:hAnsi="Times New Roman" w:cs="Times New Roman"/>
          <w:sz w:val="24"/>
          <w:szCs w:val="24"/>
        </w:rPr>
        <w:t xml:space="preserve">The report </w:t>
      </w:r>
      <w:r w:rsidR="00E75608">
        <w:rPr>
          <w:rFonts w:ascii="Times New Roman" w:hAnsi="Times New Roman" w:cs="Times New Roman"/>
          <w:sz w:val="24"/>
          <w:szCs w:val="24"/>
        </w:rPr>
        <w:t>assesses gentrification through the lens of income</w:t>
      </w:r>
      <w:r w:rsidR="00CB4D1F">
        <w:rPr>
          <w:rFonts w:ascii="Times New Roman" w:hAnsi="Times New Roman" w:cs="Times New Roman"/>
          <w:sz w:val="24"/>
          <w:szCs w:val="24"/>
        </w:rPr>
        <w:t xml:space="preserve"> and rent growth; “gentrifying neighborhoods” are those that were low-income in 1990 and experienced </w:t>
      </w:r>
      <w:r w:rsidR="00160541">
        <w:rPr>
          <w:rFonts w:ascii="Times New Roman" w:hAnsi="Times New Roman" w:cs="Times New Roman"/>
          <w:sz w:val="24"/>
          <w:szCs w:val="24"/>
        </w:rPr>
        <w:t xml:space="preserve">rent growth above the median </w:t>
      </w:r>
      <w:r w:rsidR="004A3266">
        <w:rPr>
          <w:rFonts w:ascii="Times New Roman" w:hAnsi="Times New Roman" w:cs="Times New Roman"/>
          <w:sz w:val="24"/>
          <w:szCs w:val="24"/>
        </w:rPr>
        <w:t>sub-borough area rent growth (Furman Center, 2015).</w:t>
      </w:r>
    </w:p>
    <w:p w14:paraId="6C5D77C3" w14:textId="2553EA4B" w:rsidR="00835D85" w:rsidRDefault="00CD1D9E" w:rsidP="00835D85">
      <w:pPr>
        <w:spacing w:line="30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Borough Park, </w:t>
      </w:r>
      <w:r w:rsidR="007F0F38">
        <w:rPr>
          <w:rFonts w:ascii="Times New Roman" w:hAnsi="Times New Roman" w:cs="Times New Roman"/>
          <w:sz w:val="24"/>
          <w:szCs w:val="24"/>
        </w:rPr>
        <w:t>the median household income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2404">
        <w:rPr>
          <w:rFonts w:ascii="Times New Roman" w:hAnsi="Times New Roman" w:cs="Times New Roman"/>
          <w:sz w:val="24"/>
          <w:szCs w:val="24"/>
        </w:rPr>
        <w:t>varies by census tract and has fluctuated overtime</w:t>
      </w:r>
      <w:r w:rsidR="00216B46">
        <w:rPr>
          <w:rFonts w:ascii="Times New Roman" w:hAnsi="Times New Roman" w:cs="Times New Roman"/>
          <w:sz w:val="24"/>
          <w:szCs w:val="24"/>
        </w:rPr>
        <w:t xml:space="preserve"> (see figure 7)</w:t>
      </w:r>
      <w:r w:rsidR="00732404">
        <w:rPr>
          <w:rFonts w:ascii="Times New Roman" w:hAnsi="Times New Roman" w:cs="Times New Roman"/>
          <w:sz w:val="24"/>
          <w:szCs w:val="24"/>
        </w:rPr>
        <w:t>. However, on average, the median household income has stayed relatively constant</w:t>
      </w:r>
      <w:r w:rsidR="00FA3EEF">
        <w:rPr>
          <w:rFonts w:ascii="Times New Roman" w:hAnsi="Times New Roman" w:cs="Times New Roman"/>
          <w:sz w:val="24"/>
          <w:szCs w:val="24"/>
        </w:rPr>
        <w:t>—there is a slight upward trend—</w:t>
      </w:r>
      <w:r w:rsidR="00732404">
        <w:rPr>
          <w:rFonts w:ascii="Times New Roman" w:hAnsi="Times New Roman" w:cs="Times New Roman"/>
          <w:sz w:val="24"/>
          <w:szCs w:val="24"/>
        </w:rPr>
        <w:t>between the periods of the ACS 5-year surveys (2005-2009, 2010-2014, and 2015-2019).</w:t>
      </w:r>
      <w:r w:rsidR="00A2459D">
        <w:rPr>
          <w:rFonts w:ascii="Times New Roman" w:hAnsi="Times New Roman" w:cs="Times New Roman"/>
          <w:sz w:val="24"/>
          <w:szCs w:val="24"/>
        </w:rPr>
        <w:t xml:space="preserve"> </w:t>
      </w:r>
      <w:r w:rsidR="00C92BF5">
        <w:rPr>
          <w:rFonts w:ascii="Times New Roman" w:hAnsi="Times New Roman" w:cs="Times New Roman"/>
          <w:sz w:val="24"/>
          <w:szCs w:val="24"/>
        </w:rPr>
        <w:t xml:space="preserve">Census Tract 232 </w:t>
      </w:r>
      <w:r w:rsidR="0005721A">
        <w:rPr>
          <w:rFonts w:ascii="Times New Roman" w:hAnsi="Times New Roman" w:cs="Times New Roman"/>
          <w:sz w:val="24"/>
          <w:szCs w:val="24"/>
        </w:rPr>
        <w:t xml:space="preserve">is the only census tract that experienced an increase in the median household income between each period of the ACS 5-year survey; other tracts </w:t>
      </w:r>
      <w:r w:rsidR="00E16F44">
        <w:rPr>
          <w:rFonts w:ascii="Times New Roman" w:hAnsi="Times New Roman" w:cs="Times New Roman"/>
          <w:sz w:val="24"/>
          <w:szCs w:val="24"/>
        </w:rPr>
        <w:t>saw a decrease in the median household income between 2010-2014 and 2015-2019</w:t>
      </w:r>
      <w:r w:rsidR="00360456">
        <w:rPr>
          <w:rFonts w:ascii="Times New Roman" w:hAnsi="Times New Roman" w:cs="Times New Roman"/>
          <w:sz w:val="24"/>
          <w:szCs w:val="24"/>
        </w:rPr>
        <w:t xml:space="preserve"> or decreased between each period of the ACS 5-year survey.</w:t>
      </w:r>
      <w:r w:rsidR="00DB2451">
        <w:rPr>
          <w:rFonts w:ascii="Times New Roman" w:hAnsi="Times New Roman" w:cs="Times New Roman"/>
          <w:sz w:val="24"/>
          <w:szCs w:val="24"/>
        </w:rPr>
        <w:t xml:space="preserve"> Census Tract 232</w:t>
      </w:r>
      <w:r w:rsidR="00500DAD">
        <w:rPr>
          <w:rFonts w:ascii="Times New Roman" w:hAnsi="Times New Roman" w:cs="Times New Roman"/>
          <w:sz w:val="24"/>
          <w:szCs w:val="24"/>
        </w:rPr>
        <w:t>,</w:t>
      </w:r>
      <w:r w:rsidR="00DB2451">
        <w:rPr>
          <w:rFonts w:ascii="Times New Roman" w:hAnsi="Times New Roman" w:cs="Times New Roman"/>
          <w:sz w:val="24"/>
          <w:szCs w:val="24"/>
        </w:rPr>
        <w:t xml:space="preserve"> located the farthest north of all selected census tracts </w:t>
      </w:r>
      <w:r w:rsidR="005A67EB">
        <w:rPr>
          <w:rFonts w:ascii="Times New Roman" w:hAnsi="Times New Roman" w:cs="Times New Roman"/>
          <w:sz w:val="24"/>
          <w:szCs w:val="24"/>
        </w:rPr>
        <w:t>in figure 1, is bordered by</w:t>
      </w:r>
      <w:r w:rsidR="00676254">
        <w:rPr>
          <w:rFonts w:ascii="Times New Roman" w:hAnsi="Times New Roman" w:cs="Times New Roman"/>
          <w:sz w:val="24"/>
          <w:szCs w:val="24"/>
        </w:rPr>
        <w:t xml:space="preserve"> both the D and F trains</w:t>
      </w:r>
      <w:r w:rsidR="005A67EB">
        <w:rPr>
          <w:rFonts w:ascii="Times New Roman" w:hAnsi="Times New Roman" w:cs="Times New Roman"/>
          <w:sz w:val="24"/>
          <w:szCs w:val="24"/>
        </w:rPr>
        <w:t>—</w:t>
      </w:r>
      <w:r w:rsidR="00CD22A9">
        <w:rPr>
          <w:rFonts w:ascii="Times New Roman" w:hAnsi="Times New Roman" w:cs="Times New Roman"/>
          <w:sz w:val="24"/>
          <w:szCs w:val="24"/>
        </w:rPr>
        <w:t xml:space="preserve">transit options that </w:t>
      </w:r>
      <w:r w:rsidR="005A67EB">
        <w:rPr>
          <w:rFonts w:ascii="Times New Roman" w:hAnsi="Times New Roman" w:cs="Times New Roman"/>
          <w:sz w:val="24"/>
          <w:szCs w:val="24"/>
        </w:rPr>
        <w:t xml:space="preserve">might </w:t>
      </w:r>
      <w:r w:rsidR="001A2E0F">
        <w:rPr>
          <w:rFonts w:ascii="Times New Roman" w:hAnsi="Times New Roman" w:cs="Times New Roman"/>
          <w:sz w:val="24"/>
          <w:szCs w:val="24"/>
        </w:rPr>
        <w:t>attract</w:t>
      </w:r>
      <w:r w:rsidR="005A67EB">
        <w:rPr>
          <w:rFonts w:ascii="Times New Roman" w:hAnsi="Times New Roman" w:cs="Times New Roman"/>
          <w:sz w:val="24"/>
          <w:szCs w:val="24"/>
        </w:rPr>
        <w:t xml:space="preserve"> residents </w:t>
      </w:r>
      <w:r w:rsidR="005D32FE">
        <w:rPr>
          <w:rFonts w:ascii="Times New Roman" w:hAnsi="Times New Roman" w:cs="Times New Roman"/>
          <w:sz w:val="24"/>
          <w:szCs w:val="24"/>
        </w:rPr>
        <w:t xml:space="preserve">to the neighborhood </w:t>
      </w:r>
      <w:r w:rsidR="005A67EB">
        <w:rPr>
          <w:rFonts w:ascii="Times New Roman" w:hAnsi="Times New Roman" w:cs="Times New Roman"/>
          <w:sz w:val="24"/>
          <w:szCs w:val="24"/>
        </w:rPr>
        <w:t>with higher incomes</w:t>
      </w:r>
      <w:r w:rsidR="00916CAA">
        <w:rPr>
          <w:rFonts w:ascii="Times New Roman" w:hAnsi="Times New Roman" w:cs="Times New Roman"/>
          <w:sz w:val="24"/>
          <w:szCs w:val="24"/>
        </w:rPr>
        <w:t>.</w:t>
      </w:r>
      <w:r w:rsidR="00835D85">
        <w:rPr>
          <w:rFonts w:ascii="Times New Roman" w:hAnsi="Times New Roman" w:cs="Times New Roman"/>
          <w:sz w:val="24"/>
          <w:szCs w:val="24"/>
        </w:rPr>
        <w:t xml:space="preserve"> Overall, ACS data on median household income do not provide substantial evidence that the other census tracts </w:t>
      </w:r>
      <w:r w:rsidR="002A68C4">
        <w:rPr>
          <w:rFonts w:ascii="Times New Roman" w:hAnsi="Times New Roman" w:cs="Times New Roman"/>
          <w:sz w:val="24"/>
          <w:szCs w:val="24"/>
        </w:rPr>
        <w:t>are gentrifying.</w:t>
      </w:r>
    </w:p>
    <w:p w14:paraId="38A022FC" w14:textId="0B41512C" w:rsidR="00B66ACC" w:rsidRPr="001C6AFA" w:rsidRDefault="002B38E1" w:rsidP="001C6AFA">
      <w:pPr>
        <w:spacing w:line="30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Additionally,</w:t>
      </w:r>
      <w:r w:rsidR="003F0B99">
        <w:rPr>
          <w:rFonts w:ascii="Times New Roman" w:hAnsi="Times New Roman" w:cs="Times New Roman"/>
          <w:sz w:val="24"/>
          <w:szCs w:val="24"/>
        </w:rPr>
        <w:t xml:space="preserve"> </w:t>
      </w:r>
      <w:r w:rsidR="000E344F">
        <w:rPr>
          <w:rFonts w:ascii="Times New Roman" w:hAnsi="Times New Roman" w:cs="Times New Roman"/>
          <w:sz w:val="24"/>
          <w:szCs w:val="24"/>
        </w:rPr>
        <w:t xml:space="preserve">gentrification is characterized by </w:t>
      </w:r>
      <w:r w:rsidR="008556FE">
        <w:rPr>
          <w:rFonts w:ascii="Times New Roman" w:hAnsi="Times New Roman" w:cs="Times New Roman"/>
          <w:sz w:val="24"/>
          <w:szCs w:val="24"/>
        </w:rPr>
        <w:t xml:space="preserve">an increase in rents. </w:t>
      </w:r>
      <w:r w:rsidR="00892DAC">
        <w:rPr>
          <w:rFonts w:ascii="Times New Roman" w:hAnsi="Times New Roman" w:cs="Times New Roman"/>
          <w:sz w:val="24"/>
          <w:szCs w:val="24"/>
        </w:rPr>
        <w:t xml:space="preserve">Between the periods of 2005-2009, 2010-2014, and 2015-2019, the share of renter-occupied households did not change (see figure </w:t>
      </w:r>
      <w:r w:rsidR="00873144">
        <w:rPr>
          <w:rFonts w:ascii="Times New Roman" w:hAnsi="Times New Roman" w:cs="Times New Roman"/>
          <w:sz w:val="24"/>
          <w:szCs w:val="24"/>
        </w:rPr>
        <w:t xml:space="preserve">8). However, </w:t>
      </w:r>
      <w:r w:rsidR="00A03034">
        <w:rPr>
          <w:rFonts w:ascii="Times New Roman" w:hAnsi="Times New Roman" w:cs="Times New Roman"/>
          <w:sz w:val="24"/>
          <w:szCs w:val="24"/>
        </w:rPr>
        <w:t>since the</w:t>
      </w:r>
      <w:r w:rsidR="00873144">
        <w:rPr>
          <w:rFonts w:ascii="Times New Roman" w:hAnsi="Times New Roman" w:cs="Times New Roman"/>
          <w:sz w:val="24"/>
          <w:szCs w:val="24"/>
        </w:rPr>
        <w:t xml:space="preserve"> share of renter-occupied households is</w:t>
      </w:r>
      <w:r w:rsidR="00A03034">
        <w:rPr>
          <w:rFonts w:ascii="Times New Roman" w:hAnsi="Times New Roman" w:cs="Times New Roman"/>
          <w:sz w:val="24"/>
          <w:szCs w:val="24"/>
        </w:rPr>
        <w:t xml:space="preserve"> </w:t>
      </w:r>
      <w:r w:rsidR="007D1011">
        <w:rPr>
          <w:rFonts w:ascii="Times New Roman" w:hAnsi="Times New Roman" w:cs="Times New Roman"/>
          <w:sz w:val="24"/>
          <w:szCs w:val="24"/>
        </w:rPr>
        <w:t>quite high (</w:t>
      </w:r>
      <w:r w:rsidR="00A03034">
        <w:rPr>
          <w:rFonts w:ascii="Times New Roman" w:hAnsi="Times New Roman" w:cs="Times New Roman"/>
          <w:sz w:val="24"/>
          <w:szCs w:val="24"/>
        </w:rPr>
        <w:t>68%</w:t>
      </w:r>
      <w:r w:rsidR="007D1011">
        <w:rPr>
          <w:rFonts w:ascii="Times New Roman" w:hAnsi="Times New Roman" w:cs="Times New Roman"/>
          <w:sz w:val="24"/>
          <w:szCs w:val="24"/>
        </w:rPr>
        <w:t xml:space="preserve">), </w:t>
      </w:r>
      <w:r w:rsidR="007D1011" w:rsidRPr="00DA0438">
        <w:rPr>
          <w:rFonts w:ascii="Times New Roman" w:hAnsi="Times New Roman" w:cs="Times New Roman"/>
          <w:sz w:val="24"/>
          <w:szCs w:val="24"/>
        </w:rPr>
        <w:t xml:space="preserve">there are many households </w:t>
      </w:r>
      <w:r w:rsidR="003E445C" w:rsidRPr="00DA0438">
        <w:rPr>
          <w:rFonts w:ascii="Times New Roman" w:hAnsi="Times New Roman" w:cs="Times New Roman"/>
          <w:sz w:val="24"/>
          <w:szCs w:val="24"/>
        </w:rPr>
        <w:t xml:space="preserve">in the selected census tracts </w:t>
      </w:r>
      <w:r w:rsidR="007D1011" w:rsidRPr="00DA0438">
        <w:rPr>
          <w:rFonts w:ascii="Times New Roman" w:hAnsi="Times New Roman" w:cs="Times New Roman"/>
          <w:sz w:val="24"/>
          <w:szCs w:val="24"/>
        </w:rPr>
        <w:t xml:space="preserve">that may be vulnerable to sudden </w:t>
      </w:r>
      <w:r w:rsidR="00D32A7B" w:rsidRPr="00DA0438">
        <w:rPr>
          <w:rFonts w:ascii="Times New Roman" w:hAnsi="Times New Roman" w:cs="Times New Roman"/>
          <w:sz w:val="24"/>
          <w:szCs w:val="24"/>
        </w:rPr>
        <w:lastRenderedPageBreak/>
        <w:t xml:space="preserve">or significant </w:t>
      </w:r>
      <w:r w:rsidR="007D1011" w:rsidRPr="00DA0438">
        <w:rPr>
          <w:rFonts w:ascii="Times New Roman" w:hAnsi="Times New Roman" w:cs="Times New Roman"/>
          <w:sz w:val="24"/>
          <w:szCs w:val="24"/>
        </w:rPr>
        <w:t xml:space="preserve">increases in </w:t>
      </w:r>
      <w:r w:rsidR="005569B8" w:rsidRPr="00DA0438">
        <w:rPr>
          <w:rFonts w:ascii="Times New Roman" w:hAnsi="Times New Roman" w:cs="Times New Roman"/>
          <w:sz w:val="24"/>
          <w:szCs w:val="24"/>
        </w:rPr>
        <w:t>monthly r</w:t>
      </w:r>
      <w:r w:rsidR="007D1011" w:rsidRPr="00DA0438">
        <w:rPr>
          <w:rFonts w:ascii="Times New Roman" w:hAnsi="Times New Roman" w:cs="Times New Roman"/>
          <w:sz w:val="24"/>
          <w:szCs w:val="24"/>
        </w:rPr>
        <w:t>ent</w:t>
      </w:r>
      <w:r w:rsidR="00C03A23" w:rsidRPr="00DA0438">
        <w:rPr>
          <w:rFonts w:ascii="Times New Roman" w:hAnsi="Times New Roman" w:cs="Times New Roman"/>
          <w:sz w:val="24"/>
          <w:szCs w:val="24"/>
        </w:rPr>
        <w:t>s prices</w:t>
      </w:r>
      <w:r w:rsidR="007D1011" w:rsidRPr="00DA0438">
        <w:rPr>
          <w:rFonts w:ascii="Times New Roman" w:hAnsi="Times New Roman" w:cs="Times New Roman"/>
          <w:sz w:val="24"/>
          <w:szCs w:val="24"/>
        </w:rPr>
        <w:t>.</w:t>
      </w:r>
      <w:r w:rsidR="00EF0E56" w:rsidRPr="00DA0438">
        <w:rPr>
          <w:rFonts w:ascii="Times New Roman" w:hAnsi="Times New Roman" w:cs="Times New Roman"/>
          <w:sz w:val="24"/>
          <w:szCs w:val="24"/>
        </w:rPr>
        <w:t xml:space="preserve"> It does not appear that renter households, at </w:t>
      </w:r>
      <w:r w:rsidR="007C21E9" w:rsidRPr="00DA0438">
        <w:rPr>
          <w:rFonts w:ascii="Times New Roman" w:hAnsi="Times New Roman" w:cs="Times New Roman"/>
          <w:sz w:val="24"/>
          <w:szCs w:val="24"/>
        </w:rPr>
        <w:t>present,</w:t>
      </w:r>
      <w:r w:rsidR="00EF0E56" w:rsidRPr="00DA0438">
        <w:rPr>
          <w:rFonts w:ascii="Times New Roman" w:hAnsi="Times New Roman" w:cs="Times New Roman"/>
          <w:sz w:val="24"/>
          <w:szCs w:val="24"/>
        </w:rPr>
        <w:t xml:space="preserve"> are affected by any rent increases. </w:t>
      </w:r>
      <w:r w:rsidR="00D86448" w:rsidRPr="00DA0438">
        <w:rPr>
          <w:rFonts w:ascii="Times New Roman" w:hAnsi="Times New Roman" w:cs="Times New Roman"/>
          <w:sz w:val="24"/>
          <w:szCs w:val="24"/>
        </w:rPr>
        <w:t>In</w:t>
      </w:r>
      <w:r w:rsidR="00EF0E56" w:rsidRPr="00DA0438">
        <w:rPr>
          <w:rFonts w:ascii="Times New Roman" w:hAnsi="Times New Roman" w:cs="Times New Roman"/>
          <w:sz w:val="24"/>
          <w:szCs w:val="24"/>
        </w:rPr>
        <w:t xml:space="preserve"> the periods 2005-2009, 2010-2014, and 2015-2019, the share of households that had remained in the same house longer than 1 year was greater than 93%.</w:t>
      </w:r>
      <w:r w:rsidR="00CE3569" w:rsidRPr="00DA0438">
        <w:rPr>
          <w:rFonts w:ascii="Times New Roman" w:hAnsi="Times New Roman" w:cs="Times New Roman"/>
          <w:sz w:val="24"/>
          <w:szCs w:val="24"/>
        </w:rPr>
        <w:t xml:space="preserve"> In 2010-2014 and 2015-2019, the share was 96%</w:t>
      </w:r>
      <w:r w:rsidR="00C9222E" w:rsidRPr="00DA0438">
        <w:rPr>
          <w:rFonts w:ascii="Times New Roman" w:hAnsi="Times New Roman" w:cs="Times New Roman"/>
          <w:sz w:val="24"/>
          <w:szCs w:val="24"/>
        </w:rPr>
        <w:t>.</w:t>
      </w:r>
      <w:r w:rsidR="007F00AC" w:rsidRPr="00DA0438">
        <w:rPr>
          <w:rFonts w:ascii="Times New Roman" w:hAnsi="Times New Roman" w:cs="Times New Roman"/>
          <w:sz w:val="24"/>
          <w:szCs w:val="24"/>
        </w:rPr>
        <w:t xml:space="preserve"> The high share of households that ha</w:t>
      </w:r>
      <w:r w:rsidR="00A22032" w:rsidRPr="00DA0438">
        <w:rPr>
          <w:rFonts w:ascii="Times New Roman" w:hAnsi="Times New Roman" w:cs="Times New Roman"/>
          <w:sz w:val="24"/>
          <w:szCs w:val="24"/>
        </w:rPr>
        <w:t>ve</w:t>
      </w:r>
      <w:r w:rsidR="007F00AC" w:rsidRPr="00DA0438">
        <w:rPr>
          <w:rFonts w:ascii="Times New Roman" w:hAnsi="Times New Roman" w:cs="Times New Roman"/>
          <w:sz w:val="24"/>
          <w:szCs w:val="24"/>
        </w:rPr>
        <w:t>n’t moved suggests that displacement has historically been low in these census tracts</w:t>
      </w:r>
      <w:r w:rsidR="00615BC2" w:rsidRPr="00DA0438">
        <w:rPr>
          <w:rFonts w:ascii="Times New Roman" w:hAnsi="Times New Roman" w:cs="Times New Roman"/>
          <w:sz w:val="24"/>
          <w:szCs w:val="24"/>
        </w:rPr>
        <w:t xml:space="preserve"> and that</w:t>
      </w:r>
      <w:r w:rsidR="00A22032" w:rsidRPr="00DA0438">
        <w:rPr>
          <w:rFonts w:ascii="Times New Roman" w:hAnsi="Times New Roman" w:cs="Times New Roman"/>
          <w:sz w:val="24"/>
          <w:szCs w:val="24"/>
        </w:rPr>
        <w:t xml:space="preserve"> Borough Park</w:t>
      </w:r>
      <w:r w:rsidR="00615BC2" w:rsidRPr="00DA0438">
        <w:rPr>
          <w:rFonts w:ascii="Times New Roman" w:hAnsi="Times New Roman" w:cs="Times New Roman"/>
          <w:sz w:val="24"/>
          <w:szCs w:val="24"/>
        </w:rPr>
        <w:t xml:space="preserve"> households have not been affected by</w:t>
      </w:r>
      <w:r w:rsidR="007E7E76" w:rsidRPr="00DA0438">
        <w:rPr>
          <w:rFonts w:ascii="Times New Roman" w:hAnsi="Times New Roman" w:cs="Times New Roman"/>
          <w:sz w:val="24"/>
          <w:szCs w:val="24"/>
        </w:rPr>
        <w:t xml:space="preserve"> any</w:t>
      </w:r>
      <w:r w:rsidR="00615BC2" w:rsidRPr="00DA0438">
        <w:rPr>
          <w:rFonts w:ascii="Times New Roman" w:hAnsi="Times New Roman" w:cs="Times New Roman"/>
          <w:sz w:val="24"/>
          <w:szCs w:val="24"/>
        </w:rPr>
        <w:t xml:space="preserve"> sudden rent increases.</w:t>
      </w:r>
      <w:r w:rsidR="008776DF" w:rsidRPr="00DA0438">
        <w:rPr>
          <w:rFonts w:ascii="Times New Roman" w:hAnsi="Times New Roman" w:cs="Times New Roman"/>
          <w:sz w:val="24"/>
          <w:szCs w:val="24"/>
        </w:rPr>
        <w:t xml:space="preserve"> In</w:t>
      </w:r>
      <w:r w:rsidR="00C87BA8" w:rsidRPr="00DA0438">
        <w:rPr>
          <w:rFonts w:ascii="Times New Roman" w:hAnsi="Times New Roman" w:cs="Times New Roman"/>
          <w:sz w:val="24"/>
          <w:szCs w:val="24"/>
        </w:rPr>
        <w:t xml:space="preserve"> 2015-</w:t>
      </w:r>
      <w:r w:rsidR="008776DF" w:rsidRPr="00DA0438">
        <w:rPr>
          <w:rFonts w:ascii="Times New Roman" w:hAnsi="Times New Roman" w:cs="Times New Roman"/>
          <w:sz w:val="24"/>
          <w:szCs w:val="24"/>
        </w:rPr>
        <w:t xml:space="preserve">2019, the average median rent </w:t>
      </w:r>
      <w:r w:rsidR="00E53D58" w:rsidRPr="00DA0438">
        <w:rPr>
          <w:rFonts w:ascii="Times New Roman" w:hAnsi="Times New Roman" w:cs="Times New Roman"/>
          <w:sz w:val="24"/>
          <w:szCs w:val="24"/>
        </w:rPr>
        <w:t xml:space="preserve">across all five census tracts was </w:t>
      </w:r>
      <w:r w:rsidR="005C2DCF" w:rsidRPr="00DA0438">
        <w:rPr>
          <w:rFonts w:ascii="Times New Roman" w:hAnsi="Times New Roman" w:cs="Times New Roman"/>
          <w:sz w:val="24"/>
          <w:szCs w:val="24"/>
        </w:rPr>
        <w:t>$1535.60</w:t>
      </w:r>
      <w:r w:rsidR="001C6AFA" w:rsidRPr="00DA0438">
        <w:rPr>
          <w:rFonts w:ascii="Times New Roman" w:hAnsi="Times New Roman" w:cs="Times New Roman"/>
          <w:sz w:val="24"/>
          <w:szCs w:val="24"/>
        </w:rPr>
        <w:t xml:space="preserve">, which </w:t>
      </w:r>
      <w:r w:rsidR="00FF73E7">
        <w:rPr>
          <w:rFonts w:ascii="Times New Roman" w:hAnsi="Times New Roman" w:cs="Times New Roman"/>
          <w:sz w:val="24"/>
          <w:szCs w:val="24"/>
        </w:rPr>
        <w:t>wa</w:t>
      </w:r>
      <w:r w:rsidR="001C6AFA" w:rsidRPr="00DA0438">
        <w:rPr>
          <w:rFonts w:ascii="Times New Roman" w:hAnsi="Times New Roman" w:cs="Times New Roman"/>
          <w:sz w:val="24"/>
          <w:szCs w:val="24"/>
        </w:rPr>
        <w:t>s</w:t>
      </w:r>
      <w:r w:rsidR="00DA0438">
        <w:rPr>
          <w:rFonts w:ascii="Times New Roman" w:hAnsi="Times New Roman" w:cs="Times New Roman"/>
          <w:sz w:val="24"/>
          <w:szCs w:val="24"/>
        </w:rPr>
        <w:t xml:space="preserve"> only</w:t>
      </w:r>
      <w:r w:rsidR="001C6AFA" w:rsidRPr="00DA0438">
        <w:rPr>
          <w:rFonts w:ascii="Times New Roman" w:hAnsi="Times New Roman" w:cs="Times New Roman"/>
          <w:sz w:val="24"/>
          <w:szCs w:val="24"/>
        </w:rPr>
        <w:t xml:space="preserve"> </w:t>
      </w:r>
      <w:r w:rsidR="001C6E5A" w:rsidRPr="00DA0438">
        <w:rPr>
          <w:rFonts w:ascii="Times New Roman" w:hAnsi="Times New Roman" w:cs="Times New Roman"/>
          <w:sz w:val="24"/>
          <w:szCs w:val="24"/>
        </w:rPr>
        <w:t xml:space="preserve">slightly higher than the average median rent </w:t>
      </w:r>
      <w:r w:rsidR="005E6920">
        <w:rPr>
          <w:rFonts w:ascii="Times New Roman" w:hAnsi="Times New Roman" w:cs="Times New Roman"/>
          <w:sz w:val="24"/>
          <w:szCs w:val="24"/>
        </w:rPr>
        <w:t>across all of</w:t>
      </w:r>
      <w:r w:rsidR="00743A3C" w:rsidRPr="00DA0438">
        <w:rPr>
          <w:rFonts w:ascii="Times New Roman" w:hAnsi="Times New Roman" w:cs="Times New Roman"/>
          <w:sz w:val="24"/>
          <w:szCs w:val="24"/>
        </w:rPr>
        <w:t xml:space="preserve"> Brooklyn</w:t>
      </w:r>
      <w:r w:rsidR="001C6E5A" w:rsidRPr="00DA0438">
        <w:rPr>
          <w:rFonts w:ascii="Times New Roman" w:hAnsi="Times New Roman" w:cs="Times New Roman"/>
          <w:sz w:val="24"/>
          <w:szCs w:val="24"/>
        </w:rPr>
        <w:t xml:space="preserve"> </w:t>
      </w:r>
      <w:r w:rsidR="00731F43" w:rsidRPr="00DA0438">
        <w:rPr>
          <w:rFonts w:ascii="Times New Roman" w:hAnsi="Times New Roman" w:cs="Times New Roman"/>
          <w:sz w:val="24"/>
          <w:szCs w:val="24"/>
        </w:rPr>
        <w:t>for the same period ($1</w:t>
      </w:r>
      <w:r w:rsidR="0093621B" w:rsidRPr="00DA0438">
        <w:rPr>
          <w:rFonts w:ascii="Times New Roman" w:hAnsi="Times New Roman" w:cs="Times New Roman"/>
          <w:sz w:val="24"/>
          <w:szCs w:val="24"/>
        </w:rPr>
        <w:t>,</w:t>
      </w:r>
      <w:r w:rsidR="00731F43" w:rsidRPr="00DA0438">
        <w:rPr>
          <w:rFonts w:ascii="Times New Roman" w:hAnsi="Times New Roman" w:cs="Times New Roman"/>
          <w:sz w:val="24"/>
          <w:szCs w:val="24"/>
        </w:rPr>
        <w:t>514.86).</w:t>
      </w:r>
      <w:r w:rsidR="00FF73E7">
        <w:rPr>
          <w:rFonts w:ascii="Times New Roman" w:hAnsi="Times New Roman" w:cs="Times New Roman"/>
          <w:sz w:val="24"/>
          <w:szCs w:val="24"/>
        </w:rPr>
        <w:t xml:space="preserve"> ACS data on renter status and movement of households </w:t>
      </w:r>
      <w:r w:rsidR="0097777D">
        <w:rPr>
          <w:rFonts w:ascii="Times New Roman" w:hAnsi="Times New Roman" w:cs="Times New Roman"/>
          <w:sz w:val="24"/>
          <w:szCs w:val="24"/>
        </w:rPr>
        <w:t xml:space="preserve">further support </w:t>
      </w:r>
      <w:r w:rsidR="00F3242A">
        <w:rPr>
          <w:rFonts w:ascii="Times New Roman" w:hAnsi="Times New Roman" w:cs="Times New Roman"/>
          <w:sz w:val="24"/>
          <w:szCs w:val="24"/>
        </w:rPr>
        <w:t xml:space="preserve">the </w:t>
      </w:r>
      <w:r w:rsidR="008512A2">
        <w:rPr>
          <w:rFonts w:ascii="Times New Roman" w:hAnsi="Times New Roman" w:cs="Times New Roman"/>
          <w:sz w:val="24"/>
          <w:szCs w:val="24"/>
        </w:rPr>
        <w:t xml:space="preserve">claim </w:t>
      </w:r>
      <w:r w:rsidR="00FF73E7">
        <w:rPr>
          <w:rFonts w:ascii="Times New Roman" w:hAnsi="Times New Roman" w:cs="Times New Roman"/>
          <w:sz w:val="24"/>
          <w:szCs w:val="24"/>
        </w:rPr>
        <w:t xml:space="preserve">that Borough Park is </w:t>
      </w:r>
      <w:r w:rsidR="004C0055">
        <w:rPr>
          <w:rFonts w:ascii="Times New Roman" w:hAnsi="Times New Roman" w:cs="Times New Roman"/>
          <w:sz w:val="24"/>
          <w:szCs w:val="24"/>
        </w:rPr>
        <w:t>not</w:t>
      </w:r>
      <w:r w:rsidR="00FF73E7">
        <w:rPr>
          <w:rFonts w:ascii="Times New Roman" w:hAnsi="Times New Roman" w:cs="Times New Roman"/>
          <w:sz w:val="24"/>
          <w:szCs w:val="24"/>
        </w:rPr>
        <w:t xml:space="preserve"> gentrifying.</w:t>
      </w:r>
    </w:p>
    <w:p w14:paraId="6E1CE490" w14:textId="5AC8F233" w:rsidR="00EA67BA" w:rsidRDefault="00EA67BA" w:rsidP="004454A1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7AE037EC" w14:textId="77777777" w:rsidR="001F44EC" w:rsidRPr="00A12C9C" w:rsidRDefault="001F44EC" w:rsidP="004454A1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61712490" w14:textId="77777777" w:rsidR="00FF4FDC" w:rsidRPr="007B29BD" w:rsidRDefault="00FF4FDC" w:rsidP="00EF5259">
      <w:pPr>
        <w:spacing w:line="30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53E9B44" w14:textId="77777777" w:rsidR="00EF5259" w:rsidRPr="007B29BD" w:rsidRDefault="00EF5259" w:rsidP="00EF5259">
      <w:pPr>
        <w:spacing w:line="30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76DF0C5" w14:textId="0B0BF83B" w:rsidR="00EF5259" w:rsidRPr="007B29BD" w:rsidRDefault="00EF5259" w:rsidP="00EF5259">
      <w:pPr>
        <w:spacing w:line="300" w:lineRule="auto"/>
        <w:ind w:firstLine="720"/>
        <w:rPr>
          <w:rFonts w:ascii="Times New Roman" w:hAnsi="Times New Roman" w:cs="Times New Roman"/>
          <w:sz w:val="24"/>
          <w:szCs w:val="24"/>
        </w:rPr>
        <w:sectPr w:rsidR="00EF5259" w:rsidRPr="007B29BD" w:rsidSect="00935293">
          <w:footerReference w:type="default" r:id="rId7"/>
          <w:headerReference w:type="first" r:id="rId8"/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A4ABC77" w14:textId="10AEAA54" w:rsidR="00D8474C" w:rsidRPr="007B29BD" w:rsidRDefault="00E76038" w:rsidP="00C633C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29BD">
        <w:rPr>
          <w:rFonts w:ascii="Times New Roman" w:hAnsi="Times New Roman" w:cs="Times New Roman"/>
          <w:b/>
          <w:bCs/>
          <w:sz w:val="24"/>
          <w:szCs w:val="24"/>
        </w:rPr>
        <w:lastRenderedPageBreak/>
        <w:t>Works Cited</w:t>
      </w:r>
    </w:p>
    <w:p w14:paraId="2415396D" w14:textId="43B220AA" w:rsidR="00E76038" w:rsidRDefault="00E76038" w:rsidP="00C633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29BD">
        <w:rPr>
          <w:rFonts w:ascii="Times New Roman" w:hAnsi="Times New Roman" w:cs="Times New Roman"/>
          <w:sz w:val="24"/>
          <w:szCs w:val="24"/>
        </w:rPr>
        <w:t xml:space="preserve">Beyer, G. (2010, Oct. 8). Borough Park, Brooklyn. </w:t>
      </w:r>
      <w:r w:rsidRPr="007B29BD">
        <w:rPr>
          <w:rFonts w:ascii="Times New Roman" w:hAnsi="Times New Roman" w:cs="Times New Roman"/>
          <w:i/>
          <w:iCs/>
          <w:sz w:val="24"/>
          <w:szCs w:val="24"/>
        </w:rPr>
        <w:t xml:space="preserve">The New York Times. </w:t>
      </w:r>
      <w:hyperlink r:id="rId9" w:history="1">
        <w:r w:rsidRPr="007B29BD">
          <w:rPr>
            <w:rStyle w:val="Hyperlink"/>
            <w:rFonts w:ascii="Times New Roman" w:hAnsi="Times New Roman" w:cs="Times New Roman"/>
            <w:sz w:val="24"/>
            <w:szCs w:val="24"/>
          </w:rPr>
          <w:t>https://www.nytimes.com/2010/10/10/realestate/10living.html</w:t>
        </w:r>
      </w:hyperlink>
      <w:r w:rsidRPr="007B29BD">
        <w:rPr>
          <w:rFonts w:ascii="Times New Roman" w:hAnsi="Times New Roman" w:cs="Times New Roman"/>
          <w:sz w:val="24"/>
          <w:szCs w:val="24"/>
        </w:rPr>
        <w:t>.</w:t>
      </w:r>
    </w:p>
    <w:p w14:paraId="1812CB7D" w14:textId="7DFBCE2E" w:rsidR="00E76038" w:rsidRDefault="00D84A18" w:rsidP="00C633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NYU Furman Center. (2015). </w:t>
      </w:r>
      <w:r w:rsidR="00656EBD" w:rsidRPr="00656EBD">
        <w:rPr>
          <w:rFonts w:ascii="Times New Roman" w:hAnsi="Times New Roman" w:cs="Times New Roman"/>
          <w:sz w:val="24"/>
          <w:szCs w:val="24"/>
        </w:rPr>
        <w:t>State of</w:t>
      </w:r>
      <w:r w:rsidR="00656EBD">
        <w:rPr>
          <w:rFonts w:ascii="Times New Roman" w:hAnsi="Times New Roman" w:cs="Times New Roman"/>
          <w:sz w:val="24"/>
          <w:szCs w:val="24"/>
        </w:rPr>
        <w:t xml:space="preserve"> </w:t>
      </w:r>
      <w:r w:rsidR="00656EBD" w:rsidRPr="00656EBD">
        <w:rPr>
          <w:rFonts w:ascii="Times New Roman" w:hAnsi="Times New Roman" w:cs="Times New Roman"/>
          <w:sz w:val="24"/>
          <w:szCs w:val="24"/>
        </w:rPr>
        <w:t>New York City’s</w:t>
      </w:r>
      <w:r w:rsidR="00656EBD">
        <w:rPr>
          <w:rFonts w:ascii="Times New Roman" w:hAnsi="Times New Roman" w:cs="Times New Roman"/>
          <w:sz w:val="24"/>
          <w:szCs w:val="24"/>
        </w:rPr>
        <w:t xml:space="preserve"> </w:t>
      </w:r>
      <w:r w:rsidR="00656EBD" w:rsidRPr="00656EBD">
        <w:rPr>
          <w:rFonts w:ascii="Times New Roman" w:hAnsi="Times New Roman" w:cs="Times New Roman"/>
          <w:sz w:val="24"/>
          <w:szCs w:val="24"/>
        </w:rPr>
        <w:t>Housing and</w:t>
      </w:r>
      <w:r w:rsidR="00656EBD">
        <w:rPr>
          <w:rFonts w:ascii="Times New Roman" w:hAnsi="Times New Roman" w:cs="Times New Roman"/>
          <w:sz w:val="24"/>
          <w:szCs w:val="24"/>
        </w:rPr>
        <w:t xml:space="preserve"> </w:t>
      </w:r>
      <w:r w:rsidR="00656EBD" w:rsidRPr="00656EBD">
        <w:rPr>
          <w:rFonts w:ascii="Times New Roman" w:hAnsi="Times New Roman" w:cs="Times New Roman"/>
          <w:sz w:val="24"/>
          <w:szCs w:val="24"/>
        </w:rPr>
        <w:t>Neighborhoods</w:t>
      </w:r>
      <w:r w:rsidR="00656EBD">
        <w:rPr>
          <w:rFonts w:ascii="Times New Roman" w:hAnsi="Times New Roman" w:cs="Times New Roman"/>
          <w:sz w:val="24"/>
          <w:szCs w:val="24"/>
        </w:rPr>
        <w:t xml:space="preserve"> </w:t>
      </w:r>
      <w:r w:rsidR="00656EBD" w:rsidRPr="00656EBD">
        <w:rPr>
          <w:rFonts w:ascii="Times New Roman" w:hAnsi="Times New Roman" w:cs="Times New Roman"/>
          <w:sz w:val="24"/>
          <w:szCs w:val="24"/>
        </w:rPr>
        <w:t>in 2015</w:t>
      </w:r>
      <w:r w:rsidR="00656EBD">
        <w:rPr>
          <w:rFonts w:ascii="Times New Roman" w:hAnsi="Times New Roman" w:cs="Times New Roman"/>
          <w:sz w:val="24"/>
          <w:szCs w:val="24"/>
        </w:rPr>
        <w:t xml:space="preserve">. </w:t>
      </w:r>
      <w:hyperlink r:id="rId10" w:history="1">
        <w:r w:rsidR="0012553C" w:rsidRPr="002145B3">
          <w:rPr>
            <w:rStyle w:val="Hyperlink"/>
            <w:rFonts w:ascii="Times New Roman" w:hAnsi="Times New Roman" w:cs="Times New Roman"/>
            <w:sz w:val="24"/>
            <w:szCs w:val="24"/>
          </w:rPr>
          <w:t>https://furmancenter.org/files/sotc/NYUFurmanCenter_SOCin2015_9JUNE2016.pdf</w:t>
        </w:r>
      </w:hyperlink>
      <w:r w:rsidR="0012553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21C94D" w14:textId="77777777" w:rsidR="00042C55" w:rsidRPr="007B29BD" w:rsidRDefault="00042C55" w:rsidP="00C633C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6962A28" w14:textId="42897DF8" w:rsidR="00884BA3" w:rsidRPr="007B29BD" w:rsidRDefault="00C478FD" w:rsidP="00C633C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29B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6E15922" wp14:editId="19E6A85A">
            <wp:simplePos x="0" y="0"/>
            <wp:positionH relativeFrom="column">
              <wp:posOffset>-138223</wp:posOffset>
            </wp:positionH>
            <wp:positionV relativeFrom="paragraph">
              <wp:posOffset>301714</wp:posOffset>
            </wp:positionV>
            <wp:extent cx="4133088" cy="413308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088" cy="4133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0221" w:rsidRPr="007B29BD">
        <w:rPr>
          <w:rFonts w:ascii="Times New Roman" w:hAnsi="Times New Roman" w:cs="Times New Roman"/>
          <w:b/>
          <w:bCs/>
          <w:sz w:val="24"/>
          <w:szCs w:val="24"/>
        </w:rPr>
        <w:t>Appendix</w:t>
      </w:r>
    </w:p>
    <w:p w14:paraId="335D6207" w14:textId="18D45578" w:rsidR="000E166E" w:rsidRPr="007B29BD" w:rsidRDefault="00C633C7" w:rsidP="00C633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29BD">
        <w:rPr>
          <w:rFonts w:ascii="Times New Roman" w:hAnsi="Times New Roman" w:cs="Times New Roman"/>
          <w:sz w:val="24"/>
          <w:szCs w:val="24"/>
        </w:rPr>
        <w:t xml:space="preserve">Figure 1. Map of Borough Park with </w:t>
      </w:r>
      <w:r w:rsidR="000037C2">
        <w:rPr>
          <w:rFonts w:ascii="Times New Roman" w:hAnsi="Times New Roman" w:cs="Times New Roman"/>
          <w:sz w:val="24"/>
          <w:szCs w:val="24"/>
        </w:rPr>
        <w:t>Selected Census Tracts</w:t>
      </w:r>
    </w:p>
    <w:p w14:paraId="3EF8774C" w14:textId="68F9644B" w:rsidR="001E4B5C" w:rsidRPr="007B29BD" w:rsidRDefault="001E4B5C" w:rsidP="00C633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B55669C" w14:textId="77777777" w:rsidR="00C478FD" w:rsidRPr="007B29BD" w:rsidRDefault="00C478FD" w:rsidP="00C633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B0E8CF7" w14:textId="77777777" w:rsidR="00C478FD" w:rsidRPr="007B29BD" w:rsidRDefault="00C478FD" w:rsidP="00C633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4042EE" w14:textId="77777777" w:rsidR="00C478FD" w:rsidRPr="007B29BD" w:rsidRDefault="00C478FD" w:rsidP="00C633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D282F3" w14:textId="77777777" w:rsidR="00C478FD" w:rsidRPr="007B29BD" w:rsidRDefault="00C478FD" w:rsidP="00C633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D6CA4B5" w14:textId="77777777" w:rsidR="00C478FD" w:rsidRPr="007B29BD" w:rsidRDefault="00C478FD" w:rsidP="00C633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F1728A" w14:textId="77777777" w:rsidR="00C478FD" w:rsidRPr="007B29BD" w:rsidRDefault="00C478FD" w:rsidP="00C633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6C2E8E" w14:textId="77777777" w:rsidR="00C478FD" w:rsidRPr="007B29BD" w:rsidRDefault="00C478FD" w:rsidP="00C633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8D93C10" w14:textId="77777777" w:rsidR="00C478FD" w:rsidRPr="007B29BD" w:rsidRDefault="00C478FD" w:rsidP="00C633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EEA276" w14:textId="77777777" w:rsidR="00C478FD" w:rsidRPr="007B29BD" w:rsidRDefault="00C478FD" w:rsidP="00C633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B3FC6D" w14:textId="77777777" w:rsidR="00C478FD" w:rsidRPr="007B29BD" w:rsidRDefault="00C478FD" w:rsidP="00C633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F56FFA9" w14:textId="77777777" w:rsidR="00C478FD" w:rsidRPr="007B29BD" w:rsidRDefault="00C478FD" w:rsidP="00C633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7C09027" w14:textId="77777777" w:rsidR="00C478FD" w:rsidRPr="007B29BD" w:rsidRDefault="00C478FD" w:rsidP="00C633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E1C29E" w14:textId="77777777" w:rsidR="00C478FD" w:rsidRPr="007B29BD" w:rsidRDefault="00C478FD" w:rsidP="00C633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D4077A" w14:textId="23DA3D5C" w:rsidR="005F45D0" w:rsidRPr="007B29BD" w:rsidRDefault="00C478FD" w:rsidP="00C633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29B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18FBF1D" wp14:editId="3362C372">
            <wp:simplePos x="0" y="0"/>
            <wp:positionH relativeFrom="column">
              <wp:posOffset>63500</wp:posOffset>
            </wp:positionH>
            <wp:positionV relativeFrom="paragraph">
              <wp:posOffset>231273</wp:posOffset>
            </wp:positionV>
            <wp:extent cx="4389120" cy="2715768"/>
            <wp:effectExtent l="0" t="0" r="0" b="0"/>
            <wp:wrapNone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715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414E" w:rsidRPr="007B29BD">
        <w:rPr>
          <w:rFonts w:ascii="Times New Roman" w:hAnsi="Times New Roman" w:cs="Times New Roman"/>
          <w:sz w:val="24"/>
          <w:szCs w:val="24"/>
        </w:rPr>
        <w:t xml:space="preserve">Figure 2. Race </w:t>
      </w:r>
      <w:r w:rsidR="00384702">
        <w:rPr>
          <w:rFonts w:ascii="Times New Roman" w:hAnsi="Times New Roman" w:cs="Times New Roman"/>
          <w:sz w:val="24"/>
          <w:szCs w:val="24"/>
        </w:rPr>
        <w:t>Percentages from the ACS Survey</w:t>
      </w:r>
      <w:r w:rsidR="00C7414E" w:rsidRPr="007B29BD">
        <w:rPr>
          <w:rFonts w:ascii="Times New Roman" w:hAnsi="Times New Roman" w:cs="Times New Roman"/>
          <w:sz w:val="24"/>
          <w:szCs w:val="24"/>
        </w:rPr>
        <w:t xml:space="preserve"> 2015-2019</w:t>
      </w:r>
    </w:p>
    <w:p w14:paraId="48ABBFFF" w14:textId="4EFA0FA3" w:rsidR="00C478FD" w:rsidRPr="007B29BD" w:rsidRDefault="00C478FD" w:rsidP="00C633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A36CB0F" w14:textId="18CEEBE7" w:rsidR="00FF3166" w:rsidRPr="007B29BD" w:rsidRDefault="00FF3166" w:rsidP="00C633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53CCEE4" w14:textId="18D9DB3B" w:rsidR="00FF3166" w:rsidRPr="007B29BD" w:rsidRDefault="00FF3166" w:rsidP="00C633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BC32DB" w14:textId="66F80640" w:rsidR="00FF3166" w:rsidRPr="007B29BD" w:rsidRDefault="00FF3166" w:rsidP="00C633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414A77B" w14:textId="3769F88B" w:rsidR="00FF3166" w:rsidRPr="007B29BD" w:rsidRDefault="00FF3166" w:rsidP="00C633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770C4AF" w14:textId="3C3665C2" w:rsidR="00FF3166" w:rsidRPr="007B29BD" w:rsidRDefault="00FF3166" w:rsidP="00C633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EAAACE" w14:textId="7EA766D1" w:rsidR="00FF3166" w:rsidRPr="007B29BD" w:rsidRDefault="00FF3166" w:rsidP="00C633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72052CA" w14:textId="2E14FAC2" w:rsidR="00FF3166" w:rsidRPr="007B29BD" w:rsidRDefault="00FF3166" w:rsidP="00C633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E4A330" w14:textId="5F5569E9" w:rsidR="00FF3166" w:rsidRPr="007B29BD" w:rsidRDefault="00FF3166" w:rsidP="00C633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5CE34B" w14:textId="1C58D866" w:rsidR="00FF3166" w:rsidRPr="007B29BD" w:rsidRDefault="00BE2864" w:rsidP="00FF31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29B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6D0A8E5" wp14:editId="1BA5DC7A">
            <wp:simplePos x="0" y="0"/>
            <wp:positionH relativeFrom="column">
              <wp:posOffset>1905</wp:posOffset>
            </wp:positionH>
            <wp:positionV relativeFrom="paragraph">
              <wp:posOffset>276225</wp:posOffset>
            </wp:positionV>
            <wp:extent cx="4384675" cy="270637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675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3166" w:rsidRPr="007B29BD">
        <w:rPr>
          <w:rFonts w:ascii="Times New Roman" w:hAnsi="Times New Roman" w:cs="Times New Roman"/>
          <w:sz w:val="24"/>
          <w:szCs w:val="24"/>
        </w:rPr>
        <w:t xml:space="preserve">Figure </w:t>
      </w:r>
      <w:r w:rsidR="00B16989" w:rsidRPr="007B29BD">
        <w:rPr>
          <w:rFonts w:ascii="Times New Roman" w:hAnsi="Times New Roman" w:cs="Times New Roman"/>
          <w:sz w:val="24"/>
          <w:szCs w:val="24"/>
        </w:rPr>
        <w:t>3. Ethnicity</w:t>
      </w:r>
      <w:r w:rsidR="00FF3166" w:rsidRPr="007B29BD">
        <w:rPr>
          <w:rFonts w:ascii="Times New Roman" w:hAnsi="Times New Roman" w:cs="Times New Roman"/>
          <w:sz w:val="24"/>
          <w:szCs w:val="24"/>
        </w:rPr>
        <w:t xml:space="preserve"> </w:t>
      </w:r>
      <w:r w:rsidR="0029423B">
        <w:rPr>
          <w:rFonts w:ascii="Times New Roman" w:hAnsi="Times New Roman" w:cs="Times New Roman"/>
          <w:sz w:val="24"/>
          <w:szCs w:val="24"/>
        </w:rPr>
        <w:t>Percentages</w:t>
      </w:r>
      <w:r w:rsidR="00E77D3C">
        <w:rPr>
          <w:rFonts w:ascii="Times New Roman" w:hAnsi="Times New Roman" w:cs="Times New Roman"/>
          <w:sz w:val="24"/>
          <w:szCs w:val="24"/>
        </w:rPr>
        <w:t xml:space="preserve"> from the ACS Survey</w:t>
      </w:r>
      <w:r w:rsidR="00FF3166" w:rsidRPr="007B29BD">
        <w:rPr>
          <w:rFonts w:ascii="Times New Roman" w:hAnsi="Times New Roman" w:cs="Times New Roman"/>
          <w:sz w:val="24"/>
          <w:szCs w:val="24"/>
        </w:rPr>
        <w:t xml:space="preserve"> 2015-2019</w:t>
      </w:r>
    </w:p>
    <w:p w14:paraId="5C8C55E0" w14:textId="49C0629A" w:rsidR="00070C62" w:rsidRPr="007B29BD" w:rsidRDefault="00070C62" w:rsidP="00FF31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4938C0D" w14:textId="5B70D452" w:rsidR="00D46876" w:rsidRPr="007B29BD" w:rsidRDefault="00D46876" w:rsidP="00FF31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28E2289" w14:textId="71CFA5F4" w:rsidR="00D46876" w:rsidRPr="007B29BD" w:rsidRDefault="00D46876" w:rsidP="00FF31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61E66B8" w14:textId="17577C09" w:rsidR="00D46876" w:rsidRPr="007B29BD" w:rsidRDefault="00D46876" w:rsidP="00FF31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23E1AEC" w14:textId="739B854E" w:rsidR="00D46876" w:rsidRPr="007B29BD" w:rsidRDefault="00D46876" w:rsidP="00FF31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55FCAB" w14:textId="6DCB055C" w:rsidR="00D46876" w:rsidRPr="007B29BD" w:rsidRDefault="00D46876" w:rsidP="00FF31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998113" w14:textId="3BF98A0C" w:rsidR="00D46876" w:rsidRPr="007B29BD" w:rsidRDefault="00D46876" w:rsidP="00FF31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F31C786" w14:textId="63C03F5C" w:rsidR="00D46876" w:rsidRPr="007B29BD" w:rsidRDefault="00D46876" w:rsidP="00FF31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4BAAF9" w14:textId="2EEB0AA5" w:rsidR="00D46876" w:rsidRPr="007B29BD" w:rsidRDefault="00D46876" w:rsidP="00FF31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B4A663B" w14:textId="123F63C3" w:rsidR="00F748D1" w:rsidRPr="007B29BD" w:rsidRDefault="00F748D1" w:rsidP="00FF31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BE1B34" w14:textId="1F2ACF4B" w:rsidR="00D46876" w:rsidRPr="007B29BD" w:rsidRDefault="00D46876" w:rsidP="00FF31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29BD">
        <w:rPr>
          <w:rFonts w:ascii="Times New Roman" w:hAnsi="Times New Roman" w:cs="Times New Roman"/>
          <w:sz w:val="24"/>
          <w:szCs w:val="24"/>
        </w:rPr>
        <w:t>Figure 4.</w:t>
      </w:r>
      <w:r w:rsidR="00A174FA" w:rsidRPr="007B29BD">
        <w:rPr>
          <w:rFonts w:ascii="Times New Roman" w:hAnsi="Times New Roman" w:cs="Times New Roman"/>
          <w:sz w:val="24"/>
          <w:szCs w:val="24"/>
        </w:rPr>
        <w:t xml:space="preserve"> Race and </w:t>
      </w:r>
      <w:r w:rsidR="00665B6D">
        <w:rPr>
          <w:rFonts w:ascii="Times New Roman" w:hAnsi="Times New Roman" w:cs="Times New Roman"/>
          <w:sz w:val="24"/>
          <w:szCs w:val="24"/>
        </w:rPr>
        <w:t>Ethnicity Over Time</w:t>
      </w:r>
    </w:p>
    <w:p w14:paraId="47158A06" w14:textId="07D16F86" w:rsidR="00FF3166" w:rsidRPr="007B29BD" w:rsidRDefault="00816A49" w:rsidP="00C633C7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B29B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08B023C7" wp14:editId="7202D985">
            <wp:simplePos x="0" y="0"/>
            <wp:positionH relativeFrom="column">
              <wp:posOffset>0</wp:posOffset>
            </wp:positionH>
            <wp:positionV relativeFrom="paragraph">
              <wp:posOffset>9998</wp:posOffset>
            </wp:positionV>
            <wp:extent cx="5934075" cy="3658235"/>
            <wp:effectExtent l="0" t="0" r="9525" b="0"/>
            <wp:wrapNone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5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32FFBA6" w14:textId="02D5C9E7" w:rsidR="00816A49" w:rsidRPr="007B29BD" w:rsidRDefault="00816A49" w:rsidP="00C633C7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EAF580A" w14:textId="725FC072" w:rsidR="00816A49" w:rsidRPr="007B29BD" w:rsidRDefault="00816A49" w:rsidP="00C633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66BC70" w14:textId="26580B9A" w:rsidR="00A02FBB" w:rsidRPr="007B29BD" w:rsidRDefault="00A02FBB" w:rsidP="00C633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C1D08A" w14:textId="1869FD73" w:rsidR="00A02FBB" w:rsidRPr="007B29BD" w:rsidRDefault="00A02FBB" w:rsidP="00C633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52CEAE9" w14:textId="173CC716" w:rsidR="00A02FBB" w:rsidRPr="007B29BD" w:rsidRDefault="00A02FBB" w:rsidP="00C633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1AE53B0" w14:textId="67CD3F5B" w:rsidR="00A02FBB" w:rsidRPr="007B29BD" w:rsidRDefault="00A02FBB" w:rsidP="00C633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8047DA5" w14:textId="6F54F8E2" w:rsidR="00A02FBB" w:rsidRPr="007B29BD" w:rsidRDefault="00A02FBB" w:rsidP="00C633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9DCDD0E" w14:textId="19192BBE" w:rsidR="00A02FBB" w:rsidRPr="007B29BD" w:rsidRDefault="00A02FBB" w:rsidP="00C633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AFE0B3" w14:textId="774C3A92" w:rsidR="00A02FBB" w:rsidRPr="007B29BD" w:rsidRDefault="00A02FBB" w:rsidP="00C633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26FE382" w14:textId="5977BE6D" w:rsidR="00A02FBB" w:rsidRPr="007B29BD" w:rsidRDefault="00A02FBB" w:rsidP="00C633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D15162" w14:textId="362C0B1F" w:rsidR="00A02FBB" w:rsidRPr="007B29BD" w:rsidRDefault="00A02FBB" w:rsidP="00C633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2B37B07" w14:textId="4A83A26B" w:rsidR="00A02FBB" w:rsidRPr="007B29BD" w:rsidRDefault="00A02FBB" w:rsidP="00C633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FACBC6" w14:textId="4E6829CB" w:rsidR="00A02FBB" w:rsidRPr="007B29BD" w:rsidRDefault="00A02FBB" w:rsidP="00C633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7B49B3B" w14:textId="77777777" w:rsidR="001B5841" w:rsidRPr="007B29BD" w:rsidRDefault="001B5841" w:rsidP="00C633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489576F" w14:textId="77777777" w:rsidR="001B5841" w:rsidRPr="007B29BD" w:rsidRDefault="001B5841" w:rsidP="00C633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52A2205" w14:textId="77777777" w:rsidR="001B5841" w:rsidRPr="007B29BD" w:rsidRDefault="001B5841" w:rsidP="00C633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742BC9" w14:textId="77777777" w:rsidR="001B5841" w:rsidRPr="007B29BD" w:rsidRDefault="001B5841" w:rsidP="00C633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1839CD" w14:textId="5C67F022" w:rsidR="00A02FBB" w:rsidRPr="007B29BD" w:rsidRDefault="0092035A" w:rsidP="00C633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29BD">
        <w:rPr>
          <w:rFonts w:ascii="Times New Roman" w:hAnsi="Times New Roman" w:cs="Times New Roman"/>
          <w:sz w:val="24"/>
          <w:szCs w:val="24"/>
        </w:rPr>
        <w:t xml:space="preserve">Figure 5. </w:t>
      </w:r>
      <w:r w:rsidR="00DF29DD" w:rsidRPr="007B29BD">
        <w:rPr>
          <w:rFonts w:ascii="Times New Roman" w:hAnsi="Times New Roman" w:cs="Times New Roman"/>
          <w:sz w:val="24"/>
          <w:szCs w:val="24"/>
        </w:rPr>
        <w:t xml:space="preserve">Population Pyramid </w:t>
      </w:r>
      <w:r w:rsidR="00573FDE" w:rsidRPr="007B29BD">
        <w:rPr>
          <w:rFonts w:ascii="Times New Roman" w:hAnsi="Times New Roman" w:cs="Times New Roman"/>
          <w:sz w:val="24"/>
          <w:szCs w:val="24"/>
        </w:rPr>
        <w:t>from the ACS 5-year survey, 2015-2019</w:t>
      </w:r>
    </w:p>
    <w:p w14:paraId="10F9FDDC" w14:textId="7FB51BE4" w:rsidR="002B132B" w:rsidRDefault="001B5841" w:rsidP="00C633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29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C6D1F7" wp14:editId="1BAFE546">
            <wp:extent cx="5942800" cy="3668395"/>
            <wp:effectExtent l="0" t="0" r="127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800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C06B1" w14:textId="30C39D3E" w:rsidR="00525DE6" w:rsidRDefault="00C83EC4" w:rsidP="00C633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1CC4915B" wp14:editId="2D8EB1EE">
            <wp:simplePos x="0" y="0"/>
            <wp:positionH relativeFrom="column">
              <wp:posOffset>38100</wp:posOffset>
            </wp:positionH>
            <wp:positionV relativeFrom="paragraph">
              <wp:posOffset>275590</wp:posOffset>
            </wp:positionV>
            <wp:extent cx="4894799" cy="3021480"/>
            <wp:effectExtent l="0" t="0" r="127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799" cy="30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5DE6">
        <w:rPr>
          <w:rFonts w:ascii="Times New Roman" w:hAnsi="Times New Roman" w:cs="Times New Roman"/>
          <w:sz w:val="24"/>
          <w:szCs w:val="24"/>
        </w:rPr>
        <w:t>Fig</w:t>
      </w:r>
      <w:r w:rsidR="002A2D14">
        <w:rPr>
          <w:rFonts w:ascii="Times New Roman" w:hAnsi="Times New Roman" w:cs="Times New Roman"/>
          <w:sz w:val="24"/>
          <w:szCs w:val="24"/>
        </w:rPr>
        <w:t>ure 6.</w:t>
      </w:r>
      <w:r w:rsidR="005566F1">
        <w:rPr>
          <w:rFonts w:ascii="Times New Roman" w:hAnsi="Times New Roman" w:cs="Times New Roman"/>
          <w:sz w:val="24"/>
          <w:szCs w:val="24"/>
        </w:rPr>
        <w:t xml:space="preserve"> </w:t>
      </w:r>
      <w:r w:rsidR="004D343C">
        <w:rPr>
          <w:rFonts w:ascii="Times New Roman" w:hAnsi="Times New Roman" w:cs="Times New Roman"/>
          <w:sz w:val="24"/>
          <w:szCs w:val="24"/>
        </w:rPr>
        <w:t>Total Population in Selected Census Tracts Over Time</w:t>
      </w:r>
    </w:p>
    <w:p w14:paraId="55C472A3" w14:textId="247828D8" w:rsidR="00A12C9C" w:rsidRDefault="00A12C9C" w:rsidP="00C633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B59380" w14:textId="4EE850C5" w:rsidR="003B0E54" w:rsidRDefault="003B0E54" w:rsidP="00C633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16F630B" w14:textId="69376FCA" w:rsidR="003B0E54" w:rsidRDefault="003B0E54" w:rsidP="00C633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EC88D93" w14:textId="3EEBF72D" w:rsidR="003B0E54" w:rsidRDefault="003B0E54" w:rsidP="00C633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764AB7" w14:textId="3E1D58B9" w:rsidR="003B0E54" w:rsidRDefault="003B0E54" w:rsidP="00C633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E18FFF" w14:textId="165DD480" w:rsidR="003B0E54" w:rsidRDefault="003B0E54" w:rsidP="00C633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8ADE215" w14:textId="31C70038" w:rsidR="003B0E54" w:rsidRDefault="003B0E54" w:rsidP="00C633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A602DD9" w14:textId="16CBBEF1" w:rsidR="003B0E54" w:rsidRDefault="003B0E54" w:rsidP="00C633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168E69D" w14:textId="5063DE50" w:rsidR="003B0E54" w:rsidRDefault="003B0E54" w:rsidP="00C633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5495A1" w14:textId="21FD10EA" w:rsidR="003B0E54" w:rsidRDefault="003B0E54" w:rsidP="00C633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7EA92B" w14:textId="0A2C8707" w:rsidR="003B0E54" w:rsidRDefault="003B0E54" w:rsidP="00C633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44D80E" w14:textId="112179FD" w:rsidR="003B0E54" w:rsidRDefault="003B0E54" w:rsidP="00C633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19745A2" w14:textId="6B1F6B36" w:rsidR="003B0E54" w:rsidRDefault="003B0E54" w:rsidP="00C633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Figure 7. Median Household Income Over Time</w:t>
      </w:r>
    </w:p>
    <w:p w14:paraId="0D306A7A" w14:textId="2F60D58D" w:rsidR="00732404" w:rsidRDefault="00665B6D" w:rsidP="00C633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42FB7928" wp14:editId="76CD07E1">
            <wp:simplePos x="0" y="0"/>
            <wp:positionH relativeFrom="column">
              <wp:posOffset>0</wp:posOffset>
            </wp:positionH>
            <wp:positionV relativeFrom="paragraph">
              <wp:posOffset>35560</wp:posOffset>
            </wp:positionV>
            <wp:extent cx="5088255" cy="3140710"/>
            <wp:effectExtent l="0" t="0" r="0" b="254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255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56617E" w14:textId="3EE715C3" w:rsidR="00910EF7" w:rsidRDefault="00910EF7" w:rsidP="00C633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23A9E66" w14:textId="5DDB909C" w:rsidR="00910EF7" w:rsidRDefault="00910EF7" w:rsidP="00C633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B479D8B" w14:textId="1573B46A" w:rsidR="00910EF7" w:rsidRDefault="00910EF7" w:rsidP="00C633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2DD14F6" w14:textId="4679DBA9" w:rsidR="00910EF7" w:rsidRDefault="00910EF7" w:rsidP="00C633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BECC85F" w14:textId="55CFC684" w:rsidR="00910EF7" w:rsidRDefault="00910EF7" w:rsidP="00C633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EFFA646" w14:textId="509A899F" w:rsidR="00910EF7" w:rsidRDefault="00910EF7" w:rsidP="00C633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9E6975" w14:textId="7F409F64" w:rsidR="00910EF7" w:rsidRDefault="00910EF7" w:rsidP="00C633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D2FC320" w14:textId="5C5D8FF2" w:rsidR="00910EF7" w:rsidRDefault="00910EF7" w:rsidP="00C633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C68115B" w14:textId="0F6E8CC1" w:rsidR="00910EF7" w:rsidRDefault="00910EF7" w:rsidP="00C633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F1A8089" w14:textId="56C1D8FE" w:rsidR="00910EF7" w:rsidRDefault="00910EF7" w:rsidP="00C633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AE5E37" w14:textId="6D614AEE" w:rsidR="00910EF7" w:rsidRDefault="00910EF7" w:rsidP="00C633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B87552" w14:textId="0F325D62" w:rsidR="00910EF7" w:rsidRDefault="00910EF7" w:rsidP="00C633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8. </w:t>
      </w:r>
      <w:r w:rsidR="00310A84">
        <w:rPr>
          <w:rFonts w:ascii="Times New Roman" w:hAnsi="Times New Roman" w:cs="Times New Roman"/>
          <w:sz w:val="24"/>
          <w:szCs w:val="24"/>
        </w:rPr>
        <w:t>Owner-</w:t>
      </w:r>
      <w:r w:rsidR="00ED2D09">
        <w:rPr>
          <w:rFonts w:ascii="Times New Roman" w:hAnsi="Times New Roman" w:cs="Times New Roman"/>
          <w:sz w:val="24"/>
          <w:szCs w:val="24"/>
        </w:rPr>
        <w:t xml:space="preserve"> and Renter-</w:t>
      </w:r>
      <w:r w:rsidR="00310A84">
        <w:rPr>
          <w:rFonts w:ascii="Times New Roman" w:hAnsi="Times New Roman" w:cs="Times New Roman"/>
          <w:sz w:val="24"/>
          <w:szCs w:val="24"/>
        </w:rPr>
        <w:t>Occupied Share of Households Over Time</w:t>
      </w:r>
    </w:p>
    <w:p w14:paraId="6E4446D5" w14:textId="1A353166" w:rsidR="002330C6" w:rsidRDefault="00665B6D" w:rsidP="00C633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0A4D3631" wp14:editId="51068ADE">
            <wp:simplePos x="0" y="0"/>
            <wp:positionH relativeFrom="column">
              <wp:posOffset>114300</wp:posOffset>
            </wp:positionH>
            <wp:positionV relativeFrom="paragraph">
              <wp:posOffset>48260</wp:posOffset>
            </wp:positionV>
            <wp:extent cx="4974157" cy="30734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157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F5B6FF" w14:textId="1F7A2C74" w:rsidR="002330C6" w:rsidRDefault="002330C6" w:rsidP="00C633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08337C" w14:textId="2EABF19E" w:rsidR="002330C6" w:rsidRDefault="002330C6" w:rsidP="00C633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60FE83" w14:textId="45109F56" w:rsidR="002330C6" w:rsidRDefault="002330C6" w:rsidP="00C633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9BD857A" w14:textId="66B66DFD" w:rsidR="002330C6" w:rsidRDefault="002330C6" w:rsidP="00C633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A6667C" w14:textId="2DB6B29C" w:rsidR="002330C6" w:rsidRDefault="002330C6" w:rsidP="00C633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4EEE569" w14:textId="6BE3C5B5" w:rsidR="002330C6" w:rsidRDefault="002330C6" w:rsidP="00C633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24A56B" w14:textId="44EACCAB" w:rsidR="002330C6" w:rsidRDefault="002330C6" w:rsidP="00C633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BA8AF1" w14:textId="5571430D" w:rsidR="002330C6" w:rsidRDefault="002330C6" w:rsidP="00C633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261B2B" w14:textId="51ED2B78" w:rsidR="002330C6" w:rsidRDefault="002330C6" w:rsidP="00C633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2A97556" w14:textId="0A071673" w:rsidR="002330C6" w:rsidRDefault="002330C6" w:rsidP="00C633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01E04A" w14:textId="77777777" w:rsidR="002B5BEB" w:rsidRDefault="002B5BEB" w:rsidP="00C633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7E976D3" w14:textId="77777777" w:rsidR="000B5012" w:rsidRDefault="000B5012" w:rsidP="00C633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BEE2636" w14:textId="77777777" w:rsidR="000B5012" w:rsidRDefault="000B5012" w:rsidP="00C633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7B8955" w14:textId="77777777" w:rsidR="000B5012" w:rsidRDefault="000B5012" w:rsidP="00C633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259EDD3" w14:textId="77777777" w:rsidR="000B5012" w:rsidRDefault="000B5012" w:rsidP="00C633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CC6BCF" w14:textId="0B70A546" w:rsidR="002330C6" w:rsidRDefault="00BD4211" w:rsidP="00C633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1" locked="0" layoutInCell="1" allowOverlap="1" wp14:anchorId="3A643666" wp14:editId="3981ABF9">
            <wp:simplePos x="0" y="0"/>
            <wp:positionH relativeFrom="column">
              <wp:posOffset>-69820</wp:posOffset>
            </wp:positionH>
            <wp:positionV relativeFrom="paragraph">
              <wp:posOffset>203200</wp:posOffset>
            </wp:positionV>
            <wp:extent cx="4974336" cy="3072384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336" cy="3072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30C6">
        <w:rPr>
          <w:rFonts w:ascii="Times New Roman" w:hAnsi="Times New Roman" w:cs="Times New Roman"/>
          <w:sz w:val="24"/>
          <w:szCs w:val="24"/>
        </w:rPr>
        <w:t xml:space="preserve">Figure 9. </w:t>
      </w:r>
      <w:r w:rsidR="00C85936">
        <w:rPr>
          <w:rFonts w:ascii="Times New Roman" w:hAnsi="Times New Roman" w:cs="Times New Roman"/>
          <w:sz w:val="24"/>
          <w:szCs w:val="24"/>
        </w:rPr>
        <w:t xml:space="preserve">Movement of </w:t>
      </w:r>
      <w:r w:rsidR="00CA1289">
        <w:rPr>
          <w:rFonts w:ascii="Times New Roman" w:hAnsi="Times New Roman" w:cs="Times New Roman"/>
          <w:sz w:val="24"/>
          <w:szCs w:val="24"/>
        </w:rPr>
        <w:t>Households Over Time</w:t>
      </w:r>
      <w:r w:rsidR="000502AB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</w:p>
    <w:p w14:paraId="75D79CEA" w14:textId="2C20BF3A" w:rsidR="006854CB" w:rsidRPr="007B29BD" w:rsidRDefault="006854CB" w:rsidP="00C633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6854CB" w:rsidRPr="007B29BD" w:rsidSect="007F0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33AA1" w14:textId="77777777" w:rsidR="002E4B8C" w:rsidRDefault="002E4B8C" w:rsidP="0059561B">
      <w:pPr>
        <w:spacing w:after="0" w:line="240" w:lineRule="auto"/>
      </w:pPr>
      <w:r>
        <w:separator/>
      </w:r>
    </w:p>
  </w:endnote>
  <w:endnote w:type="continuationSeparator" w:id="0">
    <w:p w14:paraId="585BA21A" w14:textId="77777777" w:rsidR="002E4B8C" w:rsidRDefault="002E4B8C" w:rsidP="00595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15108244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76D506" w14:textId="16D05FD9" w:rsidR="00C83EC4" w:rsidRPr="00C83EC4" w:rsidRDefault="00C83EC4">
        <w:pPr>
          <w:pStyle w:val="Footer"/>
          <w:jc w:val="right"/>
          <w:rPr>
            <w:rFonts w:ascii="Times New Roman" w:hAnsi="Times New Roman" w:cs="Times New Roman"/>
          </w:rPr>
        </w:pPr>
        <w:r w:rsidRPr="00C83EC4">
          <w:rPr>
            <w:rFonts w:ascii="Times New Roman" w:hAnsi="Times New Roman" w:cs="Times New Roman"/>
          </w:rPr>
          <w:fldChar w:fldCharType="begin"/>
        </w:r>
        <w:r w:rsidRPr="00C83EC4">
          <w:rPr>
            <w:rFonts w:ascii="Times New Roman" w:hAnsi="Times New Roman" w:cs="Times New Roman"/>
          </w:rPr>
          <w:instrText xml:space="preserve"> PAGE   \* MERGEFORMAT </w:instrText>
        </w:r>
        <w:r w:rsidRPr="00C83EC4">
          <w:rPr>
            <w:rFonts w:ascii="Times New Roman" w:hAnsi="Times New Roman" w:cs="Times New Roman"/>
          </w:rPr>
          <w:fldChar w:fldCharType="separate"/>
        </w:r>
        <w:r w:rsidRPr="00C83EC4">
          <w:rPr>
            <w:rFonts w:ascii="Times New Roman" w:hAnsi="Times New Roman" w:cs="Times New Roman"/>
            <w:noProof/>
          </w:rPr>
          <w:t>2</w:t>
        </w:r>
        <w:r w:rsidRPr="00C83EC4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45270EA0" w14:textId="77777777" w:rsidR="00C83EC4" w:rsidRPr="00C83EC4" w:rsidRDefault="00C83EC4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207FD" w14:textId="77777777" w:rsidR="002E4B8C" w:rsidRDefault="002E4B8C" w:rsidP="0059561B">
      <w:pPr>
        <w:spacing w:after="0" w:line="240" w:lineRule="auto"/>
      </w:pPr>
      <w:r>
        <w:separator/>
      </w:r>
    </w:p>
  </w:footnote>
  <w:footnote w:type="continuationSeparator" w:id="0">
    <w:p w14:paraId="197611D3" w14:textId="77777777" w:rsidR="002E4B8C" w:rsidRDefault="002E4B8C" w:rsidP="0059561B">
      <w:pPr>
        <w:spacing w:after="0" w:line="240" w:lineRule="auto"/>
      </w:pPr>
      <w:r>
        <w:continuationSeparator/>
      </w:r>
    </w:p>
  </w:footnote>
  <w:footnote w:id="1">
    <w:p w14:paraId="1652E66F" w14:textId="06C079A2" w:rsidR="003F1359" w:rsidRPr="000502AB" w:rsidRDefault="003F1359">
      <w:pPr>
        <w:pStyle w:val="FootnoteText"/>
        <w:rPr>
          <w:rFonts w:ascii="Times New Roman" w:hAnsi="Times New Roman" w:cs="Times New Roman"/>
        </w:rPr>
      </w:pPr>
      <w:r w:rsidRPr="000502AB">
        <w:rPr>
          <w:rStyle w:val="FootnoteReference"/>
          <w:rFonts w:ascii="Times New Roman" w:hAnsi="Times New Roman" w:cs="Times New Roman"/>
        </w:rPr>
        <w:footnoteRef/>
      </w:r>
      <w:r w:rsidRPr="000502AB">
        <w:rPr>
          <w:rFonts w:ascii="Times New Roman" w:hAnsi="Times New Roman" w:cs="Times New Roman"/>
        </w:rPr>
        <w:t xml:space="preserve"> Note: the formula in the slides </w:t>
      </w:r>
      <w:r w:rsidR="003871EA" w:rsidRPr="000502AB">
        <w:rPr>
          <w:rFonts w:ascii="Times New Roman" w:hAnsi="Times New Roman" w:cs="Times New Roman"/>
        </w:rPr>
        <w:t>uses percentages,</w:t>
      </w:r>
      <w:r w:rsidRPr="000502AB">
        <w:rPr>
          <w:rFonts w:ascii="Times New Roman" w:hAnsi="Times New Roman" w:cs="Times New Roman"/>
        </w:rPr>
        <w:t xml:space="preserve"> but </w:t>
      </w:r>
      <w:r w:rsidR="00283CB1" w:rsidRPr="000502AB">
        <w:rPr>
          <w:rFonts w:ascii="Times New Roman" w:hAnsi="Times New Roman" w:cs="Times New Roman"/>
        </w:rPr>
        <w:t xml:space="preserve">decimals </w:t>
      </w:r>
      <w:r w:rsidR="00AF6152" w:rsidRPr="000502AB">
        <w:rPr>
          <w:rFonts w:ascii="Times New Roman" w:hAnsi="Times New Roman" w:cs="Times New Roman"/>
        </w:rPr>
        <w:t xml:space="preserve">more accurately </w:t>
      </w:r>
      <w:r w:rsidR="00283CB1" w:rsidRPr="000502AB">
        <w:rPr>
          <w:rFonts w:ascii="Times New Roman" w:hAnsi="Times New Roman" w:cs="Times New Roman"/>
        </w:rPr>
        <w:t xml:space="preserve">reflect the calculation I </w:t>
      </w:r>
      <w:r w:rsidR="00767CE8" w:rsidRPr="000502AB">
        <w:rPr>
          <w:rFonts w:ascii="Times New Roman" w:hAnsi="Times New Roman" w:cs="Times New Roman"/>
        </w:rPr>
        <w:t>implemented</w:t>
      </w:r>
      <w:r w:rsidR="00283CB1" w:rsidRPr="000502AB">
        <w:rPr>
          <w:rFonts w:ascii="Times New Roman" w:hAnsi="Times New Roman" w:cs="Times New Roman"/>
        </w:rPr>
        <w:t xml:space="preserve"> here.</w:t>
      </w:r>
    </w:p>
  </w:footnote>
  <w:footnote w:id="2">
    <w:p w14:paraId="7B81334A" w14:textId="4A69D750" w:rsidR="000502AB" w:rsidRPr="000502AB" w:rsidRDefault="000502AB">
      <w:pPr>
        <w:pStyle w:val="FootnoteText"/>
        <w:rPr>
          <w:rFonts w:ascii="Times New Roman" w:hAnsi="Times New Roman" w:cs="Times New Roman"/>
        </w:rPr>
      </w:pPr>
      <w:r w:rsidRPr="000502AB">
        <w:rPr>
          <w:rStyle w:val="FootnoteReference"/>
          <w:rFonts w:ascii="Times New Roman" w:hAnsi="Times New Roman" w:cs="Times New Roman"/>
        </w:rPr>
        <w:footnoteRef/>
      </w:r>
      <w:r w:rsidRPr="000502AB">
        <w:rPr>
          <w:rFonts w:ascii="Times New Roman" w:hAnsi="Times New Roman" w:cs="Times New Roman"/>
        </w:rPr>
        <w:t xml:space="preserve"> Households that moved </w:t>
      </w:r>
      <w:r w:rsidR="00FB58BB">
        <w:rPr>
          <w:rFonts w:ascii="Times New Roman" w:hAnsi="Times New Roman" w:cs="Times New Roman"/>
        </w:rPr>
        <w:t xml:space="preserve">since 1 year ago </w:t>
      </w:r>
      <w:r w:rsidRPr="000502AB">
        <w:rPr>
          <w:rFonts w:ascii="Times New Roman" w:hAnsi="Times New Roman" w:cs="Times New Roman"/>
        </w:rPr>
        <w:t xml:space="preserve">are </w:t>
      </w:r>
      <w:r w:rsidR="008E67F3">
        <w:rPr>
          <w:rFonts w:ascii="Times New Roman" w:hAnsi="Times New Roman" w:cs="Times New Roman"/>
        </w:rPr>
        <w:t xml:space="preserve">calculated as </w:t>
      </w:r>
      <w:r w:rsidRPr="000502AB">
        <w:rPr>
          <w:rFonts w:ascii="Times New Roman" w:hAnsi="Times New Roman" w:cs="Times New Roman"/>
        </w:rPr>
        <w:t>the total number of households</w:t>
      </w:r>
      <w:r w:rsidR="00786E7E">
        <w:rPr>
          <w:rFonts w:ascii="Times New Roman" w:hAnsi="Times New Roman" w:cs="Times New Roman"/>
        </w:rPr>
        <w:t xml:space="preserve"> – households in the same house 1 year ago</w:t>
      </w:r>
      <w:r w:rsidRPr="000502AB">
        <w:rPr>
          <w:rFonts w:ascii="Times New Roman" w:hAnsi="Times New Roman" w:cs="Times New Roman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6A9E3" w14:textId="77777777" w:rsidR="00935293" w:rsidRDefault="00935293" w:rsidP="00935293">
    <w:pPr>
      <w:pStyle w:val="Header"/>
      <w:rPr>
        <w:rFonts w:ascii="Times New Roman" w:hAnsi="Times New Roman" w:cs="Times New Roman"/>
      </w:rPr>
    </w:pPr>
    <w:r w:rsidRPr="0059561B">
      <w:rPr>
        <w:rFonts w:ascii="Times New Roman" w:hAnsi="Times New Roman" w:cs="Times New Roman"/>
      </w:rPr>
      <w:t>Jennah Gosciak</w:t>
    </w:r>
  </w:p>
  <w:p w14:paraId="3E70530A" w14:textId="77777777" w:rsidR="00935293" w:rsidRPr="0059561B" w:rsidRDefault="00935293" w:rsidP="00935293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February 2</w:t>
    </w:r>
    <w:r w:rsidRPr="0059561B">
      <w:rPr>
        <w:rFonts w:ascii="Times New Roman" w:hAnsi="Times New Roman" w:cs="Times New Roman"/>
        <w:vertAlign w:val="superscript"/>
      </w:rPr>
      <w:t>nd</w:t>
    </w:r>
    <w:r>
      <w:rPr>
        <w:rFonts w:ascii="Times New Roman" w:hAnsi="Times New Roman" w:cs="Times New Roman"/>
      </w:rPr>
      <w:t>, 2022</w:t>
    </w:r>
  </w:p>
  <w:p w14:paraId="627860DE" w14:textId="77777777" w:rsidR="00935293" w:rsidRDefault="009352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61B"/>
    <w:rsid w:val="000037C2"/>
    <w:rsid w:val="00031DB2"/>
    <w:rsid w:val="0003427D"/>
    <w:rsid w:val="0004040D"/>
    <w:rsid w:val="00041083"/>
    <w:rsid w:val="00042C55"/>
    <w:rsid w:val="00045534"/>
    <w:rsid w:val="000502AB"/>
    <w:rsid w:val="000531CE"/>
    <w:rsid w:val="0005558C"/>
    <w:rsid w:val="0005721A"/>
    <w:rsid w:val="000665A1"/>
    <w:rsid w:val="00070C62"/>
    <w:rsid w:val="0009625D"/>
    <w:rsid w:val="000B5012"/>
    <w:rsid w:val="000D5B58"/>
    <w:rsid w:val="000E166E"/>
    <w:rsid w:val="000E344F"/>
    <w:rsid w:val="00114CF3"/>
    <w:rsid w:val="0012553C"/>
    <w:rsid w:val="00135C59"/>
    <w:rsid w:val="00150646"/>
    <w:rsid w:val="001532C9"/>
    <w:rsid w:val="00160541"/>
    <w:rsid w:val="00164BC1"/>
    <w:rsid w:val="00170FC6"/>
    <w:rsid w:val="001712ED"/>
    <w:rsid w:val="00172653"/>
    <w:rsid w:val="0018310F"/>
    <w:rsid w:val="001A2E0F"/>
    <w:rsid w:val="001A5B84"/>
    <w:rsid w:val="001B5841"/>
    <w:rsid w:val="001C6AFA"/>
    <w:rsid w:val="001C6E5A"/>
    <w:rsid w:val="001D016B"/>
    <w:rsid w:val="001D331B"/>
    <w:rsid w:val="001E4271"/>
    <w:rsid w:val="001E4B5C"/>
    <w:rsid w:val="001E7830"/>
    <w:rsid w:val="001F3817"/>
    <w:rsid w:val="001F44EC"/>
    <w:rsid w:val="00212227"/>
    <w:rsid w:val="00216B46"/>
    <w:rsid w:val="0022464A"/>
    <w:rsid w:val="002247B8"/>
    <w:rsid w:val="002330C6"/>
    <w:rsid w:val="00253A6F"/>
    <w:rsid w:val="00283CB1"/>
    <w:rsid w:val="0029423B"/>
    <w:rsid w:val="002A2D14"/>
    <w:rsid w:val="002A3AFE"/>
    <w:rsid w:val="002A68C4"/>
    <w:rsid w:val="002B132B"/>
    <w:rsid w:val="002B38E1"/>
    <w:rsid w:val="002B5BEB"/>
    <w:rsid w:val="002B6D47"/>
    <w:rsid w:val="002C168E"/>
    <w:rsid w:val="002E4B8C"/>
    <w:rsid w:val="003073B9"/>
    <w:rsid w:val="00310A84"/>
    <w:rsid w:val="003111B2"/>
    <w:rsid w:val="0031149D"/>
    <w:rsid w:val="0031255E"/>
    <w:rsid w:val="00313424"/>
    <w:rsid w:val="003154F2"/>
    <w:rsid w:val="003226DB"/>
    <w:rsid w:val="0033421A"/>
    <w:rsid w:val="00337399"/>
    <w:rsid w:val="00341976"/>
    <w:rsid w:val="003440D0"/>
    <w:rsid w:val="00347B02"/>
    <w:rsid w:val="00354B83"/>
    <w:rsid w:val="00360456"/>
    <w:rsid w:val="0036141B"/>
    <w:rsid w:val="00361682"/>
    <w:rsid w:val="00381264"/>
    <w:rsid w:val="00384702"/>
    <w:rsid w:val="003871EA"/>
    <w:rsid w:val="003911DF"/>
    <w:rsid w:val="003A170E"/>
    <w:rsid w:val="003B0E54"/>
    <w:rsid w:val="003B7630"/>
    <w:rsid w:val="003C037C"/>
    <w:rsid w:val="003D5338"/>
    <w:rsid w:val="003E299E"/>
    <w:rsid w:val="003E445C"/>
    <w:rsid w:val="003F0B99"/>
    <w:rsid w:val="003F1359"/>
    <w:rsid w:val="003F6A07"/>
    <w:rsid w:val="00412ED6"/>
    <w:rsid w:val="004211A4"/>
    <w:rsid w:val="004454A1"/>
    <w:rsid w:val="00447CD5"/>
    <w:rsid w:val="00451C33"/>
    <w:rsid w:val="00472AB7"/>
    <w:rsid w:val="00477C29"/>
    <w:rsid w:val="004A0FC6"/>
    <w:rsid w:val="004A3266"/>
    <w:rsid w:val="004B1781"/>
    <w:rsid w:val="004C0055"/>
    <w:rsid w:val="004C28AF"/>
    <w:rsid w:val="004C6CB0"/>
    <w:rsid w:val="004D1061"/>
    <w:rsid w:val="004D343C"/>
    <w:rsid w:val="00500DAD"/>
    <w:rsid w:val="00514E77"/>
    <w:rsid w:val="00523B19"/>
    <w:rsid w:val="00525DE6"/>
    <w:rsid w:val="00537B7A"/>
    <w:rsid w:val="00552428"/>
    <w:rsid w:val="00555AD1"/>
    <w:rsid w:val="005566F1"/>
    <w:rsid w:val="005569B8"/>
    <w:rsid w:val="00573FDE"/>
    <w:rsid w:val="00586EDA"/>
    <w:rsid w:val="0059561B"/>
    <w:rsid w:val="00597FF9"/>
    <w:rsid w:val="005A67EB"/>
    <w:rsid w:val="005B0FF7"/>
    <w:rsid w:val="005C2DCF"/>
    <w:rsid w:val="005D32FE"/>
    <w:rsid w:val="005D5976"/>
    <w:rsid w:val="005E6920"/>
    <w:rsid w:val="005F45D0"/>
    <w:rsid w:val="005F681F"/>
    <w:rsid w:val="0060314A"/>
    <w:rsid w:val="00604A43"/>
    <w:rsid w:val="00607844"/>
    <w:rsid w:val="00615BC2"/>
    <w:rsid w:val="00623671"/>
    <w:rsid w:val="00627A51"/>
    <w:rsid w:val="00636300"/>
    <w:rsid w:val="00653C83"/>
    <w:rsid w:val="00656EBD"/>
    <w:rsid w:val="0066577D"/>
    <w:rsid w:val="00665B6D"/>
    <w:rsid w:val="00676254"/>
    <w:rsid w:val="00681576"/>
    <w:rsid w:val="006854CB"/>
    <w:rsid w:val="006C46F1"/>
    <w:rsid w:val="006C4F48"/>
    <w:rsid w:val="006D28A3"/>
    <w:rsid w:val="006E36F1"/>
    <w:rsid w:val="006F6C38"/>
    <w:rsid w:val="00716E87"/>
    <w:rsid w:val="00731F43"/>
    <w:rsid w:val="00732404"/>
    <w:rsid w:val="00743A3C"/>
    <w:rsid w:val="00767CE8"/>
    <w:rsid w:val="0077503E"/>
    <w:rsid w:val="00786E7E"/>
    <w:rsid w:val="007930DD"/>
    <w:rsid w:val="007B29BD"/>
    <w:rsid w:val="007C0656"/>
    <w:rsid w:val="007C21E9"/>
    <w:rsid w:val="007C34DC"/>
    <w:rsid w:val="007D1011"/>
    <w:rsid w:val="007D74CD"/>
    <w:rsid w:val="007E7E76"/>
    <w:rsid w:val="007F00AC"/>
    <w:rsid w:val="007F0221"/>
    <w:rsid w:val="007F0F38"/>
    <w:rsid w:val="007F47E2"/>
    <w:rsid w:val="00811F3C"/>
    <w:rsid w:val="00812E34"/>
    <w:rsid w:val="00816A49"/>
    <w:rsid w:val="00830D5F"/>
    <w:rsid w:val="00835D85"/>
    <w:rsid w:val="008365AB"/>
    <w:rsid w:val="00840949"/>
    <w:rsid w:val="00841C94"/>
    <w:rsid w:val="00843937"/>
    <w:rsid w:val="00850A42"/>
    <w:rsid w:val="008512A2"/>
    <w:rsid w:val="008530DF"/>
    <w:rsid w:val="008556FE"/>
    <w:rsid w:val="00873144"/>
    <w:rsid w:val="00874913"/>
    <w:rsid w:val="008776DF"/>
    <w:rsid w:val="00884BA3"/>
    <w:rsid w:val="00892DAC"/>
    <w:rsid w:val="008A5FE4"/>
    <w:rsid w:val="008B299F"/>
    <w:rsid w:val="008B6B45"/>
    <w:rsid w:val="008C2B97"/>
    <w:rsid w:val="008C41CB"/>
    <w:rsid w:val="008D66AD"/>
    <w:rsid w:val="008E2C73"/>
    <w:rsid w:val="008E67F3"/>
    <w:rsid w:val="00904618"/>
    <w:rsid w:val="00910EF7"/>
    <w:rsid w:val="009160B9"/>
    <w:rsid w:val="00916CAA"/>
    <w:rsid w:val="0092035A"/>
    <w:rsid w:val="009319D0"/>
    <w:rsid w:val="00935293"/>
    <w:rsid w:val="0093621B"/>
    <w:rsid w:val="00967167"/>
    <w:rsid w:val="0097777D"/>
    <w:rsid w:val="009916E6"/>
    <w:rsid w:val="0099403A"/>
    <w:rsid w:val="009A0DBD"/>
    <w:rsid w:val="009B1137"/>
    <w:rsid w:val="009C4D1C"/>
    <w:rsid w:val="009D75DC"/>
    <w:rsid w:val="00A02FBB"/>
    <w:rsid w:val="00A03034"/>
    <w:rsid w:val="00A12C9C"/>
    <w:rsid w:val="00A13999"/>
    <w:rsid w:val="00A174FA"/>
    <w:rsid w:val="00A22032"/>
    <w:rsid w:val="00A2459D"/>
    <w:rsid w:val="00A469D6"/>
    <w:rsid w:val="00A541C5"/>
    <w:rsid w:val="00A724AF"/>
    <w:rsid w:val="00A7418B"/>
    <w:rsid w:val="00A90D82"/>
    <w:rsid w:val="00AA370C"/>
    <w:rsid w:val="00AA5996"/>
    <w:rsid w:val="00AC6299"/>
    <w:rsid w:val="00AF46B3"/>
    <w:rsid w:val="00AF6152"/>
    <w:rsid w:val="00B16989"/>
    <w:rsid w:val="00B20B9B"/>
    <w:rsid w:val="00B31BF7"/>
    <w:rsid w:val="00B37FC3"/>
    <w:rsid w:val="00B43528"/>
    <w:rsid w:val="00B53B80"/>
    <w:rsid w:val="00B66ACC"/>
    <w:rsid w:val="00B72315"/>
    <w:rsid w:val="00B8427C"/>
    <w:rsid w:val="00B848D2"/>
    <w:rsid w:val="00BA08C0"/>
    <w:rsid w:val="00BB59D9"/>
    <w:rsid w:val="00BB5E7B"/>
    <w:rsid w:val="00BD2A2C"/>
    <w:rsid w:val="00BD3DC4"/>
    <w:rsid w:val="00BD40E5"/>
    <w:rsid w:val="00BD4115"/>
    <w:rsid w:val="00BD4211"/>
    <w:rsid w:val="00BD4A15"/>
    <w:rsid w:val="00BD5433"/>
    <w:rsid w:val="00BD5713"/>
    <w:rsid w:val="00BE2864"/>
    <w:rsid w:val="00C03A23"/>
    <w:rsid w:val="00C0603B"/>
    <w:rsid w:val="00C41227"/>
    <w:rsid w:val="00C45E9C"/>
    <w:rsid w:val="00C478FD"/>
    <w:rsid w:val="00C562A2"/>
    <w:rsid w:val="00C57AF6"/>
    <w:rsid w:val="00C61C56"/>
    <w:rsid w:val="00C633C7"/>
    <w:rsid w:val="00C638B9"/>
    <w:rsid w:val="00C63D1B"/>
    <w:rsid w:val="00C66F65"/>
    <w:rsid w:val="00C67ACA"/>
    <w:rsid w:val="00C7414E"/>
    <w:rsid w:val="00C83EC4"/>
    <w:rsid w:val="00C85936"/>
    <w:rsid w:val="00C87BA8"/>
    <w:rsid w:val="00C9222E"/>
    <w:rsid w:val="00C92BF5"/>
    <w:rsid w:val="00C9433D"/>
    <w:rsid w:val="00C94722"/>
    <w:rsid w:val="00CA1289"/>
    <w:rsid w:val="00CA220F"/>
    <w:rsid w:val="00CA3074"/>
    <w:rsid w:val="00CA31DF"/>
    <w:rsid w:val="00CA53D4"/>
    <w:rsid w:val="00CB4D1F"/>
    <w:rsid w:val="00CC32A4"/>
    <w:rsid w:val="00CC4BD0"/>
    <w:rsid w:val="00CC521F"/>
    <w:rsid w:val="00CD1D9E"/>
    <w:rsid w:val="00CD22A9"/>
    <w:rsid w:val="00CE3569"/>
    <w:rsid w:val="00CE5991"/>
    <w:rsid w:val="00CF06F2"/>
    <w:rsid w:val="00CF3542"/>
    <w:rsid w:val="00D32A7B"/>
    <w:rsid w:val="00D34612"/>
    <w:rsid w:val="00D46876"/>
    <w:rsid w:val="00D55A2F"/>
    <w:rsid w:val="00D56EC5"/>
    <w:rsid w:val="00D8474C"/>
    <w:rsid w:val="00D84A18"/>
    <w:rsid w:val="00D86448"/>
    <w:rsid w:val="00D926FB"/>
    <w:rsid w:val="00DA0438"/>
    <w:rsid w:val="00DA1782"/>
    <w:rsid w:val="00DA3825"/>
    <w:rsid w:val="00DB2451"/>
    <w:rsid w:val="00DC3A8C"/>
    <w:rsid w:val="00DE51B1"/>
    <w:rsid w:val="00DF1625"/>
    <w:rsid w:val="00DF29DD"/>
    <w:rsid w:val="00E00DE8"/>
    <w:rsid w:val="00E16F44"/>
    <w:rsid w:val="00E2172E"/>
    <w:rsid w:val="00E23489"/>
    <w:rsid w:val="00E46505"/>
    <w:rsid w:val="00E53D58"/>
    <w:rsid w:val="00E75608"/>
    <w:rsid w:val="00E76038"/>
    <w:rsid w:val="00E76042"/>
    <w:rsid w:val="00E76CB7"/>
    <w:rsid w:val="00E77B17"/>
    <w:rsid w:val="00E77D3C"/>
    <w:rsid w:val="00E8031D"/>
    <w:rsid w:val="00E86820"/>
    <w:rsid w:val="00E90273"/>
    <w:rsid w:val="00EA472E"/>
    <w:rsid w:val="00EA67BA"/>
    <w:rsid w:val="00EC1CF4"/>
    <w:rsid w:val="00ED2D09"/>
    <w:rsid w:val="00ED3609"/>
    <w:rsid w:val="00ED42AB"/>
    <w:rsid w:val="00ED69FC"/>
    <w:rsid w:val="00ED72D3"/>
    <w:rsid w:val="00EE1AF2"/>
    <w:rsid w:val="00EE661B"/>
    <w:rsid w:val="00EF0E56"/>
    <w:rsid w:val="00EF5259"/>
    <w:rsid w:val="00F105AC"/>
    <w:rsid w:val="00F2270A"/>
    <w:rsid w:val="00F3242A"/>
    <w:rsid w:val="00F4077B"/>
    <w:rsid w:val="00F40884"/>
    <w:rsid w:val="00F53315"/>
    <w:rsid w:val="00F56AFA"/>
    <w:rsid w:val="00F61B10"/>
    <w:rsid w:val="00F748D1"/>
    <w:rsid w:val="00F768DB"/>
    <w:rsid w:val="00F931F2"/>
    <w:rsid w:val="00F9381D"/>
    <w:rsid w:val="00F95FA3"/>
    <w:rsid w:val="00F97117"/>
    <w:rsid w:val="00FA3EEF"/>
    <w:rsid w:val="00FB58BB"/>
    <w:rsid w:val="00FC65B5"/>
    <w:rsid w:val="00FC6CE8"/>
    <w:rsid w:val="00FE6D9A"/>
    <w:rsid w:val="00FF2A7F"/>
    <w:rsid w:val="00FF3166"/>
    <w:rsid w:val="00FF4FDC"/>
    <w:rsid w:val="00FF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04411"/>
  <w15:chartTrackingRefBased/>
  <w15:docId w15:val="{4C0790B8-B3C4-408D-9750-20C6B3498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5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61B"/>
  </w:style>
  <w:style w:type="paragraph" w:styleId="Footer">
    <w:name w:val="footer"/>
    <w:basedOn w:val="Normal"/>
    <w:link w:val="FooterChar"/>
    <w:uiPriority w:val="99"/>
    <w:unhideWhenUsed/>
    <w:rsid w:val="00595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61B"/>
  </w:style>
  <w:style w:type="character" w:styleId="Hyperlink">
    <w:name w:val="Hyperlink"/>
    <w:basedOn w:val="DefaultParagraphFont"/>
    <w:uiPriority w:val="99"/>
    <w:unhideWhenUsed/>
    <w:rsid w:val="00884B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BA3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F135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135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F1359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B66A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furmancenter.org/files/sotc/NYUFurmanCenter_SOCin2015_9JUNE2016.pdf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www.nytimes.com/2010/10/10/realestate/10living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C6C2E-2B9F-4AE7-A275-B4DDF5A09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8</Pages>
  <Words>1107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Jennah Gosciak</dc:creator>
  <cp:keywords/>
  <dc:description/>
  <cp:lastModifiedBy>Jennah Gosciak</cp:lastModifiedBy>
  <cp:revision>337</cp:revision>
  <cp:lastPrinted>2022-02-03T03:28:00Z</cp:lastPrinted>
  <dcterms:created xsi:type="dcterms:W3CDTF">2022-02-02T21:02:00Z</dcterms:created>
  <dcterms:modified xsi:type="dcterms:W3CDTF">2022-02-03T03:29:00Z</dcterms:modified>
</cp:coreProperties>
</file>