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  <Override PartName="/word/charts/style3.xml" ContentType="application/vnd.ms-office.chartstyle+xml"/>
  <Override PartName="/word/charts/colors3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53DD4" w14:textId="6A1A4445" w:rsidR="00B44029" w:rsidRDefault="00B44029" w:rsidP="00B440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&lt;Part 1 </w:t>
      </w:r>
      <w:proofErr w:type="gramStart"/>
      <w:r>
        <w:rPr>
          <w:rFonts w:ascii="Times New Roman" w:hAnsi="Times New Roman" w:cs="Times New Roman"/>
          <w:sz w:val="24"/>
          <w:szCs w:val="24"/>
        </w:rPr>
        <w:t>Plots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14:paraId="6E93742A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29DC6293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BC3203" wp14:editId="5AD79FD7">
            <wp:simplePos x="0" y="0"/>
            <wp:positionH relativeFrom="margin">
              <wp:align>center</wp:align>
            </wp:positionH>
            <wp:positionV relativeFrom="paragraph">
              <wp:posOffset>54086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06BE69DD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51EFE933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7BD21FEB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471F64C5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1A69B0B6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63ACF31B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7CF74D76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3663B555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2A305552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1B4603A8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680707D7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1BD399" wp14:editId="4F915BEA">
            <wp:simplePos x="0" y="0"/>
            <wp:positionH relativeFrom="margin">
              <wp:align>center</wp:align>
            </wp:positionH>
            <wp:positionV relativeFrom="paragraph">
              <wp:posOffset>2788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70C4ABB4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43FC081C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36CFED6B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61D3F424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1B49F3DA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7F1CC5D0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0DDDB1AE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0CF61018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56D41ED1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22AF1750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321E144E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46FDCFAC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1214E370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4665ED05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4F42AE89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67FF6DA" wp14:editId="462DD0AD">
            <wp:simplePos x="0" y="0"/>
            <wp:positionH relativeFrom="margin">
              <wp:align>center</wp:align>
            </wp:positionH>
            <wp:positionV relativeFrom="paragraph">
              <wp:posOffset>-138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4C2E8FD1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31501ACB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6920BDBA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281B7C90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41865AAF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5A51B228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0B2C866C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462D8133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5AC2628F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6E4BEA67" w14:textId="77777777" w:rsidR="00A70B44" w:rsidRDefault="00A70B44" w:rsidP="00B369B3">
      <w:pPr>
        <w:rPr>
          <w:rFonts w:ascii="Times New Roman" w:hAnsi="Times New Roman" w:cs="Times New Roman"/>
          <w:sz w:val="24"/>
          <w:szCs w:val="24"/>
        </w:rPr>
      </w:pPr>
    </w:p>
    <w:p w14:paraId="716C652E" w14:textId="2964C67B" w:rsidR="00A70B44" w:rsidRDefault="00B44029" w:rsidP="00B440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&lt;Part 1 Discussion&gt;</w:t>
      </w:r>
    </w:p>
    <w:p w14:paraId="10AB789D" w14:textId="370BD3CD" w:rsidR="00B44029" w:rsidRPr="00B44029" w:rsidRDefault="00B44029" w:rsidP="00B440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029"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B44029">
        <w:rPr>
          <w:rFonts w:ascii="Times New Roman" w:hAnsi="Times New Roman" w:cs="Times New Roman"/>
          <w:b/>
          <w:sz w:val="24"/>
          <w:szCs w:val="24"/>
        </w:rPr>
        <w:t>Why is it justified to use the LU or QR-factorizations as opposed of calculating</w:t>
      </w:r>
      <w:r w:rsidRPr="00B44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029">
        <w:rPr>
          <w:rFonts w:ascii="Times New Roman" w:hAnsi="Times New Roman" w:cs="Times New Roman"/>
          <w:b/>
          <w:sz w:val="24"/>
          <w:szCs w:val="24"/>
        </w:rPr>
        <w:t>an inverse matrix?</w:t>
      </w:r>
    </w:p>
    <w:p w14:paraId="667287F9" w14:textId="77777777" w:rsidR="00B647A1" w:rsidRPr="00B44029" w:rsidRDefault="00DC407C" w:rsidP="00B44029">
      <w:pPr>
        <w:rPr>
          <w:rFonts w:ascii="Times New Roman" w:hAnsi="Times New Roman" w:cs="Times New Roman"/>
          <w:sz w:val="24"/>
          <w:szCs w:val="24"/>
        </w:rPr>
      </w:pPr>
      <w:r w:rsidRPr="00B44029">
        <w:rPr>
          <w:rFonts w:ascii="Times New Roman" w:hAnsi="Times New Roman" w:cs="Times New Roman"/>
          <w:sz w:val="24"/>
          <w:szCs w:val="24"/>
        </w:rPr>
        <w:t>I</w:t>
      </w:r>
      <w:r w:rsidR="00B369B3" w:rsidRPr="00B44029">
        <w:rPr>
          <w:rFonts w:ascii="Times New Roman" w:hAnsi="Times New Roman" w:cs="Times New Roman"/>
          <w:sz w:val="24"/>
          <w:szCs w:val="24"/>
        </w:rPr>
        <w:t>t is justified to use the LU or QR-factorizations as opposed to calculating an inverse matrix because when compared to directly calculating the inverse of a matrix, the solutions given by using these factorizations are more numerically stable, as we can see with their condition numbers. A condition number is essentially a measure of how “</w:t>
      </w:r>
      <w:r w:rsidR="00B647A1" w:rsidRPr="00B44029">
        <w:rPr>
          <w:rFonts w:ascii="Times New Roman" w:hAnsi="Times New Roman" w:cs="Times New Roman"/>
          <w:sz w:val="24"/>
          <w:szCs w:val="24"/>
        </w:rPr>
        <w:t>conditioned</w:t>
      </w:r>
      <w:r w:rsidR="00B369B3" w:rsidRPr="00B44029">
        <w:rPr>
          <w:rFonts w:ascii="Times New Roman" w:hAnsi="Times New Roman" w:cs="Times New Roman"/>
          <w:sz w:val="24"/>
          <w:szCs w:val="24"/>
        </w:rPr>
        <w:t>”</w:t>
      </w:r>
      <w:r w:rsidR="00B647A1" w:rsidRPr="00B44029">
        <w:rPr>
          <w:rFonts w:ascii="Times New Roman" w:hAnsi="Times New Roman" w:cs="Times New Roman"/>
          <w:sz w:val="24"/>
          <w:szCs w:val="24"/>
        </w:rPr>
        <w:t xml:space="preserve"> a matrix is: if the number is low, the matrix is </w:t>
      </w:r>
      <w:proofErr w:type="gramStart"/>
      <w:r w:rsidR="00B647A1" w:rsidRPr="00B44029">
        <w:rPr>
          <w:rFonts w:ascii="Times New Roman" w:hAnsi="Times New Roman" w:cs="Times New Roman"/>
          <w:sz w:val="24"/>
          <w:szCs w:val="24"/>
        </w:rPr>
        <w:t>well-conditioned</w:t>
      </w:r>
      <w:proofErr w:type="gramEnd"/>
      <w:r w:rsidR="00B647A1" w:rsidRPr="00B44029">
        <w:rPr>
          <w:rFonts w:ascii="Times New Roman" w:hAnsi="Times New Roman" w:cs="Times New Roman"/>
          <w:sz w:val="24"/>
          <w:szCs w:val="24"/>
        </w:rPr>
        <w:t>, if the number is high, the matrix is ill-conditioned. T</w:t>
      </w:r>
      <w:r w:rsidR="00B369B3" w:rsidRPr="00B44029">
        <w:rPr>
          <w:rFonts w:ascii="Times New Roman" w:hAnsi="Times New Roman" w:cs="Times New Roman"/>
          <w:sz w:val="24"/>
          <w:szCs w:val="24"/>
        </w:rPr>
        <w:t>herefore, if a matrix has a</w:t>
      </w:r>
      <w:r w:rsidR="00B647A1" w:rsidRPr="00B44029">
        <w:rPr>
          <w:rFonts w:ascii="Times New Roman" w:hAnsi="Times New Roman" w:cs="Times New Roman"/>
          <w:sz w:val="24"/>
          <w:szCs w:val="24"/>
        </w:rPr>
        <w:t>n ill-</w:t>
      </w:r>
      <w:r w:rsidR="00B369B3" w:rsidRPr="00B44029">
        <w:rPr>
          <w:rFonts w:ascii="Times New Roman" w:hAnsi="Times New Roman" w:cs="Times New Roman"/>
          <w:sz w:val="24"/>
          <w:szCs w:val="24"/>
        </w:rPr>
        <w:t>condition</w:t>
      </w:r>
      <w:r w:rsidR="00B647A1" w:rsidRPr="00B44029">
        <w:rPr>
          <w:rFonts w:ascii="Times New Roman" w:hAnsi="Times New Roman" w:cs="Times New Roman"/>
          <w:sz w:val="24"/>
          <w:szCs w:val="24"/>
        </w:rPr>
        <w:t>ed condition</w:t>
      </w:r>
      <w:r w:rsidR="00B369B3" w:rsidRPr="00B44029">
        <w:rPr>
          <w:rFonts w:ascii="Times New Roman" w:hAnsi="Times New Roman" w:cs="Times New Roman"/>
          <w:sz w:val="24"/>
          <w:szCs w:val="24"/>
        </w:rPr>
        <w:t xml:space="preserve"> number, the solutions are unstable</w:t>
      </w:r>
      <w:r w:rsidR="00B647A1" w:rsidRPr="00B44029">
        <w:rPr>
          <w:rFonts w:ascii="Times New Roman" w:hAnsi="Times New Roman" w:cs="Times New Roman"/>
          <w:sz w:val="24"/>
          <w:szCs w:val="24"/>
        </w:rPr>
        <w:t>, or more sensitive,</w:t>
      </w:r>
      <w:r w:rsidR="00B369B3" w:rsidRPr="00B44029">
        <w:rPr>
          <w:rFonts w:ascii="Times New Roman" w:hAnsi="Times New Roman" w:cs="Times New Roman"/>
          <w:sz w:val="24"/>
          <w:szCs w:val="24"/>
        </w:rPr>
        <w:t xml:space="preserve"> with respect to small changes in data.</w:t>
      </w:r>
      <w:r w:rsidR="00B647A1" w:rsidRPr="00B44029">
        <w:rPr>
          <w:rFonts w:ascii="Times New Roman" w:hAnsi="Times New Roman" w:cs="Times New Roman"/>
          <w:sz w:val="24"/>
          <w:szCs w:val="24"/>
        </w:rPr>
        <w:t xml:space="preserve"> LU and QR-factorizations have low condition numbers, while simply calculating an inverse matrix </w:t>
      </w:r>
      <w:r w:rsidR="0043086E" w:rsidRPr="00B44029">
        <w:rPr>
          <w:rFonts w:ascii="Times New Roman" w:hAnsi="Times New Roman" w:cs="Times New Roman"/>
          <w:sz w:val="24"/>
          <w:szCs w:val="24"/>
        </w:rPr>
        <w:t>can result</w:t>
      </w:r>
      <w:r w:rsidR="00B647A1" w:rsidRPr="00B44029">
        <w:rPr>
          <w:rFonts w:ascii="Times New Roman" w:hAnsi="Times New Roman" w:cs="Times New Roman"/>
          <w:sz w:val="24"/>
          <w:szCs w:val="24"/>
        </w:rPr>
        <w:t xml:space="preserve"> in a high condition number.</w:t>
      </w:r>
    </w:p>
    <w:p w14:paraId="52D75BCF" w14:textId="77777777" w:rsidR="00DC407C" w:rsidRDefault="00DC407C" w:rsidP="00B44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with trying to find the inverse of a matrix A, you must solve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sets of equations with the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columns of the identity matrix, which can take a long time and be quite tedious. However, with LU and QR-factorizations, for calculations of each column of the inverse of the A matrix, the coefficient matrix A does not change. So, if these methods are used, the factorization needs to be done only once, with the forward substitution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times, and the back substitution </w:t>
      </w:r>
      <w:r w:rsidRPr="00DC40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407C">
        <w:rPr>
          <w:rFonts w:ascii="Times New Roman" w:hAnsi="Times New Roman" w:cs="Times New Roman"/>
          <w:sz w:val="24"/>
          <w:szCs w:val="24"/>
        </w:rPr>
        <w:t>times.</w:t>
      </w:r>
    </w:p>
    <w:p w14:paraId="2AE9F3CF" w14:textId="77777777" w:rsidR="00F358B4" w:rsidRDefault="00F358B4" w:rsidP="00F358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C3B1D58" w14:textId="77777777" w:rsidR="00DC407C" w:rsidRPr="00B44029" w:rsidRDefault="00DC407C" w:rsidP="00DC407C">
      <w:pPr>
        <w:rPr>
          <w:rFonts w:ascii="Times New Roman" w:hAnsi="Times New Roman" w:cs="Times New Roman"/>
          <w:b/>
          <w:sz w:val="24"/>
          <w:szCs w:val="24"/>
        </w:rPr>
      </w:pPr>
    </w:p>
    <w:p w14:paraId="60F87568" w14:textId="225CBB0A" w:rsidR="00B44029" w:rsidRPr="00B44029" w:rsidRDefault="00B44029" w:rsidP="00B440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029"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B44029">
        <w:rPr>
          <w:rFonts w:ascii="Times New Roman" w:hAnsi="Times New Roman" w:cs="Times New Roman"/>
          <w:b/>
          <w:sz w:val="24"/>
          <w:szCs w:val="24"/>
        </w:rPr>
        <w:t>What is the benefit of using LU or QR-factorizations in this way? (Your 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029">
        <w:rPr>
          <w:rFonts w:ascii="Times New Roman" w:hAnsi="Times New Roman" w:cs="Times New Roman"/>
          <w:b/>
          <w:sz w:val="24"/>
          <w:szCs w:val="24"/>
        </w:rPr>
        <w:t>should consider the benefit in terms of conditioning error.)</w:t>
      </w:r>
    </w:p>
    <w:p w14:paraId="70503694" w14:textId="77777777" w:rsidR="00B44029" w:rsidRDefault="00B44029" w:rsidP="00B44029">
      <w:pPr>
        <w:rPr>
          <w:rFonts w:ascii="Times New Roman" w:hAnsi="Times New Roman" w:cs="Times New Roman"/>
          <w:sz w:val="24"/>
          <w:szCs w:val="24"/>
        </w:rPr>
      </w:pPr>
    </w:p>
    <w:p w14:paraId="32E1AE4F" w14:textId="77777777" w:rsidR="0042764C" w:rsidRPr="00B44029" w:rsidRDefault="00DC407C" w:rsidP="00B44029">
      <w:pPr>
        <w:rPr>
          <w:rFonts w:ascii="Times New Roman" w:hAnsi="Times New Roman" w:cs="Times New Roman"/>
          <w:sz w:val="24"/>
          <w:szCs w:val="24"/>
        </w:rPr>
      </w:pPr>
      <w:r w:rsidRPr="00B44029">
        <w:rPr>
          <w:rFonts w:ascii="Times New Roman" w:hAnsi="Times New Roman" w:cs="Times New Roman"/>
          <w:sz w:val="24"/>
          <w:szCs w:val="24"/>
        </w:rPr>
        <w:lastRenderedPageBreak/>
        <w:t>There are a few benefits to using LU or QR-factorizations in this way; one of them comes from using forward and backward substitution. For example, if you have a lower-triangular matrix, you can use forward substitution; one the other hand, if you have an upper-triangular matrix, you can use backward substitution. This essentially me</w:t>
      </w:r>
      <w:r w:rsidR="0042764C" w:rsidRPr="00B44029">
        <w:rPr>
          <w:rFonts w:ascii="Times New Roman" w:hAnsi="Times New Roman" w:cs="Times New Roman"/>
          <w:sz w:val="24"/>
          <w:szCs w:val="24"/>
        </w:rPr>
        <w:t xml:space="preserve">ans that, through a program on the computer, to solve a matrix, all you have to do is to run the LU </w:t>
      </w:r>
      <w:proofErr w:type="gramStart"/>
      <w:r w:rsidR="0042764C" w:rsidRPr="00B44029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42764C" w:rsidRPr="00B44029">
        <w:rPr>
          <w:rFonts w:ascii="Times New Roman" w:hAnsi="Times New Roman" w:cs="Times New Roman"/>
          <w:sz w:val="24"/>
          <w:szCs w:val="24"/>
        </w:rPr>
        <w:t xml:space="preserve"> QR decompositions for matrix A, and then use forward or backward substitution </w:t>
      </w:r>
      <w:r w:rsidR="0043086E" w:rsidRPr="00B44029">
        <w:rPr>
          <w:rFonts w:ascii="Times New Roman" w:hAnsi="Times New Roman" w:cs="Times New Roman"/>
          <w:sz w:val="24"/>
          <w:szCs w:val="24"/>
        </w:rPr>
        <w:t>when</w:t>
      </w:r>
      <w:r w:rsidR="0042764C" w:rsidRPr="00B44029">
        <w:rPr>
          <w:rFonts w:ascii="Times New Roman" w:hAnsi="Times New Roman" w:cs="Times New Roman"/>
          <w:sz w:val="24"/>
          <w:szCs w:val="24"/>
        </w:rPr>
        <w:t xml:space="preserve"> </w:t>
      </w:r>
      <w:r w:rsidR="0043086E" w:rsidRPr="00B44029">
        <w:rPr>
          <w:rFonts w:ascii="Times New Roman" w:hAnsi="Times New Roman" w:cs="Times New Roman"/>
          <w:sz w:val="24"/>
          <w:szCs w:val="24"/>
        </w:rPr>
        <w:t>necessary.</w:t>
      </w:r>
      <w:r w:rsidR="0042764C" w:rsidRPr="00B44029">
        <w:rPr>
          <w:rFonts w:ascii="Times New Roman" w:hAnsi="Times New Roman" w:cs="Times New Roman"/>
          <w:sz w:val="24"/>
          <w:szCs w:val="24"/>
        </w:rPr>
        <w:t xml:space="preserve"> After substitution, you will have solved the equation Ax = b.</w:t>
      </w:r>
      <w:r w:rsidRPr="00B440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8D190" w14:textId="77777777" w:rsidR="0042764C" w:rsidRPr="0042764C" w:rsidRDefault="0042764C" w:rsidP="00B440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2764C">
        <w:rPr>
          <w:rFonts w:ascii="Times New Roman" w:hAnsi="Times New Roman" w:cs="Times New Roman"/>
          <w:sz w:val="24"/>
          <w:szCs w:val="24"/>
        </w:rPr>
        <w:t xml:space="preserve">Back to the condition number, however, </w:t>
      </w:r>
      <w:r>
        <w:rPr>
          <w:rFonts w:ascii="Times New Roman" w:hAnsi="Times New Roman" w:cs="Times New Roman"/>
          <w:sz w:val="24"/>
          <w:szCs w:val="24"/>
        </w:rPr>
        <w:t xml:space="preserve">the benefits of using these decompositions clearly outweigh the benefits of calculating an inverse matrix, which has hardly any. The condition number, or conditional error, of a nonsingular matrix A is found with the equation </w:t>
      </w:r>
      <w:r w:rsidRPr="0042764C">
        <w:rPr>
          <w:rFonts w:ascii="Times New Roman" w:hAnsi="Times New Roman" w:cs="Times New Roman"/>
          <w:sz w:val="24"/>
          <w:szCs w:val="24"/>
        </w:rPr>
        <w:t>κ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</m:oMath>
      <w:r w:rsidRPr="0042764C">
        <w:rPr>
          <w:rFonts w:ascii="Times New Roman" w:eastAsiaTheme="minorEastAsia" w:hAnsi="Times New Roman" w:cs="Times New Roman"/>
          <w:sz w:val="24"/>
          <w:szCs w:val="24"/>
        </w:rPr>
        <w:t xml:space="preserve">. A is a well-conditioned matrix if </w:t>
      </w:r>
      <w:r w:rsidRPr="0042764C">
        <w:rPr>
          <w:rFonts w:ascii="Times New Roman" w:hAnsi="Times New Roman" w:cs="Times New Roman"/>
          <w:sz w:val="24"/>
          <w:szCs w:val="24"/>
        </w:rPr>
        <w:t>κ(A)</w:t>
      </w:r>
      <w:r>
        <w:rPr>
          <w:rFonts w:ascii="Times New Roman" w:hAnsi="Times New Roman" w:cs="Times New Roman"/>
          <w:sz w:val="24"/>
          <w:szCs w:val="24"/>
        </w:rPr>
        <w:t xml:space="preserve"> is close to 1, meaning the relative error in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not much larger than the relative error in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A is an ill-conditioned matrix if </w:t>
      </w:r>
      <w:proofErr w:type="gramStart"/>
      <w:r w:rsidRPr="0042764C">
        <w:rPr>
          <w:rFonts w:ascii="Times New Roman" w:hAnsi="Times New Roman" w:cs="Times New Roman"/>
          <w:sz w:val="24"/>
          <w:szCs w:val="24"/>
        </w:rPr>
        <w:t>κ(</w:t>
      </w:r>
      <w:proofErr w:type="gramEnd"/>
      <w:r w:rsidRPr="0042764C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is large, meaning the relative error in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can be much larger than the relative error in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58B4">
        <w:rPr>
          <w:rFonts w:ascii="Times New Roman" w:hAnsi="Times New Roman" w:cs="Times New Roman"/>
          <w:sz w:val="24"/>
          <w:szCs w:val="24"/>
        </w:rPr>
        <w:t xml:space="preserve"> The matrices the LU and QR-factorizations produce are generally well-conditioned matrices, with low conditional error.</w:t>
      </w:r>
    </w:p>
    <w:sectPr w:rsidR="0042764C" w:rsidRPr="0042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137D2"/>
    <w:multiLevelType w:val="hybridMultilevel"/>
    <w:tmpl w:val="747C1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A7F1C"/>
    <w:multiLevelType w:val="hybridMultilevel"/>
    <w:tmpl w:val="6CB27DEE"/>
    <w:lvl w:ilvl="0" w:tplc="9322F9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474C8"/>
    <w:multiLevelType w:val="hybridMultilevel"/>
    <w:tmpl w:val="4FC2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8E8"/>
    <w:rsid w:val="00010254"/>
    <w:rsid w:val="00032865"/>
    <w:rsid w:val="00045D6F"/>
    <w:rsid w:val="00047C5A"/>
    <w:rsid w:val="000768CB"/>
    <w:rsid w:val="00083A3C"/>
    <w:rsid w:val="00090CDD"/>
    <w:rsid w:val="00094CAD"/>
    <w:rsid w:val="000B7295"/>
    <w:rsid w:val="000C1F2C"/>
    <w:rsid w:val="000C6F18"/>
    <w:rsid w:val="000E7C0F"/>
    <w:rsid w:val="0016370D"/>
    <w:rsid w:val="001676CE"/>
    <w:rsid w:val="00170545"/>
    <w:rsid w:val="00183BDD"/>
    <w:rsid w:val="001D092C"/>
    <w:rsid w:val="001E1986"/>
    <w:rsid w:val="00203251"/>
    <w:rsid w:val="002046F7"/>
    <w:rsid w:val="0022471C"/>
    <w:rsid w:val="002507DB"/>
    <w:rsid w:val="0026291F"/>
    <w:rsid w:val="0026728D"/>
    <w:rsid w:val="0028702E"/>
    <w:rsid w:val="002877BD"/>
    <w:rsid w:val="002917D4"/>
    <w:rsid w:val="002C2799"/>
    <w:rsid w:val="002C7686"/>
    <w:rsid w:val="0031144F"/>
    <w:rsid w:val="00312844"/>
    <w:rsid w:val="0033685B"/>
    <w:rsid w:val="00353E31"/>
    <w:rsid w:val="00365CB3"/>
    <w:rsid w:val="00370848"/>
    <w:rsid w:val="003954BF"/>
    <w:rsid w:val="003A15A5"/>
    <w:rsid w:val="003A3001"/>
    <w:rsid w:val="003C3846"/>
    <w:rsid w:val="003D2DC1"/>
    <w:rsid w:val="003E23FB"/>
    <w:rsid w:val="003F21D7"/>
    <w:rsid w:val="003F68A2"/>
    <w:rsid w:val="004001AC"/>
    <w:rsid w:val="00403D14"/>
    <w:rsid w:val="00413949"/>
    <w:rsid w:val="0042764C"/>
    <w:rsid w:val="0043086E"/>
    <w:rsid w:val="004401F0"/>
    <w:rsid w:val="00445283"/>
    <w:rsid w:val="00453B93"/>
    <w:rsid w:val="004744A4"/>
    <w:rsid w:val="004845B5"/>
    <w:rsid w:val="004918DC"/>
    <w:rsid w:val="004A4E0E"/>
    <w:rsid w:val="004A59FC"/>
    <w:rsid w:val="004D342A"/>
    <w:rsid w:val="004D46C2"/>
    <w:rsid w:val="004F4A0D"/>
    <w:rsid w:val="005067F3"/>
    <w:rsid w:val="005A2337"/>
    <w:rsid w:val="005E15FC"/>
    <w:rsid w:val="005F5984"/>
    <w:rsid w:val="0061030D"/>
    <w:rsid w:val="006154B4"/>
    <w:rsid w:val="00636F8D"/>
    <w:rsid w:val="0064005F"/>
    <w:rsid w:val="00687F86"/>
    <w:rsid w:val="00694BB6"/>
    <w:rsid w:val="006A6747"/>
    <w:rsid w:val="006B2A72"/>
    <w:rsid w:val="006B4052"/>
    <w:rsid w:val="006D2276"/>
    <w:rsid w:val="006D605D"/>
    <w:rsid w:val="006D7D1E"/>
    <w:rsid w:val="006E48B3"/>
    <w:rsid w:val="006F3C71"/>
    <w:rsid w:val="007303F6"/>
    <w:rsid w:val="00742B6F"/>
    <w:rsid w:val="0075373D"/>
    <w:rsid w:val="00753C98"/>
    <w:rsid w:val="0075794B"/>
    <w:rsid w:val="007833B3"/>
    <w:rsid w:val="007B74D3"/>
    <w:rsid w:val="007C18C3"/>
    <w:rsid w:val="007F0B9E"/>
    <w:rsid w:val="007F6ABA"/>
    <w:rsid w:val="00816BB1"/>
    <w:rsid w:val="00817DE6"/>
    <w:rsid w:val="00830D17"/>
    <w:rsid w:val="00853F83"/>
    <w:rsid w:val="0085798C"/>
    <w:rsid w:val="0086091E"/>
    <w:rsid w:val="00865B2A"/>
    <w:rsid w:val="008C02AB"/>
    <w:rsid w:val="008D2A5D"/>
    <w:rsid w:val="008D56DD"/>
    <w:rsid w:val="008F145C"/>
    <w:rsid w:val="008F1A69"/>
    <w:rsid w:val="0091325B"/>
    <w:rsid w:val="00913FEA"/>
    <w:rsid w:val="00925A93"/>
    <w:rsid w:val="00945AA9"/>
    <w:rsid w:val="00991AD6"/>
    <w:rsid w:val="009A58E8"/>
    <w:rsid w:val="00A05556"/>
    <w:rsid w:val="00A24B43"/>
    <w:rsid w:val="00A41201"/>
    <w:rsid w:val="00A528F6"/>
    <w:rsid w:val="00A70B44"/>
    <w:rsid w:val="00AC1F85"/>
    <w:rsid w:val="00AD626A"/>
    <w:rsid w:val="00AF75D4"/>
    <w:rsid w:val="00B0485C"/>
    <w:rsid w:val="00B068AD"/>
    <w:rsid w:val="00B16896"/>
    <w:rsid w:val="00B2255C"/>
    <w:rsid w:val="00B3334F"/>
    <w:rsid w:val="00B36112"/>
    <w:rsid w:val="00B369B3"/>
    <w:rsid w:val="00B44029"/>
    <w:rsid w:val="00B510C1"/>
    <w:rsid w:val="00B62203"/>
    <w:rsid w:val="00B643EF"/>
    <w:rsid w:val="00B647A1"/>
    <w:rsid w:val="00BB2F9F"/>
    <w:rsid w:val="00BC6DA6"/>
    <w:rsid w:val="00BD7D83"/>
    <w:rsid w:val="00BE1BC3"/>
    <w:rsid w:val="00C028C3"/>
    <w:rsid w:val="00C11A19"/>
    <w:rsid w:val="00C813C6"/>
    <w:rsid w:val="00C86C54"/>
    <w:rsid w:val="00C9136A"/>
    <w:rsid w:val="00CB15E0"/>
    <w:rsid w:val="00CB6566"/>
    <w:rsid w:val="00CE1884"/>
    <w:rsid w:val="00D14A95"/>
    <w:rsid w:val="00D33940"/>
    <w:rsid w:val="00D45BD0"/>
    <w:rsid w:val="00D47ABB"/>
    <w:rsid w:val="00D777D7"/>
    <w:rsid w:val="00D91465"/>
    <w:rsid w:val="00DC407C"/>
    <w:rsid w:val="00DE75EC"/>
    <w:rsid w:val="00E228E2"/>
    <w:rsid w:val="00E40C65"/>
    <w:rsid w:val="00E5619B"/>
    <w:rsid w:val="00E71281"/>
    <w:rsid w:val="00E74062"/>
    <w:rsid w:val="00EB72AE"/>
    <w:rsid w:val="00EC067B"/>
    <w:rsid w:val="00ED04C2"/>
    <w:rsid w:val="00ED3FD0"/>
    <w:rsid w:val="00EE4DE6"/>
    <w:rsid w:val="00EE7556"/>
    <w:rsid w:val="00EE7F10"/>
    <w:rsid w:val="00F15967"/>
    <w:rsid w:val="00F174E4"/>
    <w:rsid w:val="00F358B4"/>
    <w:rsid w:val="00F57EE1"/>
    <w:rsid w:val="00F960C6"/>
    <w:rsid w:val="00F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B262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6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6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vienne\Desktop\error_plots.xlsx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vienne\Desktop\error_plots.xlsx" TargetMode="External"/><Relationship Id="rId2" Type="http://schemas.microsoft.com/office/2011/relationships/chartStyle" Target="style2.xml"/><Relationship Id="rId3" Type="http://schemas.microsoft.com/office/2011/relationships/chartColorStyle" Target="colors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vienne\Desktop\error_plots.xlsx" TargetMode="External"/><Relationship Id="rId2" Type="http://schemas.microsoft.com/office/2011/relationships/chartStyle" Target="style3.xml"/><Relationship Id="rId3" Type="http://schemas.microsoft.com/office/2011/relationships/chartColorStyle" Target="colors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 error vs. n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0.75</c:v>
                </c:pt>
                <c:pt idx="1">
                  <c:v>0.91666667</c:v>
                </c:pt>
                <c:pt idx="2">
                  <c:v>1.04166667</c:v>
                </c:pt>
                <c:pt idx="3">
                  <c:v>1.14166667</c:v>
                </c:pt>
                <c:pt idx="4">
                  <c:v>1.225</c:v>
                </c:pt>
                <c:pt idx="5">
                  <c:v>1.29642857</c:v>
                </c:pt>
                <c:pt idx="6">
                  <c:v>1.37599206</c:v>
                </c:pt>
                <c:pt idx="7">
                  <c:v>1.45747354</c:v>
                </c:pt>
                <c:pt idx="8">
                  <c:v>1.53171597</c:v>
                </c:pt>
                <c:pt idx="9">
                  <c:v>1.59989779</c:v>
                </c:pt>
                <c:pt idx="10">
                  <c:v>1.66293198</c:v>
                </c:pt>
                <c:pt idx="11">
                  <c:v>1.72154003</c:v>
                </c:pt>
                <c:pt idx="12">
                  <c:v>1.77630194</c:v>
                </c:pt>
                <c:pt idx="13">
                  <c:v>1.82769083</c:v>
                </c:pt>
                <c:pt idx="14">
                  <c:v>1.87609769</c:v>
                </c:pt>
                <c:pt idx="15">
                  <c:v>1.92184932</c:v>
                </c:pt>
                <c:pt idx="16">
                  <c:v>1.96522164</c:v>
                </c:pt>
                <c:pt idx="17">
                  <c:v>2.00644971</c:v>
                </c:pt>
                <c:pt idx="18">
                  <c:v>2.04573543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9147320"/>
        <c:axId val="-2133603464"/>
      </c:scatterChart>
      <c:valAx>
        <c:axId val="-2129147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3603464"/>
        <c:crosses val="autoZero"/>
        <c:crossBetween val="midCat"/>
      </c:valAx>
      <c:valAx>
        <c:axId val="-2133603464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LU error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9147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QR</a:t>
            </a:r>
            <a:r>
              <a:rPr lang="en-US" baseline="0"/>
              <a:t> Givens error vs. n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</c:numCache>
            </c:numRef>
          </c:xVal>
          <c:yVal>
            <c:numRef>
              <c:f>Sheet1!$C$2:$C$20</c:f>
              <c:numCache>
                <c:formatCode>0.00E+00</c:formatCode>
                <c:ptCount val="19"/>
                <c:pt idx="0">
                  <c:v>1.11022302E-16</c:v>
                </c:pt>
                <c:pt idx="1">
                  <c:v>2.77555756E-16</c:v>
                </c:pt>
                <c:pt idx="2">
                  <c:v>3.60822483E-16</c:v>
                </c:pt>
                <c:pt idx="3">
                  <c:v>3.60822483E-16</c:v>
                </c:pt>
                <c:pt idx="4">
                  <c:v>3.05311332E-16</c:v>
                </c:pt>
                <c:pt idx="5">
                  <c:v>4.4408921E-16</c:v>
                </c:pt>
                <c:pt idx="6">
                  <c:v>3.1918912E-16</c:v>
                </c:pt>
                <c:pt idx="7">
                  <c:v>5.27355937E-16</c:v>
                </c:pt>
                <c:pt idx="8">
                  <c:v>3.60822483E-16</c:v>
                </c:pt>
                <c:pt idx="9">
                  <c:v>8.04911693000002E-16</c:v>
                </c:pt>
                <c:pt idx="10">
                  <c:v>1.1379786E-15</c:v>
                </c:pt>
                <c:pt idx="11">
                  <c:v>3.46944695E-16</c:v>
                </c:pt>
                <c:pt idx="12">
                  <c:v>9.71445147000002E-16</c:v>
                </c:pt>
                <c:pt idx="13">
                  <c:v>6.31439345000001E-16</c:v>
                </c:pt>
                <c:pt idx="14">
                  <c:v>4.30211422E-16</c:v>
                </c:pt>
                <c:pt idx="15">
                  <c:v>1.04777298E-15</c:v>
                </c:pt>
                <c:pt idx="16">
                  <c:v>9.08995101000002E-16</c:v>
                </c:pt>
                <c:pt idx="17">
                  <c:v>5.75928194000001E-16</c:v>
                </c:pt>
                <c:pt idx="18">
                  <c:v>8.46545056000002E-16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7697928"/>
        <c:axId val="-2132039416"/>
      </c:scatterChart>
      <c:valAx>
        <c:axId val="-2127697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039416"/>
        <c:crosses val="autoZero"/>
        <c:crossBetween val="midCat"/>
      </c:valAx>
      <c:valAx>
        <c:axId val="-2132039416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QR Givens error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7697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QR</a:t>
            </a:r>
            <a:r>
              <a:rPr lang="en-US" baseline="0"/>
              <a:t> Householder error vs. n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</c:numCache>
            </c:numRef>
          </c:xVal>
          <c:yVal>
            <c:numRef>
              <c:f>Sheet1!$D$2:$D$20</c:f>
              <c:numCache>
                <c:formatCode>General</c:formatCode>
                <c:ptCount val="19"/>
                <c:pt idx="0" formatCode="0.00E+00">
                  <c:v>3.88578059E-16</c:v>
                </c:pt>
                <c:pt idx="1">
                  <c:v>0.0</c:v>
                </c:pt>
                <c:pt idx="2" formatCode="0.00E+00">
                  <c:v>4.16333634E-16</c:v>
                </c:pt>
                <c:pt idx="3">
                  <c:v>0.0</c:v>
                </c:pt>
                <c:pt idx="4" formatCode="0.00E+00">
                  <c:v>4.99600361E-16</c:v>
                </c:pt>
                <c:pt idx="5">
                  <c:v>0.0</c:v>
                </c:pt>
                <c:pt idx="6" formatCode="0.00E+00">
                  <c:v>9.57567359000002E-16</c:v>
                </c:pt>
                <c:pt idx="7">
                  <c:v>0.0</c:v>
                </c:pt>
                <c:pt idx="8" formatCode="0.00E+00">
                  <c:v>1.42941214E-15</c:v>
                </c:pt>
                <c:pt idx="9">
                  <c:v>0.0</c:v>
                </c:pt>
                <c:pt idx="10" formatCode="0.00E+00">
                  <c:v>4.16333634E-16</c:v>
                </c:pt>
                <c:pt idx="11" formatCode="0.00E+00">
                  <c:v>9.85322934000002E-16</c:v>
                </c:pt>
                <c:pt idx="12" formatCode="0.00E+00">
                  <c:v>0.0</c:v>
                </c:pt>
                <c:pt idx="13" formatCode="0.00E+00">
                  <c:v>7.49400542000002E-16</c:v>
                </c:pt>
                <c:pt idx="14" formatCode="0.00E+00">
                  <c:v>1.66533454E-15</c:v>
                </c:pt>
                <c:pt idx="15" formatCode="0.00E+00">
                  <c:v>0.0</c:v>
                </c:pt>
                <c:pt idx="16" formatCode="0.00E+00">
                  <c:v>1.71390679E-15</c:v>
                </c:pt>
                <c:pt idx="17" formatCode="0.00E+00">
                  <c:v>2.65759637E-15</c:v>
                </c:pt>
                <c:pt idx="18" formatCode="0.00E+00">
                  <c:v>1.80411242E-15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2717096"/>
        <c:axId val="2099355272"/>
      </c:scatterChart>
      <c:valAx>
        <c:axId val="-2132717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355272"/>
        <c:crosses val="autoZero"/>
        <c:crossBetween val="midCat"/>
      </c:valAx>
      <c:valAx>
        <c:axId val="2099355272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QR Householder error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717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421</Words>
  <Characters>2406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Qie</dc:creator>
  <cp:keywords/>
  <dc:description/>
  <cp:lastModifiedBy>Jenna Kwon</cp:lastModifiedBy>
  <cp:revision>6</cp:revision>
  <dcterms:created xsi:type="dcterms:W3CDTF">2015-03-31T01:57:00Z</dcterms:created>
  <dcterms:modified xsi:type="dcterms:W3CDTF">2015-04-01T02:27:00Z</dcterms:modified>
</cp:coreProperties>
</file>