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CAB6" w14:textId="0C3D9AD1" w:rsidR="00590829" w:rsidRPr="00424FFD" w:rsidRDefault="00424FFD">
      <w:pPr>
        <w:spacing w:after="80"/>
        <w:rPr>
          <w:sz w:val="13"/>
          <w:szCs w:val="13"/>
        </w:rPr>
      </w:pPr>
      <w:r w:rsidRPr="00210AE8">
        <w:rPr>
          <w:rFonts w:asciiTheme="majorHAnsi" w:hAnsiTheme="majorHAnsi" w:cstheme="majorHAnsi"/>
          <w:noProof/>
          <w:sz w:val="16"/>
          <w:szCs w:val="16"/>
        </w:rPr>
        <w:drawing>
          <wp:anchor distT="114300" distB="114300" distL="114300" distR="114300" simplePos="0" relativeHeight="251668480" behindDoc="1" locked="0" layoutInCell="1" hidden="0" allowOverlap="1" wp14:anchorId="5A92F5B4" wp14:editId="5814C807">
            <wp:simplePos x="0" y="0"/>
            <wp:positionH relativeFrom="column">
              <wp:posOffset>2679700</wp:posOffset>
            </wp:positionH>
            <wp:positionV relativeFrom="paragraph">
              <wp:posOffset>4887307</wp:posOffset>
            </wp:positionV>
            <wp:extent cx="1831340" cy="1176020"/>
            <wp:effectExtent l="0" t="0" r="0" b="5080"/>
            <wp:wrapNone/>
            <wp:docPr id="20309702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0237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176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E2E">
        <w:rPr>
          <w:rFonts w:asciiTheme="majorHAnsi" w:eastAsia="Arial Unicode MS" w:hAnsiTheme="majorHAnsi" w:cstheme="majorHAnsi"/>
          <w:noProof/>
        </w:rPr>
        <w:drawing>
          <wp:anchor distT="0" distB="0" distL="114300" distR="114300" simplePos="0" relativeHeight="251659264" behindDoc="1" locked="0" layoutInCell="1" allowOverlap="1" wp14:anchorId="16C86BF4" wp14:editId="6709FBF4">
            <wp:simplePos x="0" y="0"/>
            <wp:positionH relativeFrom="column">
              <wp:posOffset>4451465</wp:posOffset>
            </wp:positionH>
            <wp:positionV relativeFrom="paragraph">
              <wp:posOffset>5185641</wp:posOffset>
            </wp:positionV>
            <wp:extent cx="1485900" cy="854710"/>
            <wp:effectExtent l="0" t="0" r="0" b="0"/>
            <wp:wrapNone/>
            <wp:docPr id="438813532" name="Picture 1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3532" name="Picture 1" descr="A graph of a pri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0AE8">
        <w:rPr>
          <w:rFonts w:asciiTheme="majorHAnsi" w:hAnsiTheme="majorHAnsi" w:cstheme="majorHAnsi"/>
          <w:b/>
          <w:bCs/>
          <w:noProof/>
          <w:sz w:val="16"/>
          <w:szCs w:val="16"/>
        </w:rPr>
        <w:drawing>
          <wp:anchor distT="114300" distB="114300" distL="114300" distR="114300" simplePos="0" relativeHeight="251670528" behindDoc="1" locked="0" layoutInCell="1" hidden="0" allowOverlap="1" wp14:anchorId="70B74A33" wp14:editId="66971C5D">
            <wp:simplePos x="0" y="0"/>
            <wp:positionH relativeFrom="column">
              <wp:posOffset>73025</wp:posOffset>
            </wp:positionH>
            <wp:positionV relativeFrom="paragraph">
              <wp:posOffset>5360035</wp:posOffset>
            </wp:positionV>
            <wp:extent cx="1024890" cy="857250"/>
            <wp:effectExtent l="0" t="0" r="3810" b="6350"/>
            <wp:wrapNone/>
            <wp:docPr id="4" name="image4.png" descr="A graph of a functio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graph of a function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E20">
        <w:rPr>
          <w:rFonts w:ascii="Calibri" w:eastAsia="Times New Roman" w:hAnsi="Calibri" w:cs="Calibri"/>
          <w:noProof/>
          <w:color w:val="000000"/>
          <w:sz w:val="16"/>
          <w:szCs w:val="16"/>
        </w:rPr>
        <w:drawing>
          <wp:anchor distT="0" distB="0" distL="114300" distR="114300" simplePos="0" relativeHeight="251674624" behindDoc="1" locked="0" layoutInCell="1" allowOverlap="1" wp14:anchorId="7D0CEC01" wp14:editId="39E02576">
            <wp:simplePos x="0" y="0"/>
            <wp:positionH relativeFrom="column">
              <wp:posOffset>1336964</wp:posOffset>
            </wp:positionH>
            <wp:positionV relativeFrom="paragraph">
              <wp:posOffset>5315990</wp:posOffset>
            </wp:positionV>
            <wp:extent cx="1340716" cy="1063090"/>
            <wp:effectExtent l="0" t="0" r="5715" b="3810"/>
            <wp:wrapNone/>
            <wp:docPr id="253314286" name="Picture 1" descr="A diagram of a monopol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4286" name="Picture 1" descr="A diagram of a monopola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620" cy="106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424FFD">
        <w:rPr>
          <w:b/>
          <w:bCs/>
          <w:color w:val="1F4E79"/>
          <w:sz w:val="24"/>
          <w:szCs w:val="24"/>
        </w:rPr>
        <w:t xml:space="preserve">EEM Final Exam Cheat Sheet  </w:t>
      </w:r>
      <w:r w:rsidR="00000000" w:rsidRPr="00424FFD">
        <w:rPr>
          <w:color w:val="555555"/>
        </w:rPr>
        <w:t xml:space="preserve"> | Competitive Markets · Monopoly · Auctions · Futures · Hedging · Storage · Regulation · LCOE · Electricity · Externalities · Cap-and-Trade</w:t>
      </w:r>
    </w:p>
    <w:tbl>
      <w:tblPr>
        <w:tblW w:w="14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90"/>
        <w:gridCol w:w="5122"/>
      </w:tblGrid>
      <w:tr w:rsidR="00590829" w:rsidRPr="00424FFD" w14:paraId="5992D8EE" w14:textId="77777777" w:rsidTr="00424FFD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B78F98" w14:textId="35FA14F9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1. Competitive Markets &amp; Market Power</w:t>
            </w:r>
          </w:p>
          <w:p w14:paraId="6B0C8E36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Short run: </w:t>
            </w:r>
            <w:r w:rsidRPr="00424FFD">
              <w:rPr>
                <w:color w:val="000000"/>
                <w:sz w:val="11"/>
                <w:szCs w:val="11"/>
              </w:rPr>
              <w:t>Capital fixed; P from supply/demand; price volatility ≠ market power</w:t>
            </w:r>
          </w:p>
          <w:p w14:paraId="5BB89F35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Long run: </w:t>
            </w:r>
            <w:r w:rsidRPr="00424FFD">
              <w:rPr>
                <w:color w:val="000000"/>
                <w:sz w:val="11"/>
                <w:szCs w:val="11"/>
              </w:rPr>
              <w:t>Entry/exit until P = MC = ATC (efficient)</w:t>
            </w:r>
          </w:p>
          <w:p w14:paraId="54C09C2E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Market power: </w:t>
            </w:r>
            <w:r w:rsidRPr="00424FFD">
              <w:rPr>
                <w:color w:val="000000"/>
                <w:sz w:val="11"/>
                <w:szCs w:val="11"/>
              </w:rPr>
              <w:t>Ability to raise P by restricting Q. Non-competitive firm reduces Q → price rises.</w:t>
            </w:r>
          </w:p>
          <w:p w14:paraId="0189992B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2. Monopoly</w:t>
            </w:r>
          </w:p>
          <w:p w14:paraId="16C5A844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MR = MC → Q* → plug into demand for P*</w:t>
            </w:r>
          </w:p>
          <w:p w14:paraId="37D50189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 xml:space="preserve">For linear demand P = a − </w:t>
            </w:r>
            <w:proofErr w:type="spellStart"/>
            <w:r w:rsidRPr="00424FFD">
              <w:rPr>
                <w:color w:val="000000"/>
                <w:sz w:val="11"/>
                <w:szCs w:val="11"/>
              </w:rPr>
              <w:t>bQ</w:t>
            </w:r>
            <w:proofErr w:type="spellEnd"/>
            <w:r w:rsidRPr="00424FFD">
              <w:rPr>
                <w:color w:val="000000"/>
                <w:sz w:val="11"/>
                <w:szCs w:val="11"/>
              </w:rPr>
              <w:t>:</w:t>
            </w:r>
          </w:p>
          <w:p w14:paraId="01A8B908" w14:textId="32C51228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MR = a − 2bQ</w:t>
            </w:r>
            <w:proofErr w:type="gram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  (</w:t>
            </w:r>
            <w:proofErr w:type="gram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twice the slope)</w:t>
            </w:r>
          </w:p>
          <w:p w14:paraId="40CF1204" w14:textId="2C85C0FD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TR = P(Q)·</w:t>
            </w:r>
            <w:proofErr w:type="gramStart"/>
            <w:r w:rsidRPr="00424FFD">
              <w:rPr>
                <w:color w:val="000000"/>
                <w:sz w:val="11"/>
                <w:szCs w:val="11"/>
              </w:rPr>
              <w:t>Q,  MR</w:t>
            </w:r>
            <w:proofErr w:type="gramEnd"/>
            <w:r w:rsidRPr="00424FFD">
              <w:rPr>
                <w:color w:val="000000"/>
                <w:sz w:val="11"/>
                <w:szCs w:val="11"/>
              </w:rPr>
              <w:t xml:space="preserve"> = P + P'(Q)·Q</w:t>
            </w:r>
          </w:p>
          <w:p w14:paraId="62F30070" w14:textId="3BF0E124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Result: </w:t>
            </w:r>
            <w:r w:rsidRPr="00424FFD">
              <w:rPr>
                <w:color w:val="000000"/>
                <w:sz w:val="11"/>
                <w:szCs w:val="11"/>
              </w:rPr>
              <w:t>Lower Q, higher P, deadweight loss vs. competitive</w:t>
            </w:r>
          </w:p>
          <w:p w14:paraId="76D7F761" w14:textId="0C6D20F2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3. Dominant Firm + Fringe</w:t>
            </w:r>
          </w:p>
          <w:p w14:paraId="563A37DA" w14:textId="7881E0C4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Q_residual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=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Q_demand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−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Q_fringe</w:t>
            </w:r>
            <w:proofErr w:type="spellEnd"/>
          </w:p>
          <w:p w14:paraId="127D8A87" w14:textId="3BCFF7B9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Dominant firm is a monopolist over residual demand.</w:t>
            </w:r>
          </w:p>
          <w:p w14:paraId="753818D5" w14:textId="4D77942B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Market power strongest when: </w:t>
            </w:r>
          </w:p>
          <w:p w14:paraId="041DA1A3" w14:textId="02AB6816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Market demand is inelastic</w:t>
            </w:r>
          </w:p>
          <w:p w14:paraId="7FCEA03C" w14:textId="71BF3B42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Fringe supply is inelastic</w:t>
            </w:r>
          </w:p>
          <w:p w14:paraId="34E61C94" w14:textId="46E2297D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→ Residual demand is most inelastic → most pricing power</w:t>
            </w:r>
          </w:p>
          <w:p w14:paraId="756E3EF3" w14:textId="4B047C55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4. Auctions</w:t>
            </w:r>
          </w:p>
          <w:p w14:paraId="2171DDC0" w14:textId="1814D26C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Uniform Price Auction</w:t>
            </w:r>
          </w:p>
          <w:p w14:paraId="2854D0C3" w14:textId="00048936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All winners pay the clearing price</w:t>
            </w:r>
          </w:p>
          <w:p w14:paraId="58D9A3A7" w14:textId="4396671E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Competitive firms bid ≈ MC</w:t>
            </w:r>
          </w:p>
          <w:p w14:paraId="30681D34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If demand drops unexpectedly → price falls</w:t>
            </w:r>
          </w:p>
          <w:p w14:paraId="25351E12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Pay-As-Bid Auction</w:t>
            </w:r>
          </w:p>
          <w:p w14:paraId="01CF6BA3" w14:textId="263BAF71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Each winner pays their own bid</w:t>
            </w:r>
          </w:p>
          <w:p w14:paraId="0D61108E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Firms must forecast clearing price → bid above MC</w:t>
            </w:r>
          </w:p>
          <w:p w14:paraId="5FC4BDE0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If demand drops → price stays high (bids already inflated)</w:t>
            </w:r>
          </w:p>
          <w:p w14:paraId="19B52440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Winner's Curse: </w:t>
            </w:r>
            <w:r w:rsidRPr="00424FFD">
              <w:rPr>
                <w:color w:val="000000"/>
                <w:sz w:val="11"/>
                <w:szCs w:val="11"/>
              </w:rPr>
              <w:t>Common-value auctions; more bidders → more overestimation risk</w:t>
            </w:r>
          </w:p>
          <w:p w14:paraId="0BD38BAA" w14:textId="659542B8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5. Futures vs. Forwards</w:t>
            </w:r>
          </w:p>
          <w:tbl>
            <w:tblPr>
              <w:tblW w:w="5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1700"/>
              <w:gridCol w:w="1700"/>
            </w:tblGrid>
            <w:tr w:rsidR="00590829" w:rsidRPr="00424FFD" w14:paraId="06DA52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DA1A411" w14:textId="04BE4EB9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Feature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D1FF991" w14:textId="6C99CB39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Futures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EB5FDE6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Forwards</w:t>
                  </w:r>
                </w:p>
              </w:tc>
            </w:tr>
            <w:tr w:rsidR="00590829" w:rsidRPr="00424FFD" w14:paraId="60AD3D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0A25C7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Traded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FC1FBBF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Exchange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FE3C944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OTC (private)</w:t>
                  </w:r>
                </w:p>
              </w:tc>
            </w:tr>
            <w:tr w:rsidR="00590829" w:rsidRPr="00424FFD" w14:paraId="3C4C6B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1138A5A" w14:textId="00041593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Terms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5AF9130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Standardized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B61A6E6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Customized</w:t>
                  </w:r>
                </w:p>
              </w:tc>
            </w:tr>
            <w:tr w:rsidR="00590829" w:rsidRPr="00424FFD" w14:paraId="54BD10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AC3B0FC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Counterparty risk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0699DF3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Low (clearinghouse)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EDD240F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Higher</w:t>
                  </w:r>
                </w:p>
              </w:tc>
            </w:tr>
            <w:tr w:rsidR="00590829" w:rsidRPr="00424FFD" w14:paraId="325B29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42C9358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Basis risk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D1D7E11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Higher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F7A4FFC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Lower</w:t>
                  </w:r>
                </w:p>
              </w:tc>
            </w:tr>
            <w:tr w:rsidR="00590829" w:rsidRPr="00424FFD" w14:paraId="6EE2C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E457B67" w14:textId="23E555D9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Liquidity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A9C02E5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High</w:t>
                  </w:r>
                </w:p>
              </w:tc>
              <w:tc>
                <w:tcPr>
                  <w:tcW w:w="1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E27FB5C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Low</w:t>
                  </w:r>
                </w:p>
              </w:tc>
            </w:tr>
          </w:tbl>
          <w:p w14:paraId="7296BB12" w14:textId="1CD3A18B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6. Basis Risk</w:t>
            </w:r>
          </w:p>
          <w:p w14:paraId="1B938665" w14:textId="2331D58A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Basis risk: </w:t>
            </w:r>
            <w:r w:rsidRPr="00424FFD">
              <w:rPr>
                <w:color w:val="000000"/>
                <w:sz w:val="11"/>
                <w:szCs w:val="11"/>
              </w:rPr>
              <w:t>Risk that futures contract is poorly correlated with actual asset</w:t>
            </w:r>
          </w:p>
          <w:p w14:paraId="059796E7" w14:textId="3704B4EC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Electricity: </w:t>
            </w:r>
            <w:r w:rsidRPr="00424FFD">
              <w:rPr>
                <w:color w:val="000000"/>
                <w:sz w:val="11"/>
                <w:szCs w:val="11"/>
              </w:rPr>
              <w:t>MOST basis risk — cannot store; prices vary by hour/location</w:t>
            </w:r>
          </w:p>
          <w:p w14:paraId="2384D6F7" w14:textId="715EDAE5" w:rsidR="00590829" w:rsidRPr="00424FFD" w:rsidRDefault="00424FFD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drawing>
                <wp:anchor distT="0" distB="0" distL="114300" distR="114300" simplePos="0" relativeHeight="251676672" behindDoc="0" locked="0" layoutInCell="1" allowOverlap="1" wp14:anchorId="4D17E9BA" wp14:editId="040473EE">
                  <wp:simplePos x="0" y="0"/>
                  <wp:positionH relativeFrom="column">
                    <wp:posOffset>1304925</wp:posOffset>
                  </wp:positionH>
                  <wp:positionV relativeFrom="paragraph">
                    <wp:posOffset>161925</wp:posOffset>
                  </wp:positionV>
                  <wp:extent cx="1301750" cy="939800"/>
                  <wp:effectExtent l="0" t="0" r="6350" b="0"/>
                  <wp:wrapThrough wrapText="bothSides">
                    <wp:wrapPolygon edited="0">
                      <wp:start x="0" y="0"/>
                      <wp:lineTo x="0" y="21308"/>
                      <wp:lineTo x="21495" y="21308"/>
                      <wp:lineTo x="21495" y="0"/>
                      <wp:lineTo x="0" y="0"/>
                    </wp:wrapPolygon>
                  </wp:wrapThrough>
                  <wp:docPr id="44675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758599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24FFD">
              <w:rPr>
                <w:color w:val="000000"/>
                <w:sz w:val="11"/>
                <w:szCs w:val="11"/>
              </w:rPr>
              <w:drawing>
                <wp:anchor distT="0" distB="0" distL="114300" distR="114300" simplePos="0" relativeHeight="251679744" behindDoc="1" locked="0" layoutInCell="1" allowOverlap="1" wp14:anchorId="644693A5" wp14:editId="3352A158">
                  <wp:simplePos x="0" y="0"/>
                  <wp:positionH relativeFrom="column">
                    <wp:posOffset>1260475</wp:posOffset>
                  </wp:positionH>
                  <wp:positionV relativeFrom="paragraph">
                    <wp:posOffset>307975</wp:posOffset>
                  </wp:positionV>
                  <wp:extent cx="1031240" cy="744220"/>
                  <wp:effectExtent l="0" t="0" r="0" b="5080"/>
                  <wp:wrapNone/>
                  <wp:docPr id="2078491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75859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0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10AE8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anchor distT="114300" distB="114300" distL="114300" distR="114300" simplePos="0" relativeHeight="251672576" behindDoc="1" locked="0" layoutInCell="1" hidden="0" allowOverlap="1" wp14:anchorId="3682DB4D" wp14:editId="0F5FD9C6">
                  <wp:simplePos x="0" y="0"/>
                  <wp:positionH relativeFrom="column">
                    <wp:posOffset>-74930</wp:posOffset>
                  </wp:positionH>
                  <wp:positionV relativeFrom="page">
                    <wp:posOffset>3992245</wp:posOffset>
                  </wp:positionV>
                  <wp:extent cx="1335405" cy="969010"/>
                  <wp:effectExtent l="0" t="0" r="0" b="0"/>
                  <wp:wrapNone/>
                  <wp:docPr id="2" name="image3.png" descr="A diagram of a line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 descr="A diagram of a line&#10;&#10;AI-generated content may be incorrect.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9690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424FFD">
              <w:rPr>
                <w:b/>
                <w:bCs/>
                <w:color w:val="000000"/>
                <w:sz w:val="11"/>
                <w:szCs w:val="11"/>
              </w:rPr>
              <w:t xml:space="preserve">Crude oil: </w:t>
            </w:r>
            <w:r w:rsidR="00000000" w:rsidRPr="00424FFD">
              <w:rPr>
                <w:color w:val="000000"/>
                <w:sz w:val="11"/>
                <w:szCs w:val="11"/>
              </w:rPr>
              <w:t>Less basis risk — storable; prices more uniform</w:t>
            </w:r>
          </w:p>
        </w:tc>
        <w:tc>
          <w:tcPr>
            <w:tcW w:w="4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377A4D" w14:textId="34C71853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7. Hedging</w:t>
            </w:r>
          </w:p>
          <w:p w14:paraId="7D5BBB21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Selling commodity → short futures (fear price drop)</w:t>
            </w:r>
          </w:p>
          <w:p w14:paraId="4326D50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Buying commodity → long futures (fear price rise)</w:t>
            </w:r>
          </w:p>
          <w:p w14:paraId="43C83B80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Hedge Size = Exposure × Price Sensitivity</w:t>
            </w:r>
          </w:p>
          <w:p w14:paraId="739F66E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e.g. Solar plant selling 106,000 MWh; each $1 gas drop → $5/MWh electricity drop:</w:t>
            </w:r>
          </w:p>
          <w:p w14:paraId="453C929A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Hedge = 106,000 × 5 = 530,000 MMBTU (short)</w:t>
            </w:r>
          </w:p>
          <w:p w14:paraId="4BF5CBC4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8. Storage Economics</w:t>
            </w:r>
          </w:p>
          <w:p w14:paraId="2F96E9CF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Carry cost = </w:t>
            </w:r>
            <w:r w:rsidRPr="00424FFD">
              <w:rPr>
                <w:color w:val="000000"/>
                <w:sz w:val="11"/>
                <w:szCs w:val="11"/>
              </w:rPr>
              <w:t>interest rate + storage cost</w:t>
            </w:r>
          </w:p>
          <w:p w14:paraId="4B94683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Contango: </w:t>
            </w:r>
            <w:r w:rsidRPr="00424FFD">
              <w:rPr>
                <w:color w:val="000000"/>
                <w:sz w:val="11"/>
                <w:szCs w:val="11"/>
              </w:rPr>
              <w:t>Futures &gt; Spot → incentive to store</w:t>
            </w:r>
          </w:p>
          <w:p w14:paraId="176FD54A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Backwardation: </w:t>
            </w:r>
            <w:r w:rsidRPr="00424FFD">
              <w:rPr>
                <w:color w:val="000000"/>
                <w:sz w:val="11"/>
                <w:szCs w:val="11"/>
              </w:rPr>
              <w:t>Futures &lt; Spot → incentive to sell now</w:t>
            </w:r>
          </w:p>
          <w:p w14:paraId="3856254A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Super contango: </w:t>
            </w:r>
            <w:r w:rsidRPr="00424FFD">
              <w:rPr>
                <w:color w:val="000000"/>
                <w:sz w:val="11"/>
                <w:szCs w:val="11"/>
              </w:rPr>
              <w:t>Buy spot + sell futures → lock in profit</w:t>
            </w:r>
          </w:p>
          <w:p w14:paraId="5BE16491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Storage reduces price volatility over time.</w:t>
            </w:r>
          </w:p>
          <w:p w14:paraId="70DC02F6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Store if: F_T &gt; S_0 × (1+r) + storage cost</w:t>
            </w:r>
          </w:p>
          <w:p w14:paraId="6ABB93FE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9. Transportation &amp; Arbitrage</w:t>
            </w:r>
          </w:p>
          <w:p w14:paraId="39295DA0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Arbitrage if: P₂ − P₁ &gt;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MC_transport</w:t>
            </w:r>
            <w:proofErr w:type="spellEnd"/>
          </w:p>
          <w:p w14:paraId="02F9A19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Trade equalizes prices net of transport cost.</w:t>
            </w:r>
          </w:p>
          <w:p w14:paraId="3DB9B962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Market power in transport </w:t>
            </w:r>
            <w:r w:rsidRPr="00424FFD">
              <w:rPr>
                <w:color w:val="000000"/>
                <w:sz w:val="11"/>
                <w:szCs w:val="11"/>
              </w:rPr>
              <w:t>→ price wedge too large → DWL</w:t>
            </w:r>
          </w:p>
          <w:p w14:paraId="27BEC800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10. Natural Monopoly</w:t>
            </w:r>
          </w:p>
          <w:p w14:paraId="5D0B7686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AC declining over entire market demand range = Natural Monopoly</w:t>
            </w:r>
          </w:p>
          <w:p w14:paraId="1BCEDA4F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MC &lt; AC → AC falling | MC &gt; AC → AC rising | MC = AC → AC minimum</w:t>
            </w:r>
          </w:p>
          <w:p w14:paraId="6999C431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Regulatory Options</w:t>
            </w:r>
          </w:p>
          <w:p w14:paraId="4B086E2E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P = MC: </w:t>
            </w:r>
            <w:r w:rsidRPr="00424FFD">
              <w:rPr>
                <w:color w:val="000000"/>
                <w:sz w:val="11"/>
                <w:szCs w:val="11"/>
              </w:rPr>
              <w:t>Efficient but firm loses fixed cost (profit = −F)</w:t>
            </w:r>
          </w:p>
          <w:p w14:paraId="1D77C782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P = AC: </w:t>
            </w:r>
            <w:r w:rsidRPr="00424FFD">
              <w:rPr>
                <w:color w:val="000000"/>
                <w:sz w:val="11"/>
                <w:szCs w:val="11"/>
              </w:rPr>
              <w:t>Profit = 0; DWL vs. efficient quantity</w:t>
            </w:r>
          </w:p>
          <w:p w14:paraId="172D962E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Two-part tariff: </w:t>
            </w:r>
            <w:r w:rsidRPr="00424FFD">
              <w:rPr>
                <w:color w:val="000000"/>
                <w:sz w:val="11"/>
                <w:szCs w:val="11"/>
              </w:rPr>
              <w:t>P = MC + fixed fee ≤ CS per consumer</w:t>
            </w:r>
          </w:p>
          <w:p w14:paraId="4AE70EEB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Two-part tariff: Find CS at P=MC; that's max fixed fee.</w:t>
            </w:r>
          </w:p>
          <w:p w14:paraId="1D342DA8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DWL = 0.5 × (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P_reg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− MC) × (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Q_eff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−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Q_reg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)</w:t>
            </w:r>
          </w:p>
          <w:p w14:paraId="1FABC6DF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 xml:space="preserve">11. </w:t>
            </w:r>
            <w:proofErr w:type="spellStart"/>
            <w:r w:rsidRPr="00424FFD">
              <w:rPr>
                <w:b/>
                <w:bCs/>
                <w:color w:val="1F4E79"/>
                <w:sz w:val="11"/>
                <w:szCs w:val="11"/>
              </w:rPr>
              <w:t>Averch</w:t>
            </w:r>
            <w:proofErr w:type="spellEnd"/>
            <w:r w:rsidRPr="00424FFD">
              <w:rPr>
                <w:b/>
                <w:bCs/>
                <w:color w:val="1F4E79"/>
                <w:sz w:val="11"/>
                <w:szCs w:val="11"/>
              </w:rPr>
              <w:t>-Johnson Effect</w:t>
            </w:r>
          </w:p>
          <w:p w14:paraId="1BF9212C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Rate-of-return regulation → overinvestment in capital.</w:t>
            </w:r>
          </w:p>
          <w:p w14:paraId="3F7A4563" w14:textId="01EF0A5E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Allowed return &gt; cost of capital → maximize rate base → build more infrastructure.</w:t>
            </w:r>
          </w:p>
          <w:tbl>
            <w:tblPr>
              <w:tblW w:w="5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3200"/>
            </w:tblGrid>
            <w:tr w:rsidR="00590829" w:rsidRPr="00424FFD" w14:paraId="5635FD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0C4CDD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Term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9199A02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Meaning</w:t>
                  </w:r>
                </w:p>
              </w:tc>
            </w:tr>
            <w:tr w:rsidR="00590829" w:rsidRPr="00424FFD" w14:paraId="309F35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04E72E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Rate Base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C9AFB16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Total value of regulated capital investments</w:t>
                  </w:r>
                </w:p>
              </w:tc>
            </w:tr>
            <w:tr w:rsidR="00590829" w:rsidRPr="00424FFD" w14:paraId="488457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6D4B71B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Rate of Return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98182D2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Allowed profit on capital</w:t>
                  </w:r>
                </w:p>
              </w:tc>
            </w:tr>
            <w:tr w:rsidR="00590829" w:rsidRPr="00424FFD" w14:paraId="3716A0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80A9B5B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Cost of Capital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9F6AB4D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Min. required return on investment</w:t>
                  </w:r>
                </w:p>
              </w:tc>
            </w:tr>
            <w:tr w:rsidR="00590829" w:rsidRPr="00424FFD" w14:paraId="2B4C5A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A178405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Used &amp; Useful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3309EE3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Assets must be operating to enter rate base</w:t>
                  </w:r>
                </w:p>
              </w:tc>
            </w:tr>
            <w:tr w:rsidR="00590829" w:rsidRPr="00424FFD" w14:paraId="630AC5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B26D094" w14:textId="011E4640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Depreciation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B1C9848" w14:textId="3C3A77AA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Largest expense for regulated utilities</w:t>
                  </w:r>
                </w:p>
              </w:tc>
            </w:tr>
          </w:tbl>
          <w:p w14:paraId="3A9D1B74" w14:textId="387FBC45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12. Tax Incidence</w:t>
            </w:r>
          </w:p>
          <w:p w14:paraId="38330390" w14:textId="6FDC2580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Less elastic side bears more of the tax.</w:t>
            </w:r>
          </w:p>
          <w:p w14:paraId="181C7DA9" w14:textId="0A8E9830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Buyer share = Supply slope / (Supply slope + |Demand slope|)</w:t>
            </w:r>
          </w:p>
          <w:p w14:paraId="180D87C6" w14:textId="34ED66D4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Inelastic demand (insulin, gasoline) → buyers pay. Inelastic supply (land) → sellers pay.</w:t>
            </w:r>
          </w:p>
          <w:p w14:paraId="5A1E866D" w14:textId="402D8969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Price ceiling: </w:t>
            </w:r>
            <w:r w:rsidRPr="00424FFD">
              <w:rPr>
                <w:color w:val="000000"/>
                <w:sz w:val="11"/>
                <w:szCs w:val="11"/>
              </w:rPr>
              <w:t>Shortage + DWL + allocative inefficiency</w:t>
            </w:r>
          </w:p>
          <w:p w14:paraId="6017F915" w14:textId="7A6D7D64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Secondary market: </w:t>
            </w:r>
            <w:r w:rsidRPr="00424FFD">
              <w:rPr>
                <w:color w:val="000000"/>
                <w:sz w:val="11"/>
                <w:szCs w:val="11"/>
              </w:rPr>
              <w:t>Fixes allocative cost but NOT DWL or shortage</w:t>
            </w:r>
          </w:p>
          <w:p w14:paraId="411BBB77" w14:textId="79C65AB5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13. Double Marginalization</w:t>
            </w:r>
          </w:p>
          <w:p w14:paraId="5FF3A99B" w14:textId="40157C13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Two monopolists in vertical chain each add markup → higher final P, lower Q, DWL.</w:t>
            </w:r>
          </w:p>
          <w:p w14:paraId="21BE964C" w14:textId="3EA84C99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Requires market power at BOTH upstream and downstream levels.</w:t>
            </w:r>
          </w:p>
        </w:tc>
        <w:tc>
          <w:tcPr>
            <w:tcW w:w="5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98A62C" w14:textId="6BEAE45E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14. LCOE (Levelized Cost of Electricity)</w:t>
            </w:r>
          </w:p>
          <w:p w14:paraId="262BA12E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LCOE = constant real P/MWh that makes NPV = 0</w:t>
            </w:r>
          </w:p>
          <w:p w14:paraId="72D32837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Fixed MC:</w:t>
            </w:r>
          </w:p>
          <w:p w14:paraId="29BAC343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LCOE = MC + Fixed Cost / Discounted MWh</w:t>
            </w:r>
          </w:p>
          <w:p w14:paraId="7CE1AFC9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Variable MC:</w:t>
            </w:r>
          </w:p>
          <w:p w14:paraId="7921B90A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LCOE = </w:t>
            </w:r>
            <w:proofErr w:type="gram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Σ(</w:t>
            </w:r>
            <w:proofErr w:type="spellStart"/>
            <w:proofErr w:type="gram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Costs_t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/ (1+</w:t>
            </w:r>
            <w:proofErr w:type="gram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r)^</w:t>
            </w:r>
            <w:proofErr w:type="gram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t) / </w:t>
            </w:r>
            <w:proofErr w:type="gram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Σ(</w:t>
            </w:r>
            <w:proofErr w:type="spellStart"/>
            <w:proofErr w:type="gram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MWh_t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/ (1+</w:t>
            </w:r>
            <w:proofErr w:type="gram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r)^</w:t>
            </w:r>
            <w:proofErr w:type="gram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t)</w:t>
            </w:r>
          </w:p>
          <w:p w14:paraId="1DC49A9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Higher capacity factor → lower LCOE </w:t>
            </w:r>
            <w:r w:rsidRPr="00424FFD">
              <w:rPr>
                <w:color w:val="000000"/>
                <w:sz w:val="11"/>
                <w:szCs w:val="11"/>
              </w:rPr>
              <w:t>(fixed cost spread over more MWh)</w:t>
            </w:r>
          </w:p>
          <w:p w14:paraId="1A6C34C1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Limitation: </w:t>
            </w:r>
            <w:r w:rsidRPr="00424FFD">
              <w:rPr>
                <w:color w:val="000000"/>
                <w:sz w:val="11"/>
                <w:szCs w:val="11"/>
              </w:rPr>
              <w:t>Ignores time, location, dispatchability — treats all MWh equally</w:t>
            </w:r>
          </w:p>
          <w:p w14:paraId="4430A109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Compare LCOE vs. wholesale price to assess viability (market prices don't enter LCOE formula).</w:t>
            </w:r>
          </w:p>
          <w:p w14:paraId="1BD3E877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15. Electricity Markets &amp; Peak Pricing</w:t>
            </w:r>
          </w:p>
          <w:p w14:paraId="2B89E53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Merit order: </w:t>
            </w:r>
            <w:r w:rsidRPr="00424FFD">
              <w:rPr>
                <w:color w:val="000000"/>
                <w:sz w:val="11"/>
                <w:szCs w:val="11"/>
              </w:rPr>
              <w:t>Renewables → Nuclear → Coal → Gas (low to high cost)</w:t>
            </w:r>
          </w:p>
          <w:p w14:paraId="642C1DFD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Market price = MC of marginal (most expensive) unit dispatched.</w:t>
            </w:r>
          </w:p>
          <w:p w14:paraId="0B876208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Fossil fuels typically set the price.</w:t>
            </w:r>
          </w:p>
          <w:p w14:paraId="63C88EB1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Gas Price Drop — Short Run vs. Long Run</w:t>
            </w:r>
          </w:p>
          <w:p w14:paraId="20170893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Short run: </w:t>
            </w:r>
            <w:r w:rsidRPr="00424FFD">
              <w:rPr>
                <w:color w:val="000000"/>
                <w:sz w:val="11"/>
                <w:szCs w:val="11"/>
              </w:rPr>
              <w:t>Capacity fixed; off-peak prices fall (MC ↓); peak prices unchanged (capacity-constrained)</w:t>
            </w:r>
          </w:p>
          <w:p w14:paraId="2EB0B4F0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Long run: </w:t>
            </w:r>
            <w:r w:rsidRPr="00424FFD">
              <w:rPr>
                <w:color w:val="000000"/>
                <w:sz w:val="11"/>
                <w:szCs w:val="11"/>
              </w:rPr>
              <w:t>Capacity adjusts; lower build cost → more plants → peak prices fall more</w:t>
            </w:r>
          </w:p>
          <w:p w14:paraId="4C1A243E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Build Cost Rise — Long Run</w:t>
            </w:r>
          </w:p>
          <w:p w14:paraId="21ED3C30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Less new capacity enters → peak prices rise more than off-peak</w:t>
            </w:r>
          </w:p>
          <w:p w14:paraId="721C8F50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16. Externalities &amp; Policy Instruments</w:t>
            </w:r>
          </w:p>
          <w:p w14:paraId="4CB2F7C2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Private equilibrium: </w:t>
            </w:r>
            <w:r w:rsidRPr="00424FFD">
              <w:rPr>
                <w:color w:val="000000"/>
                <w:sz w:val="11"/>
                <w:szCs w:val="11"/>
              </w:rPr>
              <w:t>MB = MPC (ignores external cost)</w:t>
            </w:r>
          </w:p>
          <w:p w14:paraId="08D7A585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Social optimum: </w:t>
            </w:r>
            <w:r w:rsidRPr="00424FFD">
              <w:rPr>
                <w:color w:val="000000"/>
                <w:sz w:val="11"/>
                <w:szCs w:val="11"/>
              </w:rPr>
              <w:t>MB = MPC + MEC → lower Q, higher P</w:t>
            </w:r>
          </w:p>
          <w:p w14:paraId="53F5A333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DWL = 0.5 × (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Q_market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−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Q_social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) × MEC</w:t>
            </w:r>
          </w:p>
          <w:p w14:paraId="1182CB19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Pigouvian tax: </w:t>
            </w:r>
            <w:r w:rsidRPr="00424FFD">
              <w:rPr>
                <w:color w:val="000000"/>
                <w:sz w:val="11"/>
                <w:szCs w:val="11"/>
              </w:rPr>
              <w:t>Set tax = MEC → achieves Q*</w:t>
            </w:r>
          </w:p>
          <w:p w14:paraId="61B64350" w14:textId="77777777" w:rsidR="00590829" w:rsidRPr="00424FFD" w:rsidRDefault="00000000">
            <w:pPr>
              <w:spacing w:before="40" w:after="1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2E4057"/>
                <w:sz w:val="11"/>
                <w:szCs w:val="11"/>
              </w:rPr>
              <w:t>3 Market Failures &amp; Solutions</w:t>
            </w:r>
          </w:p>
          <w:p w14:paraId="28414DF9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Unpriced externalities: </w:t>
            </w:r>
            <w:r w:rsidRPr="00424FFD">
              <w:rPr>
                <w:color w:val="000000"/>
                <w:sz w:val="11"/>
                <w:szCs w:val="11"/>
              </w:rPr>
              <w:t>Pigouvian tax</w:t>
            </w:r>
          </w:p>
          <w:p w14:paraId="6C59113C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Imperfect information: </w:t>
            </w:r>
            <w:proofErr w:type="spellStart"/>
            <w:r w:rsidRPr="00424FFD">
              <w:rPr>
                <w:color w:val="000000"/>
                <w:sz w:val="11"/>
                <w:szCs w:val="11"/>
              </w:rPr>
              <w:t>EnergyGuide</w:t>
            </w:r>
            <w:proofErr w:type="spellEnd"/>
            <w:r w:rsidRPr="00424FFD">
              <w:rPr>
                <w:color w:val="000000"/>
                <w:sz w:val="11"/>
                <w:szCs w:val="11"/>
              </w:rPr>
              <w:t xml:space="preserve"> / ENERGY STAR labels</w:t>
            </w:r>
          </w:p>
          <w:p w14:paraId="2FF72B73" w14:textId="77777777" w:rsidR="00590829" w:rsidRPr="00424FFD" w:rsidRDefault="00000000">
            <w:pPr>
              <w:pStyle w:val="ListParagraph"/>
              <w:numPr>
                <w:ilvl w:val="0"/>
                <w:numId w:val="2"/>
              </w:numPr>
              <w:spacing w:after="4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Principal-agent (landlord/tenant): </w:t>
            </w:r>
            <w:r w:rsidRPr="00424FFD">
              <w:rPr>
                <w:color w:val="000000"/>
                <w:sz w:val="11"/>
                <w:szCs w:val="11"/>
              </w:rPr>
              <w:t>Min. efficiency standards</w:t>
            </w:r>
          </w:p>
          <w:p w14:paraId="384AAFF9" w14:textId="1940EFC6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Instrument choice: </w:t>
            </w:r>
            <w:r w:rsidRPr="00424FFD">
              <w:rPr>
                <w:color w:val="000000"/>
                <w:sz w:val="11"/>
                <w:szCs w:val="11"/>
              </w:rPr>
              <w:t>Measurable emissions → Tax/Cap-and-Trade; Not measurable → Technology Mandate</w:t>
            </w: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00"/>
              <w:gridCol w:w="1300"/>
              <w:gridCol w:w="900"/>
              <w:gridCol w:w="1000"/>
              <w:gridCol w:w="900"/>
            </w:tblGrid>
            <w:tr w:rsidR="00590829" w:rsidRPr="00424FFD" w14:paraId="4CEE82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44DAB1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Policy</w:t>
                  </w: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2A95DB5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Fixes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67CC61D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Price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BC92CD0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Emissions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FC8FF14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b/>
                      <w:bCs/>
                      <w:sz w:val="11"/>
                      <w:szCs w:val="11"/>
                    </w:rPr>
                    <w:t>Efficiency</w:t>
                  </w:r>
                </w:p>
              </w:tc>
            </w:tr>
            <w:tr w:rsidR="00590829" w:rsidRPr="00424FFD" w14:paraId="6BC273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501DF22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Carbon Tax</w:t>
                  </w: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3DA0453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Price externality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DE4D06D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Fixed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E1CAB22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Uncertain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CDE006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High</w:t>
                  </w:r>
                </w:p>
              </w:tc>
            </w:tr>
            <w:tr w:rsidR="00590829" w:rsidRPr="00424FFD" w14:paraId="69E21D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DD391D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Cap-and-Trade</w:t>
                  </w: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88EAC36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Quantity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4717BEA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Uncertain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0ABBA37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Fixed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713B3B6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High</w:t>
                  </w:r>
                </w:p>
              </w:tc>
            </w:tr>
            <w:tr w:rsidR="00590829" w:rsidRPr="00424FFD" w14:paraId="0F0A13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2A18654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Tech Standard</w:t>
                  </w: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9AAF778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Technology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EE47DDA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None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EBCE412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Fixed/Indirect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F865224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Low</w:t>
                  </w:r>
                </w:p>
              </w:tc>
            </w:tr>
            <w:tr w:rsidR="00590829" w:rsidRPr="00424FFD" w14:paraId="7B91AC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09A3ED0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Subsidy</w:t>
                  </w: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8685EF9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Incentives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7102CC8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None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292C295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Uncertain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33FA45F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Medium</w:t>
                  </w:r>
                </w:p>
              </w:tc>
            </w:tr>
            <w:tr w:rsidR="00590829" w:rsidRPr="00424FFD" w14:paraId="2AAEE7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EA5ABD8" w14:textId="77777777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proofErr w:type="spellStart"/>
                  <w:r w:rsidRPr="00424FFD">
                    <w:rPr>
                      <w:sz w:val="11"/>
                      <w:szCs w:val="11"/>
                    </w:rPr>
                    <w:t>Cmd</w:t>
                  </w:r>
                  <w:proofErr w:type="spellEnd"/>
                  <w:r w:rsidRPr="00424FFD">
                    <w:rPr>
                      <w:sz w:val="11"/>
                      <w:szCs w:val="11"/>
                    </w:rPr>
                    <w:t xml:space="preserve"> &amp; Control</w:t>
                  </w: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4BE39C9" w14:textId="1B8E3993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Quantity/Method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0BBB654" w14:textId="67810D24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None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C4E73FA" w14:textId="467F5BDD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Fixed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8C43841" w14:textId="45BF880A" w:rsidR="00590829" w:rsidRPr="00424FFD" w:rsidRDefault="00000000">
                  <w:pPr>
                    <w:rPr>
                      <w:sz w:val="11"/>
                      <w:szCs w:val="11"/>
                    </w:rPr>
                  </w:pPr>
                  <w:r w:rsidRPr="00424FFD">
                    <w:rPr>
                      <w:sz w:val="11"/>
                      <w:szCs w:val="11"/>
                    </w:rPr>
                    <w:t>Low</w:t>
                  </w:r>
                </w:p>
              </w:tc>
            </w:tr>
          </w:tbl>
          <w:p w14:paraId="7B75021A" w14:textId="77777777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17. Cap-and-Trade &amp; MAC Equalization</w:t>
            </w:r>
          </w:p>
          <w:p w14:paraId="52DE942F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At equilibrium: MAC_A = MAC_B = Permit Price P</w:t>
            </w:r>
          </w:p>
          <w:p w14:paraId="3FE7A8C4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X_A + X_B = Total Abatement Required</w:t>
            </w:r>
          </w:p>
          <w:p w14:paraId="35422AF0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Lower-cost (flatter MAC) firm abates MORE; buys fewer permits.</w:t>
            </w:r>
          </w:p>
          <w:p w14:paraId="46761AD2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color w:val="000000"/>
                <w:sz w:val="11"/>
                <w:szCs w:val="11"/>
              </w:rPr>
              <w:t>MAC &lt; permit price → Abate | MAC &gt; permit price → Buy permits</w:t>
            </w:r>
          </w:p>
          <w:p w14:paraId="3BEFB7C4" w14:textId="77777777" w:rsidR="00590829" w:rsidRPr="00424FFD" w:rsidRDefault="00000000">
            <w:pPr>
              <w:shd w:val="clear" w:color="auto" w:fill="EEF4FF"/>
              <w:spacing w:before="4" w:after="4"/>
              <w:rPr>
                <w:sz w:val="11"/>
                <w:szCs w:val="11"/>
              </w:rPr>
            </w:pPr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Total cost = </w:t>
            </w:r>
            <w:proofErr w:type="gram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Σ(</w:t>
            </w:r>
            <w:proofErr w:type="gram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0.5 ×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X_i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 xml:space="preserve"> × </w:t>
            </w:r>
            <w:proofErr w:type="spellStart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P_i</w:t>
            </w:r>
            <w:proofErr w:type="spellEnd"/>
            <w:r w:rsidRPr="00424FFD">
              <w:rPr>
                <w:rFonts w:ascii="Courier New" w:eastAsia="Courier New" w:hAnsi="Courier New" w:cs="Courier New"/>
                <w:b/>
                <w:bCs/>
                <w:color w:val="1F3864"/>
                <w:sz w:val="11"/>
                <w:szCs w:val="11"/>
              </w:rPr>
              <w:t>) for each firm</w:t>
            </w:r>
          </w:p>
          <w:p w14:paraId="7669ACFF" w14:textId="607AE433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Offsets: </w:t>
            </w:r>
            <w:r w:rsidRPr="00424FFD">
              <w:rPr>
                <w:color w:val="000000"/>
                <w:sz w:val="11"/>
                <w:szCs w:val="11"/>
              </w:rPr>
              <w:t>Increase compliance options → permit price ↓ → electricity price ↓</w:t>
            </w:r>
          </w:p>
          <w:p w14:paraId="4F1EA7D3" w14:textId="344E542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Free permits: </w:t>
            </w:r>
            <w:r w:rsidRPr="00424FFD">
              <w:rPr>
                <w:color w:val="000000"/>
                <w:sz w:val="11"/>
                <w:szCs w:val="11"/>
              </w:rPr>
              <w:t>Opportunity cost still = market price (same as auctioned); free permits distort exit decisions</w:t>
            </w:r>
          </w:p>
          <w:p w14:paraId="6DF1E4C1" w14:textId="4E95C6CC" w:rsidR="00590829" w:rsidRPr="00424FFD" w:rsidRDefault="00000000">
            <w:pPr>
              <w:pBdr>
                <w:bottom w:val="single" w:sz="4" w:space="1" w:color="1F4E79"/>
              </w:pBdr>
              <w:spacing w:before="60" w:after="30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1F4E79"/>
                <w:sz w:val="11"/>
                <w:szCs w:val="11"/>
              </w:rPr>
              <w:t>18. Carbon Leakage, Reshuffling &amp; Behavioral Failures</w:t>
            </w:r>
          </w:p>
          <w:p w14:paraId="73E1A3FD" w14:textId="327391C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Leakage: </w:t>
            </w:r>
            <w:r w:rsidRPr="00424FFD">
              <w:rPr>
                <w:color w:val="000000"/>
                <w:sz w:val="11"/>
                <w:szCs w:val="11"/>
              </w:rPr>
              <w:t>Regulation → production moves to less-regulated region (global emissions don't fall as much)</w:t>
            </w:r>
          </w:p>
          <w:p w14:paraId="325D260F" w14:textId="6B90E53A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Reshuffling: </w:t>
            </w:r>
            <w:r w:rsidRPr="00424FFD">
              <w:rPr>
                <w:color w:val="000000"/>
                <w:sz w:val="11"/>
                <w:szCs w:val="11"/>
              </w:rPr>
              <w:t>Trading partners change, but total production unchanged (no real leakage)</w:t>
            </w:r>
          </w:p>
          <w:p w14:paraId="3A89DEBF" w14:textId="30A704E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Knowledge spillovers: </w:t>
            </w:r>
            <w:r w:rsidRPr="00424FFD">
              <w:rPr>
                <w:color w:val="000000"/>
                <w:sz w:val="11"/>
                <w:szCs w:val="11"/>
              </w:rPr>
              <w:t>Must flow to OTHER firms to be a market failure (positive externality). Internal R&amp;D sharing is NOT a spillover.</w:t>
            </w:r>
          </w:p>
          <w:p w14:paraId="5633224C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Rebound effect: </w:t>
            </w:r>
            <w:r w:rsidRPr="00424FFD">
              <w:rPr>
                <w:color w:val="000000"/>
                <w:sz w:val="11"/>
                <w:szCs w:val="11"/>
              </w:rPr>
              <w:t>Efficiency ↑ → cost per use ↓ → usage ↑ (NOT a market failure)</w:t>
            </w:r>
          </w:p>
          <w:p w14:paraId="02B7A072" w14:textId="77777777" w:rsidR="00590829" w:rsidRPr="00424FFD" w:rsidRDefault="00000000">
            <w:pPr>
              <w:spacing w:after="6"/>
              <w:rPr>
                <w:sz w:val="11"/>
                <w:szCs w:val="11"/>
              </w:rPr>
            </w:pPr>
            <w:r w:rsidRPr="00424FFD">
              <w:rPr>
                <w:b/>
                <w:bCs/>
                <w:color w:val="000000"/>
                <w:sz w:val="11"/>
                <w:szCs w:val="11"/>
              </w:rPr>
              <w:t xml:space="preserve">CAFE standard: </w:t>
            </w:r>
            <w:r w:rsidRPr="00424FFD">
              <w:rPr>
                <w:color w:val="000000"/>
                <w:sz w:val="11"/>
                <w:szCs w:val="11"/>
              </w:rPr>
              <w:t>Fleet average MPG requirement; compliance via tech improvement or sales mix; credit trading allowed</w:t>
            </w:r>
          </w:p>
        </w:tc>
      </w:tr>
    </w:tbl>
    <w:p w14:paraId="7199000C" w14:textId="52211775" w:rsidR="00360BE9" w:rsidRPr="00424FFD" w:rsidRDefault="00424FFD">
      <w:pPr>
        <w:rPr>
          <w:sz w:val="13"/>
          <w:szCs w:val="13"/>
        </w:rPr>
      </w:pPr>
      <w:r w:rsidRPr="00375E2E">
        <w:rPr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26537553" wp14:editId="3FBEE0CB">
            <wp:simplePos x="0" y="0"/>
            <wp:positionH relativeFrom="column">
              <wp:posOffset>5719849</wp:posOffset>
            </wp:positionH>
            <wp:positionV relativeFrom="paragraph">
              <wp:posOffset>736254</wp:posOffset>
            </wp:positionV>
            <wp:extent cx="2206625" cy="1136650"/>
            <wp:effectExtent l="0" t="0" r="3175" b="6350"/>
            <wp:wrapNone/>
            <wp:docPr id="935207151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07151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FFD">
        <w:rPr>
          <w:sz w:val="13"/>
          <w:szCs w:val="13"/>
        </w:rPr>
        <w:drawing>
          <wp:anchor distT="0" distB="0" distL="114300" distR="114300" simplePos="0" relativeHeight="251675648" behindDoc="1" locked="0" layoutInCell="1" allowOverlap="1" wp14:anchorId="10A8EC82" wp14:editId="7EF5B5F6">
            <wp:simplePos x="0" y="0"/>
            <wp:positionH relativeFrom="column">
              <wp:posOffset>7959437</wp:posOffset>
            </wp:positionH>
            <wp:positionV relativeFrom="paragraph">
              <wp:posOffset>86810</wp:posOffset>
            </wp:positionV>
            <wp:extent cx="1513090" cy="1789500"/>
            <wp:effectExtent l="0" t="0" r="0" b="1270"/>
            <wp:wrapNone/>
            <wp:docPr id="1344561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6129" name="Picture 1" descr="A screenshot of a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077" cy="1797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6AA2">
        <w:rPr>
          <w:rFonts w:asciiTheme="majorHAnsi" w:hAnsiTheme="majorHAnsi" w:cstheme="majorHAnsi"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5CBF42C5" wp14:editId="09EDB2EC">
            <wp:simplePos x="0" y="0"/>
            <wp:positionH relativeFrom="column">
              <wp:posOffset>2957599</wp:posOffset>
            </wp:positionH>
            <wp:positionV relativeFrom="paragraph">
              <wp:posOffset>858231</wp:posOffset>
            </wp:positionV>
            <wp:extent cx="1316355" cy="1064895"/>
            <wp:effectExtent l="0" t="0" r="4445" b="1905"/>
            <wp:wrapNone/>
            <wp:docPr id="410526655" name="Picture 1" descr="A diagram of a supply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6655" name="Picture 1" descr="A diagram of a supply li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FFD">
        <w:rPr>
          <w:sz w:val="13"/>
          <w:szCs w:val="13"/>
        </w:rPr>
        <w:drawing>
          <wp:anchor distT="0" distB="0" distL="114300" distR="114300" simplePos="0" relativeHeight="251677696" behindDoc="1" locked="0" layoutInCell="1" allowOverlap="1" wp14:anchorId="0FAD8F52" wp14:editId="5A8DB88C">
            <wp:simplePos x="0" y="0"/>
            <wp:positionH relativeFrom="column">
              <wp:posOffset>1336560</wp:posOffset>
            </wp:positionH>
            <wp:positionV relativeFrom="paragraph">
              <wp:posOffset>930217</wp:posOffset>
            </wp:positionV>
            <wp:extent cx="1576222" cy="991985"/>
            <wp:effectExtent l="0" t="0" r="0" b="0"/>
            <wp:wrapNone/>
            <wp:docPr id="1583272187" name="Picture 1" descr="A diagram of demand and dem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72187" name="Picture 1" descr="A diagram of demand and dema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222" cy="99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0BE9" w:rsidRPr="00424FFD">
      <w:pgSz w:w="15840" w:h="12240" w:orient="landscape"/>
      <w:pgMar w:top="504" w:right="504" w:bottom="504" w:left="5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A4C"/>
    <w:multiLevelType w:val="hybridMultilevel"/>
    <w:tmpl w:val="472CCB56"/>
    <w:lvl w:ilvl="0" w:tplc="23C6EAA8">
      <w:start w:val="1"/>
      <w:numFmt w:val="bullet"/>
      <w:lvlText w:val="•"/>
      <w:lvlJc w:val="left"/>
      <w:pPr>
        <w:ind w:left="360" w:hanging="200"/>
      </w:pPr>
    </w:lvl>
    <w:lvl w:ilvl="1" w:tplc="E500B6AC">
      <w:numFmt w:val="decimal"/>
      <w:lvlText w:val=""/>
      <w:lvlJc w:val="left"/>
    </w:lvl>
    <w:lvl w:ilvl="2" w:tplc="93FCA360">
      <w:numFmt w:val="decimal"/>
      <w:lvlText w:val=""/>
      <w:lvlJc w:val="left"/>
    </w:lvl>
    <w:lvl w:ilvl="3" w:tplc="4C4C5966">
      <w:numFmt w:val="decimal"/>
      <w:lvlText w:val=""/>
      <w:lvlJc w:val="left"/>
    </w:lvl>
    <w:lvl w:ilvl="4" w:tplc="FE14EA74">
      <w:numFmt w:val="decimal"/>
      <w:lvlText w:val=""/>
      <w:lvlJc w:val="left"/>
    </w:lvl>
    <w:lvl w:ilvl="5" w:tplc="1A96563E">
      <w:numFmt w:val="decimal"/>
      <w:lvlText w:val=""/>
      <w:lvlJc w:val="left"/>
    </w:lvl>
    <w:lvl w:ilvl="6" w:tplc="FC02691E">
      <w:numFmt w:val="decimal"/>
      <w:lvlText w:val=""/>
      <w:lvlJc w:val="left"/>
    </w:lvl>
    <w:lvl w:ilvl="7" w:tplc="051431CE">
      <w:numFmt w:val="decimal"/>
      <w:lvlText w:val=""/>
      <w:lvlJc w:val="left"/>
    </w:lvl>
    <w:lvl w:ilvl="8" w:tplc="F4EC869A">
      <w:numFmt w:val="decimal"/>
      <w:lvlText w:val=""/>
      <w:lvlJc w:val="left"/>
    </w:lvl>
  </w:abstractNum>
  <w:abstractNum w:abstractNumId="1" w15:restartNumberingAfterBreak="0">
    <w:nsid w:val="4DEA4FDF"/>
    <w:multiLevelType w:val="hybridMultilevel"/>
    <w:tmpl w:val="E7509672"/>
    <w:lvl w:ilvl="0" w:tplc="1E14448E">
      <w:start w:val="1"/>
      <w:numFmt w:val="bullet"/>
      <w:lvlText w:val="◦"/>
      <w:lvlJc w:val="left"/>
      <w:pPr>
        <w:ind w:left="600" w:hanging="200"/>
      </w:pPr>
    </w:lvl>
    <w:lvl w:ilvl="1" w:tplc="9292898E">
      <w:numFmt w:val="decimal"/>
      <w:lvlText w:val=""/>
      <w:lvlJc w:val="left"/>
    </w:lvl>
    <w:lvl w:ilvl="2" w:tplc="781648D4">
      <w:numFmt w:val="decimal"/>
      <w:lvlText w:val=""/>
      <w:lvlJc w:val="left"/>
    </w:lvl>
    <w:lvl w:ilvl="3" w:tplc="53B81594">
      <w:numFmt w:val="decimal"/>
      <w:lvlText w:val=""/>
      <w:lvlJc w:val="left"/>
    </w:lvl>
    <w:lvl w:ilvl="4" w:tplc="1FAC6720">
      <w:numFmt w:val="decimal"/>
      <w:lvlText w:val=""/>
      <w:lvlJc w:val="left"/>
    </w:lvl>
    <w:lvl w:ilvl="5" w:tplc="997C9748">
      <w:numFmt w:val="decimal"/>
      <w:lvlText w:val=""/>
      <w:lvlJc w:val="left"/>
    </w:lvl>
    <w:lvl w:ilvl="6" w:tplc="0CC65320">
      <w:numFmt w:val="decimal"/>
      <w:lvlText w:val=""/>
      <w:lvlJc w:val="left"/>
    </w:lvl>
    <w:lvl w:ilvl="7" w:tplc="77BE123E">
      <w:numFmt w:val="decimal"/>
      <w:lvlText w:val=""/>
      <w:lvlJc w:val="left"/>
    </w:lvl>
    <w:lvl w:ilvl="8" w:tplc="56DC9536">
      <w:numFmt w:val="decimal"/>
      <w:lvlText w:val=""/>
      <w:lvlJc w:val="left"/>
    </w:lvl>
  </w:abstractNum>
  <w:abstractNum w:abstractNumId="2" w15:restartNumberingAfterBreak="0">
    <w:nsid w:val="75B02FC3"/>
    <w:multiLevelType w:val="hybridMultilevel"/>
    <w:tmpl w:val="15F8293E"/>
    <w:lvl w:ilvl="0" w:tplc="8D2665B2">
      <w:start w:val="1"/>
      <w:numFmt w:val="bullet"/>
      <w:lvlText w:val="●"/>
      <w:lvlJc w:val="left"/>
      <w:pPr>
        <w:ind w:left="720" w:hanging="360"/>
      </w:pPr>
    </w:lvl>
    <w:lvl w:ilvl="1" w:tplc="E0DC1D14">
      <w:start w:val="1"/>
      <w:numFmt w:val="bullet"/>
      <w:lvlText w:val="○"/>
      <w:lvlJc w:val="left"/>
      <w:pPr>
        <w:ind w:left="1440" w:hanging="360"/>
      </w:pPr>
    </w:lvl>
    <w:lvl w:ilvl="2" w:tplc="F9A85AD6">
      <w:start w:val="1"/>
      <w:numFmt w:val="bullet"/>
      <w:lvlText w:val="■"/>
      <w:lvlJc w:val="left"/>
      <w:pPr>
        <w:ind w:left="2160" w:hanging="360"/>
      </w:pPr>
    </w:lvl>
    <w:lvl w:ilvl="3" w:tplc="60F407EA">
      <w:start w:val="1"/>
      <w:numFmt w:val="bullet"/>
      <w:lvlText w:val="●"/>
      <w:lvlJc w:val="left"/>
      <w:pPr>
        <w:ind w:left="2880" w:hanging="360"/>
      </w:pPr>
    </w:lvl>
    <w:lvl w:ilvl="4" w:tplc="0AEED190">
      <w:start w:val="1"/>
      <w:numFmt w:val="bullet"/>
      <w:lvlText w:val="○"/>
      <w:lvlJc w:val="left"/>
      <w:pPr>
        <w:ind w:left="3600" w:hanging="360"/>
      </w:pPr>
    </w:lvl>
    <w:lvl w:ilvl="5" w:tplc="247CF3D4">
      <w:start w:val="1"/>
      <w:numFmt w:val="bullet"/>
      <w:lvlText w:val="■"/>
      <w:lvlJc w:val="left"/>
      <w:pPr>
        <w:ind w:left="4320" w:hanging="360"/>
      </w:pPr>
    </w:lvl>
    <w:lvl w:ilvl="6" w:tplc="90E65E02">
      <w:start w:val="1"/>
      <w:numFmt w:val="bullet"/>
      <w:lvlText w:val="●"/>
      <w:lvlJc w:val="left"/>
      <w:pPr>
        <w:ind w:left="5040" w:hanging="360"/>
      </w:pPr>
    </w:lvl>
    <w:lvl w:ilvl="7" w:tplc="E30A9488">
      <w:start w:val="1"/>
      <w:numFmt w:val="bullet"/>
      <w:lvlText w:val="●"/>
      <w:lvlJc w:val="left"/>
      <w:pPr>
        <w:ind w:left="5760" w:hanging="360"/>
      </w:pPr>
    </w:lvl>
    <w:lvl w:ilvl="8" w:tplc="BC4C4E32">
      <w:start w:val="1"/>
      <w:numFmt w:val="bullet"/>
      <w:lvlText w:val="●"/>
      <w:lvlJc w:val="left"/>
      <w:pPr>
        <w:ind w:left="6480" w:hanging="360"/>
      </w:pPr>
    </w:lvl>
  </w:abstractNum>
  <w:num w:numId="1" w16cid:durableId="990871037">
    <w:abstractNumId w:val="2"/>
    <w:lvlOverride w:ilvl="0">
      <w:startOverride w:val="1"/>
    </w:lvlOverride>
  </w:num>
  <w:num w:numId="2" w16cid:durableId="728303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29"/>
    <w:rsid w:val="00360BE9"/>
    <w:rsid w:val="00424FFD"/>
    <w:rsid w:val="00590829"/>
    <w:rsid w:val="00FC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ED28"/>
  <w15:docId w15:val="{ACB2F75A-0BA7-E842-BB2D-7426EE76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5"/>
        <w:szCs w:val="15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909</Words>
  <Characters>5723</Characters>
  <Application>Microsoft Office Word</Application>
  <DocSecurity>0</DocSecurity>
  <Lines>89</Lines>
  <Paragraphs>30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Chia Hui Wang</cp:lastModifiedBy>
  <cp:revision>2</cp:revision>
  <dcterms:created xsi:type="dcterms:W3CDTF">2026-05-07T03:53:00Z</dcterms:created>
  <dcterms:modified xsi:type="dcterms:W3CDTF">2026-05-07T04:37:00Z</dcterms:modified>
</cp:coreProperties>
</file>