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37F" w:rsidRDefault="00061F7C">
      <w:pPr>
        <w:pStyle w:val="Title"/>
      </w:pPr>
      <w:r>
        <w:t xml:space="preserve">Land disturbance history, not current management strategy, determines microbial carbon use efficiency in a young </w:t>
      </w:r>
      <w:r>
        <w:rPr>
          <w:i/>
        </w:rPr>
        <w:t>Miscanthus x giganteus</w:t>
      </w:r>
      <w:r>
        <w:t xml:space="preserve"> agroecosystem</w:t>
      </w:r>
    </w:p>
    <w:p w:rsidR="00D0237F" w:rsidRDefault="00061F7C">
      <w:pPr>
        <w:pStyle w:val="Heading1"/>
      </w:pPr>
      <w:bookmarkStart w:id="0" w:name="jennifer-kane1-louis-mcdonald1-jeffrey-s"/>
      <w:bookmarkEnd w:id="0"/>
      <w:r>
        <w:t>Jennifer Kane</w:t>
      </w:r>
      <w:r>
        <w:rPr>
          <w:vertAlign w:val="superscript"/>
        </w:rPr>
        <w:t>1</w:t>
      </w:r>
      <w:r>
        <w:t>, Louis McDonald</w:t>
      </w:r>
      <w:r>
        <w:rPr>
          <w:vertAlign w:val="superscript"/>
        </w:rPr>
        <w:t>1</w:t>
      </w:r>
      <w:r>
        <w:t>, Jeffrey Skousen</w:t>
      </w:r>
      <w:r>
        <w:rPr>
          <w:vertAlign w:val="superscript"/>
        </w:rPr>
        <w:t>1</w:t>
      </w:r>
      <w:r>
        <w:t>, Zachary Freedman</w:t>
      </w:r>
      <w:r>
        <w:rPr>
          <w:vertAlign w:val="superscript"/>
        </w:rPr>
        <w:t>2</w:t>
      </w:r>
      <w:r>
        <w:t>, Ember Morrissey</w:t>
      </w:r>
      <w:r>
        <w:rPr>
          <w:vertAlign w:val="superscript"/>
        </w:rPr>
        <w:t>1</w:t>
      </w:r>
    </w:p>
    <w:p w:rsidR="00D0237F" w:rsidRDefault="00061F7C">
      <w:pPr>
        <w:pStyle w:val="FirstParagraph"/>
      </w:pPr>
      <w:r>
        <w:rPr>
          <w:vertAlign w:val="superscript"/>
        </w:rPr>
        <w:t>1</w:t>
      </w:r>
      <w:r>
        <w:t xml:space="preserve"> </w:t>
      </w:r>
      <w:r>
        <w:t>West Virginia University, Division of Plant and Soil Science</w:t>
      </w:r>
    </w:p>
    <w:p w:rsidR="00D0237F" w:rsidRDefault="00061F7C">
      <w:pPr>
        <w:pStyle w:val="BodyText"/>
      </w:pPr>
      <w:r>
        <w:rPr>
          <w:vertAlign w:val="superscript"/>
        </w:rPr>
        <w:t>2</w:t>
      </w:r>
      <w:r>
        <w:t xml:space="preserve"> University of Wisconsin-Madision, Department of Soil Science</w:t>
      </w:r>
    </w:p>
    <w:p w:rsidR="00D0237F" w:rsidRDefault="00D0237F">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640338" w:rsidRDefault="00640338">
      <w:pPr>
        <w:pStyle w:val="BodyText"/>
      </w:pPr>
    </w:p>
    <w:p w:rsidR="00D0237F" w:rsidRDefault="00061F7C" w:rsidP="00640338">
      <w:pPr>
        <w:pStyle w:val="Heading1"/>
        <w:spacing w:line="480" w:lineRule="auto"/>
      </w:pPr>
      <w:bookmarkStart w:id="1" w:name="introduction"/>
      <w:bookmarkEnd w:id="1"/>
      <w:r>
        <w:lastRenderedPageBreak/>
        <w:t>Introduction</w:t>
      </w:r>
    </w:p>
    <w:p w:rsidR="00D0237F" w:rsidRDefault="00061F7C" w:rsidP="00640338">
      <w:pPr>
        <w:pStyle w:val="Heading2"/>
        <w:spacing w:line="480" w:lineRule="auto"/>
      </w:pPr>
      <w:bookmarkStart w:id="2" w:name="background-objective-and-hypotheses"/>
      <w:bookmarkEnd w:id="2"/>
      <w:r>
        <w:t>Background, objective, and hypotheses</w:t>
      </w:r>
    </w:p>
    <w:p w:rsidR="00D0237F" w:rsidRDefault="00061F7C" w:rsidP="00640338">
      <w:pPr>
        <w:pStyle w:val="FirstParagraph"/>
        <w:spacing w:line="480" w:lineRule="auto"/>
      </w:pPr>
      <w:r>
        <w:t xml:space="preserve">Soil bacteria and fungi form mutualistic relationships with plants whereby they </w:t>
      </w:r>
      <w:r>
        <w:t>mine soil for plant-essential nutrients and, in exchange, recieve carbon (C) rich sugars from plant photosynthesis. The either inocorporate this carbon into their biomass or use it as energy, resulting in respiration as carbon dioxide. Hence, soil microbes</w:t>
      </w:r>
      <w:r>
        <w:t xml:space="preserve"> play an important role in mediating the flow of nutrients and carbon through ecosystems. The balance of C retention in biomass versus loss as carbon dioxide (hereafter, carbon use efficiency (CUE)) determines in part the storage of C in soil or release as</w:t>
      </w:r>
      <w:r>
        <w:t xml:space="preserve"> a potent greenhouse gas. Recent evidence suggests that microbial CUE is determined in part by soil nutrient status (Sinsabaugh et al. 2013, Kallenbach et al. 2019). However, soil physical disturbance, like that which occurs during surface mining, results </w:t>
      </w:r>
      <w:r>
        <w:t>in a multifaceted shift in environmental conditions (e.g., loss of soil structure, changes in soil hydrology), which affect microbial communities (Skousen &amp; Zipper, 2014; Kane et al. 2020). Hence, our objective was to parse the effect of land disturbance h</w:t>
      </w:r>
      <w:r>
        <w:t xml:space="preserve">istory and current management regime on microbial CUE. The main question that this study aimed to adress was: how does fertilization regime interact with land disturbance to shape microbial carbon use efficiency in a </w:t>
      </w:r>
      <w:r>
        <w:rPr>
          <w:i/>
        </w:rPr>
        <w:t>Miscanthus x giganteus</w:t>
      </w:r>
      <w:r>
        <w:t xml:space="preserve"> agroecosystem? W</w:t>
      </w:r>
      <w:r>
        <w:t xml:space="preserve">e hypothesized that land disturbance and fertilization regime will both influence CUE depending on disturbance intensity and fertilization type. Lands that are most intensely disturbed will show the lowest microbial CUE due to the stressful conditions. </w:t>
      </w:r>
      <w:r>
        <w:lastRenderedPageBreak/>
        <w:t>Fer</w:t>
      </w:r>
      <w:r>
        <w:t>tilization with inorganic nutrients will facilitate a high CUE due to the increase in N, P, and K relative to C. Organic fertilization will result in an overall stimulation of growth, but no change in CUE due to the balanced input of C, N, P, and K.</w:t>
      </w:r>
    </w:p>
    <w:p w:rsidR="00D0237F" w:rsidRDefault="00061F7C" w:rsidP="00640338">
      <w:pPr>
        <w:pStyle w:val="Heading1"/>
        <w:spacing w:line="480" w:lineRule="auto"/>
      </w:pPr>
      <w:bookmarkStart w:id="3" w:name="methods"/>
      <w:bookmarkEnd w:id="3"/>
      <w:r>
        <w:t>Method</w:t>
      </w:r>
      <w:r>
        <w:t>s</w:t>
      </w:r>
    </w:p>
    <w:p w:rsidR="00D0237F" w:rsidRDefault="00061F7C" w:rsidP="00640338">
      <w:pPr>
        <w:pStyle w:val="Heading2"/>
        <w:spacing w:line="480" w:lineRule="auto"/>
      </w:pPr>
      <w:bookmarkStart w:id="4" w:name="experimental-methods"/>
      <w:bookmarkEnd w:id="4"/>
      <w:r>
        <w:t>Experimental Methods</w:t>
      </w:r>
    </w:p>
    <w:p w:rsidR="00D0237F" w:rsidRDefault="00061F7C" w:rsidP="00640338">
      <w:pPr>
        <w:pStyle w:val="FirstParagraph"/>
        <w:spacing w:line="480" w:lineRule="auto"/>
      </w:pPr>
      <w:r>
        <w:t xml:space="preserve">In May of 2019, </w:t>
      </w:r>
      <w:r>
        <w:rPr>
          <w:i/>
        </w:rPr>
        <w:t>Miscanthus x giganteus</w:t>
      </w:r>
      <w:r>
        <w:t xml:space="preserve"> plots were established on the West Virginia University Animal Science and Agronomy Farms. Within each farm, areas were categorized according to their history of surface mining disturbance and so</w:t>
      </w:r>
      <w:r>
        <w:t xml:space="preserve">il quality as either high or low disturbance. Within each farm-disturbance level pair, four blocks each containing four 5-square meter plots were assigned. The four plots within each block were randomly assigned one of four fertilization treatments: none, </w:t>
      </w:r>
      <w:r>
        <w:t>organic (300 kg/ha composted dairy manure), high inorganic (300 kg/ha 15-15-15 N-P-K), or low inorganic (100 kg/ha N-P-K). Within each plot, 25 Miscanthus x giganteus rhizomes were planted at 1 meter spacing to a depth of 4 cm. In July of 2020, soil was co</w:t>
      </w:r>
      <w:r>
        <w:t>llected to a depth of 4 cm from the rhizosphere of three randomly selected Miscanthus x giganteus plants within each plot. The soil from the three plants was composited and homogenized, resulting in one soil sample from each plot. Within 48 hours, laborato</w:t>
      </w:r>
      <w:r>
        <w:t xml:space="preserve">ry stable isotope incubations were initiated whereby </w:t>
      </w:r>
      <w:r>
        <w:rPr>
          <w:vertAlign w:val="superscript"/>
        </w:rPr>
        <w:t>13</w:t>
      </w:r>
      <w:r>
        <w:t xml:space="preserve">C labeled glucose was added to 20 g soil (dry weight equivelent) in a 1-liter jar and moisture was standardized across all samples. Total and </w:t>
      </w:r>
      <w:r>
        <w:rPr>
          <w:vertAlign w:val="superscript"/>
        </w:rPr>
        <w:t>13</w:t>
      </w:r>
      <w:r>
        <w:t>C-labeled carbon dioxide concentration of the jar headspa</w:t>
      </w:r>
      <w:r>
        <w:t xml:space="preserve">ce was </w:t>
      </w:r>
      <w:r>
        <w:lastRenderedPageBreak/>
        <w:t xml:space="preserve">measured at 24, 72, and 120 hour time points. Atthe 120 hour time point, soil was collected from the jars and total and </w:t>
      </w:r>
      <w:r>
        <w:rPr>
          <w:vertAlign w:val="superscript"/>
        </w:rPr>
        <w:t>13</w:t>
      </w:r>
      <w:r>
        <w:t>C-labeled microbial biomass C was measured using chloroform fumigation (Witt et al., 2000) and persulfate digestion (Doyle et a</w:t>
      </w:r>
      <w:r>
        <w:t>l. 2004) techniques. Microbial carbom use efficency was calculated as:</w:t>
      </w:r>
    </w:p>
    <w:p w:rsidR="00D0237F" w:rsidRDefault="00061F7C" w:rsidP="00640338">
      <w:pPr>
        <w:pStyle w:val="BodyText"/>
        <w:spacing w:line="480" w:lineRule="auto"/>
      </w:pPr>
      <m:oMathPara>
        <m:oMathParaPr>
          <m:jc m:val="center"/>
        </m:oMathParaPr>
        <m:oMath>
          <m:r>
            <w:rPr>
              <w:rFonts w:ascii="Cambria Math" w:hAnsi="Cambria Math"/>
            </w:rPr>
            <m:t>CUE</m:t>
          </m:r>
          <m:r>
            <w:rPr>
              <w:rFonts w:ascii="Cambria Math" w:hAnsi="Cambria Math"/>
            </w:rPr>
            <m:t>=</m:t>
          </m:r>
          <m:f>
            <m:fPr>
              <m:ctrlPr>
                <w:rPr>
                  <w:rFonts w:ascii="Cambria Math" w:hAnsi="Cambria Math"/>
                </w:rPr>
              </m:ctrlPr>
            </m:fPr>
            <m:num>
              <m:sSup>
                <m:sSupPr>
                  <m:ctrlPr>
                    <w:rPr>
                      <w:rFonts w:ascii="Cambria Math" w:hAnsi="Cambria Math"/>
                    </w:rPr>
                  </m:ctrlPr>
                </m:sSupPr>
                <m:e/>
                <m:sup>
                  <m:sSup>
                    <m:sSupPr>
                      <m:ctrlPr>
                        <w:rPr>
                          <w:rFonts w:ascii="Cambria Math" w:hAnsi="Cambria Math"/>
                        </w:rPr>
                      </m:ctrlPr>
                    </m:sSupPr>
                    <m:e>
                      <m:r>
                        <w:rPr>
                          <w:rFonts w:ascii="Cambria Math" w:hAnsi="Cambria Math"/>
                        </w:rPr>
                        <m:t>13</m:t>
                      </m:r>
                    </m:e>
                    <m:sup>
                      <m:sSub>
                        <m:sSubPr>
                          <m:ctrlPr>
                            <w:rPr>
                              <w:rFonts w:ascii="Cambria Math" w:hAnsi="Cambria Math"/>
                            </w:rPr>
                          </m:ctrlPr>
                        </m:sSubPr>
                        <m:e/>
                        <m:sub>
                          <m:r>
                            <w:rPr>
                              <w:rFonts w:ascii="Cambria Math" w:hAnsi="Cambria Math"/>
                            </w:rPr>
                            <m:t>C</m:t>
                          </m:r>
                        </m:sub>
                      </m:sSub>
                    </m:sup>
                  </m:sSup>
                </m:sup>
              </m:sSup>
              <m:r>
                <w:rPr>
                  <w:rFonts w:ascii="Cambria Math" w:hAnsi="Cambria Math"/>
                </w:rPr>
                <m:t>Biomass</m:t>
              </m:r>
            </m:num>
            <m:den>
              <m:sSup>
                <m:sSupPr>
                  <m:ctrlPr>
                    <w:rPr>
                      <w:rFonts w:ascii="Cambria Math" w:hAnsi="Cambria Math"/>
                    </w:rPr>
                  </m:ctrlPr>
                </m:sSupPr>
                <m:e/>
                <m:sup>
                  <m:sSup>
                    <m:sSupPr>
                      <m:ctrlPr>
                        <w:rPr>
                          <w:rFonts w:ascii="Cambria Math" w:hAnsi="Cambria Math"/>
                        </w:rPr>
                      </m:ctrlPr>
                    </m:sSupPr>
                    <m:e>
                      <m:r>
                        <w:rPr>
                          <w:rFonts w:ascii="Cambria Math" w:hAnsi="Cambria Math"/>
                        </w:rPr>
                        <m:t>13</m:t>
                      </m:r>
                    </m:e>
                    <m:sup>
                      <m:sSub>
                        <m:sSubPr>
                          <m:ctrlPr>
                            <w:rPr>
                              <w:rFonts w:ascii="Cambria Math" w:hAnsi="Cambria Math"/>
                            </w:rPr>
                          </m:ctrlPr>
                        </m:sSubPr>
                        <m:e/>
                        <m:sub>
                          <m:r>
                            <w:rPr>
                              <w:rFonts w:ascii="Cambria Math" w:hAnsi="Cambria Math"/>
                            </w:rPr>
                            <m:t>C</m:t>
                          </m:r>
                        </m:sub>
                      </m:sSub>
                    </m:sup>
                  </m:sSup>
                </m:sup>
              </m:sSup>
              <m:r>
                <w:rPr>
                  <w:rFonts w:ascii="Cambria Math" w:hAnsi="Cambria Math"/>
                </w:rPr>
                <m:t>Biomass</m:t>
              </m:r>
              <m:limUpp>
                <m:limUppPr>
                  <m:ctrlPr>
                    <w:rPr>
                      <w:rFonts w:ascii="Cambria Math" w:hAnsi="Cambria Math"/>
                    </w:rPr>
                  </m:ctrlPr>
                </m:limUppPr>
                <m:e>
                  <m:r>
                    <w:rPr>
                      <w:rFonts w:ascii="Cambria Math" w:hAnsi="Cambria Math"/>
                    </w:rPr>
                    <m:t>+</m:t>
                  </m:r>
                </m:e>
                <m:lim>
                  <m:sSup>
                    <m:sSupPr>
                      <m:ctrlPr>
                        <w:rPr>
                          <w:rFonts w:ascii="Cambria Math" w:hAnsi="Cambria Math"/>
                        </w:rPr>
                      </m:ctrlPr>
                    </m:sSupPr>
                    <m:e>
                      <m:r>
                        <w:rPr>
                          <w:rFonts w:ascii="Cambria Math" w:hAnsi="Cambria Math"/>
                        </w:rPr>
                        <m:t>13</m:t>
                      </m:r>
                    </m:e>
                    <m:sup>
                      <m:sSub>
                        <m:sSubPr>
                          <m:ctrlPr>
                            <w:rPr>
                              <w:rFonts w:ascii="Cambria Math" w:hAnsi="Cambria Math"/>
                            </w:rPr>
                          </m:ctrlPr>
                        </m:sSubPr>
                        <m:e/>
                        <m:sub>
                          <m:r>
                            <w:rPr>
                              <w:rFonts w:ascii="Cambria Math" w:hAnsi="Cambria Math"/>
                            </w:rPr>
                            <m:t>C</m:t>
                          </m:r>
                        </m:sub>
                      </m:sSub>
                    </m:sup>
                  </m:sSup>
                </m:lim>
              </m:limUpp>
              <m:r>
                <w:rPr>
                  <w:rFonts w:ascii="Cambria Math" w:hAnsi="Cambria Math"/>
                </w:rPr>
                <m:t>Respired</m:t>
              </m:r>
            </m:den>
          </m:f>
        </m:oMath>
      </m:oMathPara>
    </w:p>
    <w:p w:rsidR="00D0237F" w:rsidRDefault="00061F7C" w:rsidP="00640338">
      <w:pPr>
        <w:pStyle w:val="Heading2"/>
        <w:spacing w:line="480" w:lineRule="auto"/>
      </w:pPr>
      <w:bookmarkStart w:id="5" w:name="statistical-methods"/>
      <w:bookmarkEnd w:id="5"/>
      <w:r>
        <w:t>Statistical Methods</w:t>
      </w:r>
    </w:p>
    <w:p w:rsidR="00D0237F" w:rsidRDefault="00061F7C" w:rsidP="00640338">
      <w:pPr>
        <w:pStyle w:val="FirstParagraph"/>
        <w:spacing w:line="480" w:lineRule="auto"/>
      </w:pPr>
      <w:r>
        <w:t>We modeled our response variable, microbial carbon use efficiency (CUE), as a function of fertilizat</w:t>
      </w:r>
      <w:r>
        <w:t>ion treatment, disturbance level, and block using Analysis of Variance (ANOVA; Fisher, 1918) assuming a Gaussian distribution of residuals. To assess whether fertilization affected CUE within disturbance levels, an interaction term between fertilization tr</w:t>
      </w:r>
      <w:r>
        <w:t>eatment and disturbance level was included in the model. Statistical significance of the main effects was determined using the F-test, with the null hypothesis being that there is no difference in CUE between fertilization treatments, disturbance levels, o</w:t>
      </w:r>
      <w:r>
        <w:t>r fertilization treatments within disturbance levels. The effect of predictor variables on CUE was considered significant at an alpha level of 0.05.</w:t>
      </w:r>
    </w:p>
    <w:p w:rsidR="00D0237F" w:rsidRDefault="00061F7C" w:rsidP="00640338">
      <w:pPr>
        <w:pStyle w:val="Heading1"/>
        <w:spacing w:line="480" w:lineRule="auto"/>
      </w:pPr>
      <w:bookmarkStart w:id="6" w:name="results"/>
      <w:bookmarkEnd w:id="6"/>
      <w:r>
        <w:t>Results</w:t>
      </w:r>
    </w:p>
    <w:p w:rsidR="00D0237F" w:rsidRDefault="00061F7C" w:rsidP="00640338">
      <w:pPr>
        <w:pStyle w:val="FirstParagraph"/>
        <w:spacing w:line="480" w:lineRule="auto"/>
      </w:pPr>
      <w:r>
        <w:t xml:space="preserve">In all, our model included 64 experimental units (i.e., plots). Within this, there were two levels </w:t>
      </w:r>
      <w:r>
        <w:t xml:space="preserve">of disturbance and four levels of fertilization treatment, each containing 32 and 16 experimental units respectively. The effect of block was significant (F-value = 5.238, </w:t>
      </w:r>
      <w:r>
        <w:rPr>
          <w:i/>
        </w:rPr>
        <w:lastRenderedPageBreak/>
        <w:t>p</w:t>
      </w:r>
      <w:r>
        <w:t>=2.3e-05) suggesting an effective use of blocks to reduce variation across the land</w:t>
      </w:r>
      <w:r>
        <w:t xml:space="preserve">scape within factor levels. Futher, the effect of disturbance level alone on CUE was statistically significant (F-value = 20.225, </w:t>
      </w:r>
      <w:r>
        <w:rPr>
          <w:i/>
        </w:rPr>
        <w:t>p</w:t>
      </w:r>
      <w:r>
        <w:t xml:space="preserve"> = 6.3e-05; </w:t>
      </w:r>
      <w:r>
        <w:rPr>
          <w:b/>
        </w:rPr>
        <w:t>Figure 1</w:t>
      </w:r>
      <w:r>
        <w:t xml:space="preserve">), while the effect of treatment was not (F-value = 2.135, </w:t>
      </w:r>
      <w:r>
        <w:rPr>
          <w:i/>
        </w:rPr>
        <w:t>p</w:t>
      </w:r>
      <w:r>
        <w:t xml:space="preserve">=0.112; </w:t>
      </w:r>
      <w:r>
        <w:rPr>
          <w:b/>
        </w:rPr>
        <w:t>Figure 2</w:t>
      </w:r>
      <w:r>
        <w:t>). There was no significant i</w:t>
      </w:r>
      <w:r>
        <w:t xml:space="preserve">nteraction between disturbance and fertilization (F-value=0.436, </w:t>
      </w:r>
      <w:r>
        <w:rPr>
          <w:i/>
        </w:rPr>
        <w:t>p</w:t>
      </w:r>
      <w:r>
        <w:t>=0.728). These results indicate that disturbance history may be more influential in shaping microbial CUE than current land management practices (i.e., fertilization). The low disturbance le</w:t>
      </w:r>
      <w:r>
        <w:t>vel showed a significantly higher microbial CUE than the high disturbance level. High disturbance may function to decrease microbial CUE by creating stressful conditions that select for stress-tolerating life strategies. These strategies may include metabo</w:t>
      </w:r>
      <w:r>
        <w:t>lic pathways that control initiation of dormancy and maintenance of cellular integrity under temperature and moisture extremes (Malik et al. 2020). It is plausible that the investment in such pathways is energetically (i.e., carbon) expensive, thus renderi</w:t>
      </w:r>
      <w:r>
        <w:t>ng the microbial community less carbon-efficient as more energy is spent in such ways to survive.</w:t>
      </w:r>
    </w:p>
    <w:p w:rsidR="00D0237F" w:rsidRDefault="00D0237F" w:rsidP="00640338">
      <w:pPr>
        <w:pStyle w:val="BodyText"/>
        <w:spacing w:line="480" w:lineRule="auto"/>
      </w:pPr>
    </w:p>
    <w:p w:rsidR="00D0237F" w:rsidRDefault="00061F7C" w:rsidP="00640338">
      <w:pPr>
        <w:spacing w:line="480" w:lineRule="auto"/>
      </w:pPr>
      <w:r>
        <w:rPr>
          <w:noProof/>
        </w:rPr>
        <w:lastRenderedPageBreak/>
        <w:drawing>
          <wp:inline distT="0" distB="0" distL="0" distR="0">
            <wp:extent cx="4620126" cy="3696101"/>
            <wp:effectExtent l="0" t="0" r="0" b="0"/>
            <wp:docPr id="1" name="Picture" descr="Figure 1. Microbial CUE is highest when disturbance level is low. Diamonds represent group means. Error bars represent +/- standard error."/>
            <wp:cNvGraphicFramePr/>
            <a:graphic xmlns:a="http://schemas.openxmlformats.org/drawingml/2006/main">
              <a:graphicData uri="http://schemas.openxmlformats.org/drawingml/2006/picture">
                <pic:pic xmlns:pic="http://schemas.openxmlformats.org/drawingml/2006/picture">
                  <pic:nvPicPr>
                    <pic:cNvPr id="0" name="Picture" descr="formatting1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0237F" w:rsidRDefault="00061F7C" w:rsidP="00640338">
      <w:pPr>
        <w:pStyle w:val="ImageCaption"/>
        <w:spacing w:line="480" w:lineRule="auto"/>
      </w:pPr>
      <w:r>
        <w:rPr>
          <w:b/>
        </w:rPr>
        <w:t>Figure 1</w:t>
      </w:r>
      <w:r>
        <w:t>. Microbial CUE is highest when disturbance level is low. Diamonds represent group means. Error bars represent +/- standard error.</w:t>
      </w:r>
    </w:p>
    <w:p w:rsidR="00D0237F" w:rsidRDefault="00061F7C" w:rsidP="00640338">
      <w:pPr>
        <w:spacing w:line="480" w:lineRule="auto"/>
      </w:pPr>
      <w:r>
        <w:rPr>
          <w:noProof/>
        </w:rPr>
        <w:lastRenderedPageBreak/>
        <w:drawing>
          <wp:inline distT="0" distB="0" distL="0" distR="0">
            <wp:extent cx="4620126" cy="3696101"/>
            <wp:effectExtent l="0" t="0" r="0" b="0"/>
            <wp:docPr id="2" name="Picture" descr="Figure 2. Microbial CUE does not vary by fertilization treatment. Diamonds represent group means. Error bars represent +/- standard error."/>
            <wp:cNvGraphicFramePr/>
            <a:graphic xmlns:a="http://schemas.openxmlformats.org/drawingml/2006/main">
              <a:graphicData uri="http://schemas.openxmlformats.org/drawingml/2006/picture">
                <pic:pic xmlns:pic="http://schemas.openxmlformats.org/drawingml/2006/picture">
                  <pic:nvPicPr>
                    <pic:cNvPr id="0" name="Picture" descr="formatting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0237F" w:rsidRDefault="00061F7C" w:rsidP="00640338">
      <w:pPr>
        <w:pStyle w:val="ImageCaption"/>
        <w:spacing w:line="480" w:lineRule="auto"/>
      </w:pPr>
      <w:r>
        <w:rPr>
          <w:b/>
        </w:rPr>
        <w:t>Figure 2</w:t>
      </w:r>
      <w:r>
        <w:t>. Micr</w:t>
      </w:r>
      <w:r>
        <w:t>obial CUE does not vary by fertilization treatment. Diamonds represent group means. Error bars represent +/- standard error.</w:t>
      </w:r>
    </w:p>
    <w:p w:rsidR="00640338" w:rsidRDefault="00640338" w:rsidP="00640338">
      <w:pPr>
        <w:pStyle w:val="Heading1"/>
        <w:spacing w:line="480" w:lineRule="auto"/>
      </w:pPr>
      <w:bookmarkStart w:id="7" w:name="references-cited"/>
      <w:bookmarkEnd w:id="7"/>
    </w:p>
    <w:p w:rsidR="00640338" w:rsidRDefault="00640338" w:rsidP="00640338">
      <w:pPr>
        <w:pStyle w:val="Heading1"/>
        <w:spacing w:line="480" w:lineRule="auto"/>
      </w:pPr>
    </w:p>
    <w:p w:rsidR="00640338" w:rsidRDefault="00640338" w:rsidP="00640338">
      <w:pPr>
        <w:pStyle w:val="BodyText"/>
      </w:pPr>
    </w:p>
    <w:p w:rsidR="00640338" w:rsidRPr="00640338" w:rsidRDefault="00640338" w:rsidP="00640338">
      <w:pPr>
        <w:pStyle w:val="BodyText"/>
      </w:pPr>
      <w:bookmarkStart w:id="8" w:name="_GoBack"/>
      <w:bookmarkEnd w:id="8"/>
    </w:p>
    <w:p w:rsidR="00D0237F" w:rsidRDefault="00061F7C" w:rsidP="00640338">
      <w:pPr>
        <w:pStyle w:val="Heading1"/>
        <w:spacing w:line="480" w:lineRule="auto"/>
      </w:pPr>
      <w:r>
        <w:lastRenderedPageBreak/>
        <w:t>References Cited</w:t>
      </w:r>
    </w:p>
    <w:p w:rsidR="00D0237F" w:rsidRDefault="00061F7C" w:rsidP="00640338">
      <w:pPr>
        <w:pStyle w:val="FirstParagraph"/>
        <w:spacing w:line="480" w:lineRule="auto"/>
      </w:pPr>
      <w:r>
        <w:t>Doyle, A. P., Weintraub, M. N., Schimel, J. P. 2004. Persulfate digestion and simultaneous colorimetric analysis o</w:t>
      </w:r>
      <w:r>
        <w:t>f carbon and nitrogen in soil extracts. Soil Science Society of America Journal 68:669-676.</w:t>
      </w:r>
    </w:p>
    <w:p w:rsidR="00D0237F" w:rsidRDefault="00061F7C" w:rsidP="00640338">
      <w:pPr>
        <w:pStyle w:val="BodyText"/>
        <w:spacing w:line="480" w:lineRule="auto"/>
      </w:pPr>
      <w:r>
        <w:t>Fisher, R. A. 1918. The causes of human variability. The Eugenics Review 10:213-220.</w:t>
      </w:r>
    </w:p>
    <w:p w:rsidR="00D0237F" w:rsidRDefault="00061F7C" w:rsidP="00640338">
      <w:pPr>
        <w:pStyle w:val="BodyText"/>
        <w:spacing w:line="480" w:lineRule="auto"/>
      </w:pPr>
      <w:r>
        <w:t>Kallenbach, C. M., Wallenstein, M. D., Schipanksi, M. E., Grandy, A. S. 2019. M</w:t>
      </w:r>
      <w:r>
        <w:t>anaging agroecosystems for soil microbial carbon use efficiency: ecological unknowns, potential outcomes, and a path forward. Frontiers in Microbiology 10:1146.</w:t>
      </w:r>
    </w:p>
    <w:p w:rsidR="00D0237F" w:rsidRDefault="00061F7C" w:rsidP="00640338">
      <w:pPr>
        <w:pStyle w:val="BodyText"/>
        <w:spacing w:line="480" w:lineRule="auto"/>
      </w:pPr>
      <w:r>
        <w:t>Kane, J. L., Morrissey, E. M., Skousen, J., Freedman, Z. B. 2020. Soil microbial succession fol</w:t>
      </w:r>
      <w:r>
        <w:t>lowing surface mining is governed primarily by deterministic factors. FEMS Microbiology Ecology 96(11):fiaa114.</w:t>
      </w:r>
    </w:p>
    <w:p w:rsidR="00D0237F" w:rsidRDefault="00061F7C" w:rsidP="00640338">
      <w:pPr>
        <w:pStyle w:val="BodyText"/>
        <w:spacing w:line="480" w:lineRule="auto"/>
      </w:pPr>
      <w:r>
        <w:t xml:space="preserve">Malik, A. A., Martiny, J. B. H., Brodie, E. L., Martiny, A. C., Treseder, K. K., Allison, S. D. 2020. Defining trait-based microbial strategies </w:t>
      </w:r>
      <w:r>
        <w:t>with consequences for soil carbon cycling under climate change. The International Society for Microbial Ecology Journal 14:1-9.</w:t>
      </w:r>
    </w:p>
    <w:p w:rsidR="00D0237F" w:rsidRDefault="00061F7C" w:rsidP="00640338">
      <w:pPr>
        <w:pStyle w:val="BodyText"/>
        <w:spacing w:line="480" w:lineRule="auto"/>
      </w:pPr>
      <w:r>
        <w:t>Sinsabaugh, R. L., Manzoni, S., Moorhead, D. L., Richter, A. 2013b. Carbon use efficiency of microbial communities: stoichiometr</w:t>
      </w:r>
      <w:r>
        <w:t>y, methodology and modelling. Ecology Letters 16:930-939.</w:t>
      </w:r>
    </w:p>
    <w:p w:rsidR="00D0237F" w:rsidRDefault="00061F7C" w:rsidP="00640338">
      <w:pPr>
        <w:pStyle w:val="BodyText"/>
        <w:spacing w:line="480" w:lineRule="auto"/>
      </w:pPr>
      <w:r>
        <w:t>Skousen, J., Zipper, C. E. 2014. Post-mining policies and practices in the Eastern USA coal region. International Journal of Coal Science and Technology 1:135-151.</w:t>
      </w:r>
    </w:p>
    <w:p w:rsidR="00D0237F" w:rsidRDefault="00061F7C" w:rsidP="00640338">
      <w:pPr>
        <w:pStyle w:val="BodyText"/>
        <w:spacing w:line="480" w:lineRule="auto"/>
      </w:pPr>
      <w:r>
        <w:lastRenderedPageBreak/>
        <w:t>Witt, C., Galicia, C. C., Gaunt, J. L., Ottow, J. C. G., Neue, H. U. 2000. A rapid chloroform-fumigation extraction method for measuring soil microbial biomass carbon and nitrogen in flooded rice soils. Biology and Fertility of Soils 30:510-519.</w:t>
      </w:r>
    </w:p>
    <w:sectPr w:rsidR="00D0237F" w:rsidSect="0077184C">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F7C" w:rsidRDefault="00061F7C">
      <w:pPr>
        <w:spacing w:after="0"/>
      </w:pPr>
      <w:r>
        <w:separator/>
      </w:r>
    </w:p>
  </w:endnote>
  <w:endnote w:type="continuationSeparator" w:id="0">
    <w:p w:rsidR="00061F7C" w:rsidRDefault="00061F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F7C" w:rsidRDefault="00061F7C">
      <w:r>
        <w:separator/>
      </w:r>
    </w:p>
  </w:footnote>
  <w:footnote w:type="continuationSeparator" w:id="0">
    <w:p w:rsidR="00061F7C" w:rsidRDefault="00061F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582439"/>
    <w:multiLevelType w:val="multilevel"/>
    <w:tmpl w:val="713802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0067A9"/>
    <w:multiLevelType w:val="multilevel"/>
    <w:tmpl w:val="D5082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21C7EB"/>
    <w:multiLevelType w:val="multilevel"/>
    <w:tmpl w:val="002282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428CE3"/>
    <w:multiLevelType w:val="multilevel"/>
    <w:tmpl w:val="0F103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8DC5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ADDC85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75387CB6"/>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0EF414C8"/>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C01EF1F2"/>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4D66914E"/>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31607FF8"/>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40A4476"/>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10584B34"/>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67E07C54"/>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B906C5BE"/>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04C6710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1AE401"/>
    <w:multiLevelType w:val="multilevel"/>
    <w:tmpl w:val="B080A0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F9FE20"/>
    <w:multiLevelType w:val="multilevel"/>
    <w:tmpl w:val="E7EE3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5"/>
  </w:num>
  <w:num w:numId="4">
    <w:abstractNumId w:val="6"/>
  </w:num>
  <w:num w:numId="5">
    <w:abstractNumId w:val="7"/>
  </w:num>
  <w:num w:numId="6">
    <w:abstractNumId w:val="8"/>
  </w:num>
  <w:num w:numId="7">
    <w:abstractNumId w:val="9"/>
  </w:num>
  <w:num w:numId="8">
    <w:abstractNumId w:val="14"/>
  </w:num>
  <w:num w:numId="9">
    <w:abstractNumId w:val="10"/>
  </w:num>
  <w:num w:numId="10">
    <w:abstractNumId w:val="11"/>
  </w:num>
  <w:num w:numId="11">
    <w:abstractNumId w:val="12"/>
  </w:num>
  <w:num w:numId="12">
    <w:abstractNumId w:val="13"/>
  </w:num>
  <w:num w:numId="13">
    <w:abstractNumId w:val="15"/>
  </w:num>
  <w:num w:numId="14">
    <w:abstractNumId w:val="2"/>
  </w:num>
  <w:num w:numId="15">
    <w:abstractNumId w:val="17"/>
  </w:num>
  <w:num w:numId="16">
    <w:abstractNumId w:val="17"/>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F7C"/>
    <w:rsid w:val="004E29B3"/>
    <w:rsid w:val="00590D07"/>
    <w:rsid w:val="00640338"/>
    <w:rsid w:val="00784D58"/>
    <w:rsid w:val="008D6863"/>
    <w:rsid w:val="00B86B75"/>
    <w:rsid w:val="00BC48D5"/>
    <w:rsid w:val="00C36279"/>
    <w:rsid w:val="00D0237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3ED8"/>
  <w15:docId w15:val="{60C7D368-ADE4-403B-9393-255F7434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9624B"/>
    <w:pPr>
      <w:keepNext/>
      <w:keepLines/>
      <w:spacing w:before="480" w:after="0"/>
      <w:outlineLvl w:val="0"/>
    </w:pPr>
    <w:rPr>
      <w:rFonts w:ascii="Palatino" w:eastAsiaTheme="majorEastAsia" w:hAnsi="Palatino" w:cstheme="majorBidi"/>
      <w:b/>
      <w:bCs/>
      <w:color w:val="000000" w:themeColor="text1"/>
      <w:szCs w:val="32"/>
    </w:rPr>
  </w:style>
  <w:style w:type="paragraph" w:styleId="Heading2">
    <w:name w:val="heading 2"/>
    <w:basedOn w:val="Normal"/>
    <w:next w:val="BodyText"/>
    <w:uiPriority w:val="9"/>
    <w:unhideWhenUsed/>
    <w:qFormat/>
    <w:rsid w:val="00D9624B"/>
    <w:pPr>
      <w:keepNext/>
      <w:keepLines/>
      <w:spacing w:before="200" w:after="0"/>
      <w:outlineLvl w:val="1"/>
    </w:pPr>
    <w:rPr>
      <w:rFonts w:asciiTheme="majorHAnsi" w:eastAsiaTheme="majorEastAsia" w:hAnsiTheme="majorHAnsi"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8959BB"/>
    <w:rPr>
      <w:rFonts w:ascii="Palatino" w:hAnsi="Palatino"/>
    </w:rPr>
  </w:style>
  <w:style w:type="paragraph" w:customStyle="1" w:styleId="Compact">
    <w:name w:val="Compact"/>
    <w:basedOn w:val="BodyText"/>
    <w:qFormat/>
    <w:pPr>
      <w:spacing w:before="36" w:after="36"/>
    </w:pPr>
  </w:style>
  <w:style w:type="paragraph" w:styleId="Title">
    <w:name w:val="Title"/>
    <w:basedOn w:val="Normal"/>
    <w:next w:val="BodyText"/>
    <w:qFormat/>
    <w:rsid w:val="002E505D"/>
    <w:pPr>
      <w:keepNext/>
      <w:keepLines/>
      <w:spacing w:before="480" w:after="240"/>
      <w:jc w:val="center"/>
    </w:pPr>
    <w:rPr>
      <w:rFonts w:ascii="Palatino" w:eastAsiaTheme="majorEastAsia" w:hAnsi="Palatino" w:cstheme="majorBidi"/>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19473A"/>
    <w:rPr>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SourceCodeChar"/>
    <w:rsid w:val="0019473A"/>
    <w:pPr>
      <w:shd w:val="clear" w:color="auto" w:fill="F8F8F8"/>
      <w:wordWrap w:val="0"/>
      <w:spacing w:after="80" w:line="480" w:lineRule="auto"/>
    </w:pPr>
  </w:style>
  <w:style w:type="character" w:customStyle="1" w:styleId="KeywordTok">
    <w:name w:val="KeywordTok"/>
    <w:basedOn w:val="SourceCodeChar"/>
    <w:rPr>
      <w:rFonts w:ascii="Consolas" w:hAnsi="Consolas"/>
      <w:b/>
      <w:color w:val="204A87"/>
      <w:sz w:val="22"/>
      <w:shd w:val="clear" w:color="auto" w:fill="F8F8F8"/>
    </w:rPr>
  </w:style>
  <w:style w:type="character" w:customStyle="1" w:styleId="DataTypeTok">
    <w:name w:val="DataTypeTok"/>
    <w:basedOn w:val="SourceCodeChar"/>
    <w:rPr>
      <w:rFonts w:ascii="Consolas" w:hAnsi="Consolas"/>
      <w:color w:val="204A87"/>
      <w:sz w:val="22"/>
      <w:shd w:val="clear" w:color="auto" w:fill="F8F8F8"/>
    </w:rPr>
  </w:style>
  <w:style w:type="character" w:customStyle="1" w:styleId="DecValTok">
    <w:name w:val="DecValTok"/>
    <w:basedOn w:val="SourceCodeChar"/>
    <w:rPr>
      <w:rFonts w:ascii="Consolas" w:hAnsi="Consolas"/>
      <w:color w:val="0000CF"/>
      <w:sz w:val="22"/>
      <w:shd w:val="clear" w:color="auto" w:fill="F8F8F8"/>
    </w:rPr>
  </w:style>
  <w:style w:type="character" w:customStyle="1" w:styleId="BaseNTok">
    <w:name w:val="BaseNTok"/>
    <w:basedOn w:val="SourceCodeChar"/>
    <w:rPr>
      <w:rFonts w:ascii="Consolas" w:hAnsi="Consolas"/>
      <w:color w:val="0000CF"/>
      <w:sz w:val="22"/>
      <w:shd w:val="clear" w:color="auto" w:fill="F8F8F8"/>
    </w:rPr>
  </w:style>
  <w:style w:type="character" w:customStyle="1" w:styleId="FloatTok">
    <w:name w:val="FloatTok"/>
    <w:basedOn w:val="SourceCodeChar"/>
    <w:rPr>
      <w:rFonts w:ascii="Consolas" w:hAnsi="Consolas"/>
      <w:color w:val="0000CF"/>
      <w:sz w:val="22"/>
      <w:shd w:val="clear" w:color="auto" w:fill="F8F8F8"/>
    </w:rPr>
  </w:style>
  <w:style w:type="character" w:customStyle="1" w:styleId="ConstantTok">
    <w:name w:val="ConstantTok"/>
    <w:basedOn w:val="SourceCodeChar"/>
    <w:rPr>
      <w:rFonts w:ascii="Consolas" w:hAnsi="Consolas"/>
      <w:color w:val="000000"/>
      <w:sz w:val="22"/>
      <w:shd w:val="clear" w:color="auto" w:fill="F8F8F8"/>
    </w:rPr>
  </w:style>
  <w:style w:type="character" w:customStyle="1" w:styleId="CharTok">
    <w:name w:val="CharTok"/>
    <w:basedOn w:val="SourceCodeChar"/>
    <w:rPr>
      <w:rFonts w:ascii="Consolas" w:hAnsi="Consolas"/>
      <w:color w:val="4E9A06"/>
      <w:sz w:val="22"/>
      <w:shd w:val="clear" w:color="auto" w:fill="F8F8F8"/>
    </w:rPr>
  </w:style>
  <w:style w:type="character" w:customStyle="1" w:styleId="SpecialCharTok">
    <w:name w:val="SpecialCharTok"/>
    <w:basedOn w:val="SourceCodeChar"/>
    <w:rPr>
      <w:rFonts w:ascii="Consolas" w:hAnsi="Consolas"/>
      <w:color w:val="000000"/>
      <w:sz w:val="22"/>
      <w:shd w:val="clear" w:color="auto" w:fill="F8F8F8"/>
    </w:rPr>
  </w:style>
  <w:style w:type="character" w:customStyle="1" w:styleId="StringTok">
    <w:name w:val="StringTok"/>
    <w:basedOn w:val="SourceCodeChar"/>
    <w:rPr>
      <w:rFonts w:ascii="Consolas" w:hAnsi="Consolas"/>
      <w:color w:val="4E9A06"/>
      <w:sz w:val="22"/>
      <w:shd w:val="clear" w:color="auto" w:fill="F8F8F8"/>
    </w:rPr>
  </w:style>
  <w:style w:type="character" w:customStyle="1" w:styleId="VerbatimStringTok">
    <w:name w:val="VerbatimStringTok"/>
    <w:basedOn w:val="SourceCodeChar"/>
    <w:rPr>
      <w:rFonts w:ascii="Consolas" w:hAnsi="Consolas"/>
      <w:color w:val="4E9A06"/>
      <w:sz w:val="22"/>
      <w:shd w:val="clear" w:color="auto" w:fill="F8F8F8"/>
    </w:rPr>
  </w:style>
  <w:style w:type="character" w:customStyle="1" w:styleId="SpecialStringTok">
    <w:name w:val="SpecialStringTok"/>
    <w:basedOn w:val="SourceCodeChar"/>
    <w:rPr>
      <w:rFonts w:ascii="Consolas" w:hAnsi="Consolas"/>
      <w:color w:val="4E9A06"/>
      <w:sz w:val="22"/>
      <w:shd w:val="clear" w:color="auto" w:fill="F8F8F8"/>
    </w:rPr>
  </w:style>
  <w:style w:type="character" w:customStyle="1" w:styleId="ImportTok">
    <w:name w:val="ImportTok"/>
    <w:basedOn w:val="SourceCodeChar"/>
    <w:rPr>
      <w:rFonts w:ascii="Consolas" w:hAnsi="Consolas"/>
      <w:sz w:val="22"/>
      <w:shd w:val="clear" w:color="auto" w:fill="F8F8F8"/>
    </w:rPr>
  </w:style>
  <w:style w:type="character" w:customStyle="1" w:styleId="CommentTok">
    <w:name w:val="CommentTok"/>
    <w:basedOn w:val="SourceCodeChar"/>
    <w:rPr>
      <w:rFonts w:ascii="Consolas" w:hAnsi="Consolas"/>
      <w:i/>
      <w:color w:val="8F5902"/>
      <w:sz w:val="22"/>
      <w:shd w:val="clear" w:color="auto" w:fill="F8F8F8"/>
    </w:rPr>
  </w:style>
  <w:style w:type="character" w:customStyle="1" w:styleId="DocumentationTok">
    <w:name w:val="DocumentationTok"/>
    <w:basedOn w:val="SourceCodeChar"/>
    <w:rPr>
      <w:rFonts w:ascii="Consolas" w:hAnsi="Consolas"/>
      <w:b/>
      <w:i/>
      <w:color w:val="8F5902"/>
      <w:sz w:val="22"/>
      <w:shd w:val="clear" w:color="auto" w:fill="F8F8F8"/>
    </w:rPr>
  </w:style>
  <w:style w:type="character" w:customStyle="1" w:styleId="AnnotationTok">
    <w:name w:val="AnnotationTok"/>
    <w:basedOn w:val="SourceCodeChar"/>
    <w:rPr>
      <w:rFonts w:ascii="Consolas" w:hAnsi="Consolas"/>
      <w:b/>
      <w:i/>
      <w:color w:val="8F5902"/>
      <w:sz w:val="22"/>
      <w:shd w:val="clear" w:color="auto" w:fill="F8F8F8"/>
    </w:rPr>
  </w:style>
  <w:style w:type="character" w:customStyle="1" w:styleId="CommentVarTok">
    <w:name w:val="CommentVarTok"/>
    <w:basedOn w:val="SourceCodeChar"/>
    <w:rPr>
      <w:rFonts w:ascii="Consolas" w:hAnsi="Consolas"/>
      <w:b/>
      <w:i/>
      <w:color w:val="8F5902"/>
      <w:sz w:val="22"/>
      <w:shd w:val="clear" w:color="auto" w:fill="F8F8F8"/>
    </w:rPr>
  </w:style>
  <w:style w:type="character" w:customStyle="1" w:styleId="OtherTok">
    <w:name w:val="OtherTok"/>
    <w:basedOn w:val="SourceCodeChar"/>
    <w:rPr>
      <w:rFonts w:ascii="Consolas" w:hAnsi="Consolas"/>
      <w:color w:val="8F5902"/>
      <w:sz w:val="22"/>
      <w:shd w:val="clear" w:color="auto" w:fill="F8F8F8"/>
    </w:rPr>
  </w:style>
  <w:style w:type="character" w:customStyle="1" w:styleId="FunctionTok">
    <w:name w:val="FunctionTok"/>
    <w:basedOn w:val="SourceCodeChar"/>
    <w:rPr>
      <w:rFonts w:ascii="Consolas" w:hAnsi="Consolas"/>
      <w:color w:val="000000"/>
      <w:sz w:val="22"/>
      <w:shd w:val="clear" w:color="auto" w:fill="F8F8F8"/>
    </w:rPr>
  </w:style>
  <w:style w:type="character" w:customStyle="1" w:styleId="VariableTok">
    <w:name w:val="VariableTok"/>
    <w:basedOn w:val="SourceCodeChar"/>
    <w:rPr>
      <w:rFonts w:ascii="Consolas" w:hAnsi="Consolas"/>
      <w:color w:val="000000"/>
      <w:sz w:val="22"/>
      <w:shd w:val="clear" w:color="auto" w:fill="F8F8F8"/>
    </w:rPr>
  </w:style>
  <w:style w:type="character" w:customStyle="1" w:styleId="ControlFlowTok">
    <w:name w:val="ControlFlowTok"/>
    <w:basedOn w:val="SourceCodeChar"/>
    <w:rPr>
      <w:rFonts w:ascii="Consolas" w:hAnsi="Consolas"/>
      <w:b/>
      <w:color w:val="204A87"/>
      <w:sz w:val="22"/>
      <w:shd w:val="clear" w:color="auto" w:fill="F8F8F8"/>
    </w:rPr>
  </w:style>
  <w:style w:type="character" w:customStyle="1" w:styleId="OperatorTok">
    <w:name w:val="OperatorTok"/>
    <w:basedOn w:val="SourceCodeChar"/>
    <w:rPr>
      <w:rFonts w:ascii="Consolas" w:hAnsi="Consolas"/>
      <w:b/>
      <w:color w:val="CE5C00"/>
      <w:sz w:val="22"/>
      <w:shd w:val="clear" w:color="auto" w:fill="F8F8F8"/>
    </w:rPr>
  </w:style>
  <w:style w:type="character" w:customStyle="1" w:styleId="BuiltInTok">
    <w:name w:val="BuiltInTok"/>
    <w:basedOn w:val="SourceCodeChar"/>
    <w:rPr>
      <w:rFonts w:ascii="Consolas" w:hAnsi="Consolas"/>
      <w:sz w:val="22"/>
      <w:shd w:val="clear" w:color="auto" w:fill="F8F8F8"/>
    </w:rPr>
  </w:style>
  <w:style w:type="character" w:customStyle="1" w:styleId="ExtensionTok">
    <w:name w:val="ExtensionTok"/>
    <w:basedOn w:val="SourceCodeChar"/>
    <w:rPr>
      <w:rFonts w:ascii="Consolas" w:hAnsi="Consolas"/>
      <w:sz w:val="22"/>
      <w:shd w:val="clear" w:color="auto" w:fill="F8F8F8"/>
    </w:rPr>
  </w:style>
  <w:style w:type="character" w:customStyle="1" w:styleId="PreprocessorTok">
    <w:name w:val="PreprocessorTok"/>
    <w:basedOn w:val="SourceCodeChar"/>
    <w:rPr>
      <w:rFonts w:ascii="Consolas" w:hAnsi="Consolas"/>
      <w:i/>
      <w:color w:val="8F5902"/>
      <w:sz w:val="22"/>
      <w:shd w:val="clear" w:color="auto" w:fill="F8F8F8"/>
    </w:rPr>
  </w:style>
  <w:style w:type="character" w:customStyle="1" w:styleId="AttributeTok">
    <w:name w:val="AttributeTok"/>
    <w:basedOn w:val="SourceCodeChar"/>
    <w:rPr>
      <w:rFonts w:ascii="Consolas" w:hAnsi="Consolas"/>
      <w:color w:val="C4A000"/>
      <w:sz w:val="22"/>
      <w:shd w:val="clear" w:color="auto" w:fill="F8F8F8"/>
    </w:rPr>
  </w:style>
  <w:style w:type="character" w:customStyle="1" w:styleId="RegionMarkerTok">
    <w:name w:val="RegionMarkerTok"/>
    <w:basedOn w:val="SourceCodeChar"/>
    <w:rPr>
      <w:rFonts w:ascii="Consolas" w:hAnsi="Consolas"/>
      <w:sz w:val="22"/>
      <w:shd w:val="clear" w:color="auto" w:fill="F8F8F8"/>
    </w:rPr>
  </w:style>
  <w:style w:type="character" w:customStyle="1" w:styleId="InformationTok">
    <w:name w:val="InformationTok"/>
    <w:basedOn w:val="SourceCodeChar"/>
    <w:rPr>
      <w:rFonts w:ascii="Consolas" w:hAnsi="Consolas"/>
      <w:b/>
      <w:i/>
      <w:color w:val="8F5902"/>
      <w:sz w:val="22"/>
      <w:shd w:val="clear" w:color="auto" w:fill="F8F8F8"/>
    </w:rPr>
  </w:style>
  <w:style w:type="character" w:customStyle="1" w:styleId="WarningTok">
    <w:name w:val="WarningTok"/>
    <w:basedOn w:val="SourceCodeChar"/>
    <w:rPr>
      <w:rFonts w:ascii="Consolas" w:hAnsi="Consolas"/>
      <w:b/>
      <w:i/>
      <w:color w:val="8F5902"/>
      <w:sz w:val="22"/>
      <w:shd w:val="clear" w:color="auto" w:fill="F8F8F8"/>
    </w:rPr>
  </w:style>
  <w:style w:type="character" w:customStyle="1" w:styleId="AlertTok">
    <w:name w:val="AlertTok"/>
    <w:basedOn w:val="SourceCodeChar"/>
    <w:rPr>
      <w:rFonts w:ascii="Consolas" w:hAnsi="Consolas"/>
      <w:color w:val="EF2929"/>
      <w:sz w:val="22"/>
      <w:shd w:val="clear" w:color="auto" w:fill="F8F8F8"/>
    </w:rPr>
  </w:style>
  <w:style w:type="character" w:customStyle="1" w:styleId="ErrorTok">
    <w:name w:val="ErrorTok"/>
    <w:basedOn w:val="SourceCodeChar"/>
    <w:rPr>
      <w:rFonts w:ascii="Consolas" w:hAnsi="Consolas"/>
      <w:b/>
      <w:color w:val="A40000"/>
      <w:sz w:val="22"/>
      <w:shd w:val="clear" w:color="auto" w:fill="F8F8F8"/>
    </w:rPr>
  </w:style>
  <w:style w:type="character" w:customStyle="1" w:styleId="NormalTok">
    <w:name w:val="NormalTok"/>
    <w:basedOn w:val="SourceCodeChar"/>
    <w:rPr>
      <w:rFonts w:ascii="Consolas" w:hAnsi="Consolas"/>
      <w:sz w:val="22"/>
      <w:shd w:val="clear" w:color="auto" w:fill="F8F8F8"/>
    </w:rPr>
  </w:style>
  <w:style w:type="paragraph" w:customStyle="1" w:styleId="Style1">
    <w:name w:val="Style1"/>
    <w:basedOn w:val="Title"/>
    <w:qFormat/>
    <w:rsid w:val="0046359F"/>
    <w:rPr>
      <w:rFonts w:ascii="Palatino Linotype" w:hAnsi="Palatino Linotype"/>
    </w:rPr>
  </w:style>
  <w:style w:type="character" w:customStyle="1" w:styleId="BodyTextChar">
    <w:name w:val="Body Text Char"/>
    <w:basedOn w:val="DefaultParagraphFont"/>
    <w:link w:val="BodyText"/>
    <w:rsid w:val="0046359F"/>
  </w:style>
  <w:style w:type="paragraph" w:customStyle="1" w:styleId="steve-title">
    <w:name w:val="steve-title"/>
    <w:basedOn w:val="Title"/>
    <w:qFormat/>
    <w:rsid w:val="00263D8E"/>
    <w:rPr>
      <w:b/>
      <w:i/>
    </w:rPr>
  </w:style>
  <w:style w:type="character" w:styleId="LineNumber">
    <w:name w:val="line number"/>
    <w:basedOn w:val="DefaultParagraphFont"/>
    <w:semiHidden/>
    <w:unhideWhenUsed/>
    <w:rsid w:val="00771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Land disturbance history, not current management strategy, determines microbial carbon use efficiency in a young Miscanthus x giganteus agroecosystem</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disturbance history, not current management strategy, determines microbial carbon use efficiency in a young Miscanthus x giganteus agroecosystem</dc:title>
  <dc:creator>Jenni Kane</dc:creator>
  <cp:lastModifiedBy>Jenni Kane</cp:lastModifiedBy>
  <cp:revision>2</cp:revision>
  <dcterms:created xsi:type="dcterms:W3CDTF">2021-04-08T19:41:00Z</dcterms:created>
  <dcterms:modified xsi:type="dcterms:W3CDTF">2021-04-08T19:41:00Z</dcterms:modified>
</cp:coreProperties>
</file>