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footerReference w:type="default" r:id="rId28"/>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Real GDP components that remain in the dataset — PCECC96 (consumption), GPDIC1 (investment), and EXPGSC1 (exports) — are restricted to entering only as lags, never contemporaneously, for the same reason: using them same-quarter would let a model partially reconstruct GDP from its own components rather than genuinely forecast it.</w:t>
      </w:r>
      <w:r w:rsidDel="00000000" w:rsidR="00000000" w:rsidRPr="00000000">
        <w:rPr>
          <w:vertAlign w:val="superscript"/>
        </w:rPr>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Our benchmark model is an AR(2) model. 2 lags were determined based on testing out a range of possible p lags up to p = 12, and using the Aikaike Information Criterion (AIC) to determine that the optimal number of lags is two. The AR(2) model is implemented via Ordinary Least Squares (OLS) on two lagged predictors using the statsmodels package. The equation of the model is shown below. When the immediately preceding quarter's GDP is not yet released, the benchmark uses a direct 2-step forecast instead — regressing GDP growth on the t-2 and t-3 lags directly, rather than imputing the missing t-1 lag from another model's prediction. This keeps the benchmark a genuine floor: it only ever uses real, released GDP history.</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 Note: the RMSE and DM figures in this section (Tables 5-9, Appendix Tables B-D) predate the AR-benchmark, GDP-lag, and DM-loss-function fixes described above (Sections 2.2.1, 2.1.1, 2.3.3) — they are pending a re-run of the full historical POOS pipeline and will be refreshed in a follow-up update, not fabricated or hand-edited here.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directly in Table 5, which reports RMSE by model across all 6 versions).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p>
    <w:p w:rsidR="00000000" w:rsidDel="00000000" w:rsidP="00000000" w:rsidRDefault="00000000" w:rsidRPr="00000000" w14:paraId="00000166">
      <w:r>
        <w:t>[Screenshot pending: this figure will show the redesigned DM Statistics panel (single t-statistic per model pair, no matrix) once Supabase is restored and the live app can be captured. The previous version of this figure was an early mockup with placeholder Lorem ipsum text and has been removed.]</w:t>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footerReference w:type="default" r:id="rId29"/>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footerReference w:type="default" r:id="rId30"/>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footerReference w:type="default" r:id="rId31"/>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