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footerReference w:type="default" r:id="rId28"/>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w:t>
      </w:r>
      <w:r w:rsidDel="00000000" w:rsidR="00000000" w:rsidRPr="00000000">
        <w:rPr>
          <w:vertAlign w:val="superscript"/>
        </w:rPr>
        <w:footnoteReference w:customMarkFollows="0" w:id="0"/>
      </w:r>
      <w:r w:rsidDel="00000000" w:rsidR="00000000" w:rsidRPr="00000000">
        <w:rPr>
          <w:rtl w:val="0"/>
        </w:rPr>
        <w:t xml:space="preserve">.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Our benchmark model is an AR(2) model. 2 lags were determined based on testing out a range of possible </w:t>
      </w:r>
      <w:r w:rsidDel="00000000" w:rsidR="00000000" w:rsidRPr="00000000">
        <w:rPr>
          <w:i w:val="1"/>
          <w:iCs w:val="1"/>
          <w:rtl w:val="0"/>
        </w:rPr>
        <w:t xml:space="preserve">p</w:t>
      </w:r>
      <w:r w:rsidDel="00000000" w:rsidR="00000000" w:rsidRPr="00000000">
        <w:rPr>
          <w:rtl w:val="0"/>
        </w:rPr>
        <w:t xml:space="preserve"> lags up to </w:t>
      </w:r>
      <w:r w:rsidDel="00000000" w:rsidR="00000000" w:rsidRPr="00000000">
        <w:rPr>
          <w:i w:val="1"/>
          <w:iCs w:val="1"/>
          <w:rtl w:val="0"/>
        </w:rPr>
        <w:t xml:space="preserve">p </w:t>
      </w:r>
      <w:r w:rsidDel="00000000" w:rsidR="00000000" w:rsidRPr="00000000">
        <w:rPr>
          <w:rtl w:val="0"/>
        </w:rPr>
        <w:t xml:space="preserve">= 12, and using the Aikaike Information Criterion (AIC) to determine that the optimal number of lags is two. The AR(2) model is implemented via Ordinary Least Squares (OLS) on two lagged predictors using the statsmodels package. The equation of the model is shown below.</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 In calendar terms, the 100-quarter test period runs from 2001Q1 to 2025Q4, with training data drawn from as early as 1960Q3.</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rmse Supabase table directly to multiply it with the 50% and 80% Gaussian critical values (0.674 and 1.282) to obtain a confidence interval for each model version, assuming forecast errors are approximately Normally distributed. Because RMSE excludes the 2020 COVID-19 quarters as outliers (Section 2.3.2), these intervals also exclude that tail-event variance, which likely makes them tighter than the true unconditional uncertainty in GDP growth.</w:t>
      </w:r>
      <w:r w:rsidDel="00000000" w:rsidR="00000000" w:rsidRPr="00000000">
        <w:rPr>
          <w:rtl w:val="0"/>
        </w:rPr>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Squared error is used in this case, consistent with the RMSE figures reported alongside each DM test.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Comparing the mean RMSE of each version, we see that unsurprisingly, the best nowcasts are made later in the prediction window, as more data is available (visible directly in Table 5, which reports RMSE by model across all 6 versions).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p>
    <w:p w:rsidR="00000000" w:rsidDel="00000000" w:rsidP="00000000" w:rsidRDefault="00000000" w:rsidRPr="00000000" w14:paraId="00000166">
      <w:r>
        <w:t>[Screenshot pending: this figure will show the redesigned DM Statistics panel (single t-statistic per model pair, no matrix) once Supabase is restored and the live app can be captured. The previous version of this figure was an early mockup with placeholder Lorem ipsum text and has been removed.]</w:t>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footerReference w:type="default" r:id="rId29"/>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footerReference w:type="default" r:id="rId30"/>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footerReference w:type="default" r:id="rId31"/>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