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2960" w:hRule="atLeast"/>
        </w:trPr>
        <w:tc>
          <w:tcPr>
            <w:tcW w:type="dxa" w:w="1080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</w:tcPr>
          <w:p>
            <w:pPr>
              <w:spacing w:before="1200"/>
            </w:pP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1521" cy="3657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521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0"/>
              <w:jc w:val="center"/>
            </w:pPr>
            <w:r>
              <w:rPr>
                <w:rFonts w:ascii="Arial" w:hAnsi="Arial"/>
                <w:b/>
                <w:color w:val="BA0C2F"/>
                <w:sz w:val="26"/>
              </w:rPr>
              <w:t>VOLUME 34  ·  NUMBER 1</w:t>
            </w:r>
          </w:p>
          <w:p>
            <w:pPr>
              <w:jc w:val="center"/>
            </w:pPr>
            <w:r>
              <w:rPr>
                <w:rFonts w:ascii="Georgia" w:hAnsi="Georgia"/>
                <w:i/>
                <w:color w:val="777777"/>
                <w:sz w:val="28"/>
              </w:rPr>
              <w:t>Spring 2026</w:t>
            </w:r>
          </w:p>
          <w:p>
            <w:pPr>
              <w:spacing w:before="2000"/>
            </w:pPr>
          </w:p>
          <w:p>
            <w:pPr>
              <w:jc w:val="center"/>
            </w:pPr>
            <w:r>
              <w:rPr>
                <w:rFonts w:ascii="Arial" w:hAnsi="Arial"/>
                <w:i/>
                <w:color w:val="777777"/>
                <w:sz w:val="20"/>
              </w:rPr>
              <w:t>An Official Publication of the Mathematics Education Student Association  ·  University of Georgia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777777"/>
                <w:sz w:val="20"/>
              </w:rPr>
              <w:t>Cover art by Keith Przybyla-Kuchek</w:t>
            </w:r>
          </w:p>
        </w:tc>
      </w:tr>
    </w:tbl>
    <w:p>
      <w:pPr>
        <w:spacing w:before="2400"/>
      </w:pPr>
    </w:p>
    <w:p>
      <w:pPr>
        <w:jc w:val="center"/>
      </w:pPr>
      <w:r>
        <w:rPr>
          <w:rFonts w:ascii="Georgia" w:hAnsi="Georgia"/>
          <w:b/>
          <w:color w:val="111111"/>
          <w:sz w:val="72"/>
        </w:rPr>
        <w:t>THE MATHEMATICS EDUCATOR</w:t>
      </w:r>
    </w:p>
    <w:p>
      <w:pPr>
        <w:ind w:left="3240" w:right="3240"/>
        <w:jc w:val="center"/>
        <w:pBdr>
          <w:bottom w:val="single" w:sz="16" w:space="4" w:color="BA0C2F"/>
        </w:pBdr>
      </w:pPr>
    </w:p>
    <w:p>
      <w:pPr>
        <w:jc w:val="center"/>
      </w:pPr>
      <w:r>
        <w:rPr>
          <w:rFonts w:ascii="Georgia" w:hAnsi="Georgia"/>
          <w:i/>
          <w:color w:val="777777"/>
          <w:sz w:val="26"/>
        </w:rPr>
        <w:t>An Official Publication of the</w:t>
        <w:br/>
        <w:t>Mathematics Education Student Association</w:t>
        <w:br/>
        <w:t>The University of Georgia</w:t>
      </w:r>
    </w:p>
    <w:p>
      <w:pPr>
        <w:ind w:left="3240" w:right="3240"/>
        <w:jc w:val="center"/>
        <w:pBdr>
          <w:bottom w:val="single" w:sz="16" w:space="4" w:color="BA0C2F"/>
        </w:pBdr>
      </w:pPr>
    </w:p>
    <w:p>
      <w:pPr>
        <w:jc w:val="center"/>
      </w:pPr>
      <w:r>
        <w:rPr>
          <w:rFonts w:ascii="Arial" w:hAnsi="Arial"/>
          <w:b/>
          <w:color w:val="BA0C2F"/>
          <w:sz w:val="26"/>
        </w:rPr>
        <w:t>VOLUME 34  ·  NUMBER 1</w:t>
      </w:r>
    </w:p>
    <w:p>
      <w:pPr>
        <w:jc w:val="center"/>
      </w:pPr>
      <w:r>
        <w:rPr>
          <w:rFonts w:ascii="Georgia" w:hAnsi="Georgia"/>
          <w:i/>
          <w:color w:val="777777"/>
          <w:sz w:val="28"/>
        </w:rPr>
        <w:t>Spring 2026</w:t>
      </w:r>
    </w:p>
    <w:p>
      <w:pPr>
        <w:sectPr>
          <w:pgSz w:w="12240" w:h="15840"/>
          <w:pgMar w:top="432" w:right="720" w:bottom="432" w:left="720" w:header="720" w:footer="720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W w:w="123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51"/>
        <w:gridCol w:w="7680"/>
      </w:tblGrid>
      <w:tr>
        <w:trPr>
          <w:trHeight w:val="1500"/>
        </w:trPr>
        <w:tc>
          <w:tcPr>
            <w:tcW w:type="dxa" w:w="468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  <w:shd w:val="clear" w:color="auto" w:fill="00000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712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e-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12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  <w:shd w:val="clear" w:color="auto" w:fill="BA0C2F"/>
            <w:tcMar>
              <w:top w:w="80" w:type="dxa"/>
              <w:bottom w:w="80" w:type="dxa"/>
              <w:left w:w="160" w:type="dxa"/>
              <w:right w:w="160" w:type="dxa"/>
            </w:tcMar>
            <w:vAlign w:val="center"/>
          </w:tcPr>
          <w:p>
            <w:pPr>
              <w:spacing w:before="0" w:after="4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EDITORIAL STAFF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Vol. 34, No. 1 (2026)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 w:val="0"/>
                <w:i w:val="0"/>
                <w:color w:val="FFFFFF"/>
                <w:sz w:val="21"/>
              </w:rPr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ISSN 1062-9017 (print)  2331-4451 (online)</w:t>
            </w:r>
          </w:p>
        </w:tc>
      </w:tr>
    </w:tbl>
    <w:tbl>
      <w:tblPr>
        <w:tblLook w:firstColumn="1" w:firstRow="1" w:lastColumn="0" w:lastRow="0" w:noHBand="0" w:noVBand="1" w:val="04A0"/>
        <w:tblW w:w="123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31"/>
      </w:tblGrid>
      <w:tr>
        <w:tc>
          <w:tcPr>
            <w:tcW w:type="dxa" w:w="1233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  <w:shd w:val="clear" w:color="auto" w:fill="F5F5F5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color w:val="BA0C2F"/>
                <w:sz w:val="19"/>
              </w:rPr>
              <w:t xml:space="preserve">◆ </w:t>
            </w:r>
            <w:r>
              <w:rPr>
                <w:rFonts w:ascii="Georgia" w:hAnsi="Georgia"/>
                <w:i/>
                <w:color w:val="777777"/>
                <w:sz w:val="19"/>
              </w:rPr>
              <w:t>Cultivating scholarly discourse in mathematics education since 1990</w:t>
            </w:r>
            <w:r>
              <w:rPr>
                <w:rFonts w:ascii="Arial" w:hAnsi="Arial"/>
                <w:color w:val="BA0C2F"/>
                <w:sz w:val="19"/>
              </w:rPr>
              <w:t xml:space="preserve"> ◆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 w:val="0"/>
                <w:color w:val="777777"/>
                <w:sz w:val="17"/>
              </w:rPr>
              <w:t>Published by the Mathematics Education Student Association  ·  University of Georgia  ·  Peer Reviewed  ·  Open Access</w:t>
            </w:r>
          </w:p>
        </w:tc>
      </w:tr>
    </w:tbl>
    <w:p>
      <w:pPr>
        <w:sectPr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0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</w:tcPr>
          <w:p>
            <w:r>
              <w:rPr>
                <w:rFonts w:ascii="Arial" w:hAnsi="Arial"/>
                <w:b/>
                <w:color w:val="BA0C2F"/>
                <w:sz w:val="22"/>
              </w:rPr>
              <w:t>EDITORIAL BOARD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Editors</w:t>
            </w:r>
          </w:p>
          <w:p>
            <w:r>
              <w:rPr>
                <w:rFonts w:ascii="Georgia" w:hAnsi="Georgia"/>
                <w:sz w:val="25"/>
              </w:rPr>
              <w:t>Jennifer Kleiman</w:t>
            </w:r>
          </w:p>
          <w:p>
            <w:r>
              <w:rPr>
                <w:rFonts w:ascii="Georgia" w:hAnsi="Georgia"/>
                <w:sz w:val="25"/>
              </w:rPr>
              <w:t>[Co-Editor Name]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Associate Editors</w:t>
            </w:r>
          </w:p>
          <w:p>
            <w:r>
              <w:rPr>
                <w:rFonts w:ascii="Georgia" w:hAnsi="Georgia"/>
                <w:sz w:val="25"/>
              </w:rPr>
              <w:t>[Associate Editor]</w:t>
            </w:r>
          </w:p>
          <w:p>
            <w:r>
              <w:rPr>
                <w:rFonts w:ascii="Georgia" w:hAnsi="Georgia"/>
                <w:sz w:val="25"/>
              </w:rPr>
              <w:t>[Associate Editor]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Advisor</w:t>
            </w:r>
          </w:p>
          <w:p>
            <w:r>
              <w:rPr>
                <w:rFonts w:ascii="Georgia" w:hAnsi="Georgia"/>
                <w:sz w:val="25"/>
              </w:rPr>
              <w:t>[Advisor]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Copy Editor</w:t>
            </w:r>
          </w:p>
          <w:p>
            <w:r>
              <w:rPr>
                <w:rFonts w:ascii="Georgia" w:hAnsi="Georgia"/>
                <w:sz w:val="25"/>
              </w:rPr>
              <w:t>[Copy Editor]</w:t>
            </w:r>
          </w:p>
        </w:tc>
        <w:tc>
          <w:tcPr>
            <w:tcW w:type="dxa" w:w="540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</w:tcPr>
          <w:p>
            <w:r>
              <w:rPr>
                <w:rFonts w:ascii="Arial" w:hAnsi="Arial"/>
                <w:b/>
                <w:color w:val="BA0C2F"/>
                <w:sz w:val="22"/>
              </w:rPr>
              <w:t>MESA OFFICERS 2026-2027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President</w:t>
            </w:r>
          </w:p>
          <w:p>
            <w:r>
              <w:rPr>
                <w:rFonts w:ascii="Georgia" w:hAnsi="Georgia"/>
                <w:sz w:val="25"/>
              </w:rPr>
              <w:t>[President]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Vice-President</w:t>
            </w:r>
          </w:p>
          <w:p>
            <w:r>
              <w:rPr>
                <w:rFonts w:ascii="Georgia" w:hAnsi="Georgia"/>
                <w:sz w:val="25"/>
              </w:rPr>
              <w:t>[VP]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Secretary</w:t>
            </w:r>
          </w:p>
          <w:p>
            <w:r>
              <w:rPr>
                <w:rFonts w:ascii="Georgia" w:hAnsi="Georgia"/>
                <w:sz w:val="25"/>
              </w:rPr>
              <w:t>[Secretary]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Treasurer</w:t>
            </w:r>
          </w:p>
          <w:p>
            <w:r>
              <w:rPr>
                <w:rFonts w:ascii="Georgia" w:hAnsi="Georgia"/>
                <w:sz w:val="25"/>
              </w:rPr>
              <w:t>[Treasurer]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NCTM Representative</w:t>
            </w:r>
          </w:p>
          <w:p>
            <w:r>
              <w:rPr>
                <w:rFonts w:ascii="Georgia" w:hAnsi="Georgia"/>
                <w:sz w:val="25"/>
              </w:rPr>
              <w:t>[NCTM Rep]</w:t>
            </w:r>
          </w:p>
          <w:p>
            <w:r>
              <w:rPr>
                <w:rFonts w:ascii="Georgia" w:hAnsi="Georgia"/>
                <w:i/>
                <w:color w:val="777777"/>
                <w:sz w:val="22"/>
              </w:rPr>
              <w:t>Colloquium Chair</w:t>
            </w:r>
          </w:p>
          <w:p>
            <w:r>
              <w:rPr>
                <w:rFonts w:ascii="Georgia" w:hAnsi="Georgia"/>
                <w:sz w:val="25"/>
              </w:rPr>
              <w:t>[Chair]</w:t>
            </w:r>
          </w:p>
        </w:tc>
      </w:tr>
    </w:tbl>
    <w:p>
      <w:pPr>
        <w:sectPr>
          <w:footerReference w:type="default" r:id="rId11"/>
          <w:type w:val="continuous"/>
          <w:pgSz w:w="12240" w:h="15840"/>
          <w:pgMar w:top="432" w:right="720" w:bottom="720" w:left="720" w:header="720" w:footer="720" w:gutter="0"/>
          <w:cols w:space="720"/>
          <w:docGrid w:linePitch="360"/>
        </w:sectPr>
      </w:pPr>
    </w:p>
    <w:tbl>
      <w:tblPr>
        <w:tblLook w:firstColumn="1" w:firstRow="1" w:lastColumn="0" w:lastRow="0" w:noHBand="0" w:noVBand="1" w:val="04A0"/>
        <w:tblW w:w="123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51"/>
        <w:gridCol w:w="7680"/>
      </w:tblGrid>
      <w:tr>
        <w:trPr>
          <w:trHeight w:val="1500"/>
        </w:trPr>
        <w:tc>
          <w:tcPr>
            <w:tcW w:type="dxa" w:w="468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  <w:shd w:val="clear" w:color="auto" w:fill="000000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7128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e-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12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  <w:shd w:val="clear" w:color="auto" w:fill="BA0C2F"/>
            <w:tcMar>
              <w:top w:w="80" w:type="dxa"/>
              <w:bottom w:w="80" w:type="dxa"/>
              <w:left w:w="160" w:type="dxa"/>
              <w:right w:w="160" w:type="dxa"/>
            </w:tcMar>
            <w:vAlign w:val="center"/>
          </w:tcPr>
          <w:p>
            <w:pPr>
              <w:spacing w:before="0" w:after="40"/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RESEARCH ARTICLE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Vol. 34, No. 1 (2026), pp. 1–24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 w:val="0"/>
                <w:i w:val="0"/>
                <w:color w:val="FFFFFF"/>
                <w:sz w:val="21"/>
              </w:rPr>
              <w:t>doi.org/10.xxxxx/tme.2026.34.1.01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ISSN 1062-9017 (print)  2331-4451 (online)</w:t>
            </w:r>
          </w:p>
        </w:tc>
      </w:tr>
    </w:tbl>
    <w:tbl>
      <w:tblPr>
        <w:tblLook w:firstColumn="1" w:firstRow="1" w:lastColumn="0" w:lastRow="0" w:noHBand="0" w:noVBand="1" w:val="04A0"/>
        <w:tblW w:w="123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31"/>
      </w:tblGrid>
      <w:tr>
        <w:tc>
          <w:tcPr>
            <w:tcW w:type="dxa" w:w="1233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  <w:shd w:val="clear" w:color="auto" w:fill="F5F5F5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80" w:after="40"/>
              <w:jc w:val="center"/>
            </w:pPr>
            <w:r>
              <w:rPr>
                <w:rFonts w:ascii="Arial" w:hAnsi="Arial"/>
                <w:color w:val="BA0C2F"/>
                <w:sz w:val="19"/>
              </w:rPr>
              <w:t xml:space="preserve">◆ </w:t>
            </w:r>
            <w:r>
              <w:rPr>
                <w:rFonts w:ascii="Georgia" w:hAnsi="Georgia"/>
                <w:i/>
                <w:color w:val="777777"/>
                <w:sz w:val="19"/>
              </w:rPr>
              <w:t>Cultivating scholarly discourse in mathematics education since 1990</w:t>
            </w:r>
            <w:r>
              <w:rPr>
                <w:rFonts w:ascii="Arial" w:hAnsi="Arial"/>
                <w:color w:val="BA0C2F"/>
                <w:sz w:val="19"/>
              </w:rPr>
              <w:t xml:space="preserve"> ◆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 w:val="0"/>
                <w:color w:val="777777"/>
                <w:sz w:val="17"/>
              </w:rPr>
              <w:t>Published by the Mathematics Education Student Association  ·  University of Georgia  ·  Peer Reviewed  ·  Open Access</w:t>
            </w:r>
          </w:p>
        </w:tc>
      </w:tr>
    </w:tbl>
    <w:p>
      <w:pPr>
        <w:sectPr>
          <w:footerReference w:type="default" r:id="rId12"/>
          <w:pgSz w:w="12240" w:h="15840"/>
          <w:pgMar w:top="0" w:right="0" w:bottom="720" w:left="0" w:header="720" w:footer="720" w:gutter="0"/>
          <w:cols w:space="720"/>
          <w:docGrid w:linePitch="360"/>
        </w:sectPr>
      </w:pPr>
    </w:p>
    <w:p>
      <w:pPr>
        <w:pStyle w:val="TMETitle"/>
      </w:pPr>
      <w:r>
        <w:t>[Article Title Goes Here]</w:t>
      </w:r>
    </w:p>
    <w:p>
      <w:pPr>
        <w:spacing w:before="0" w:after="60"/>
      </w:pPr>
      <w:r>
        <w:rPr>
          <w:rFonts w:ascii="Georgia" w:hAnsi="Georgia"/>
          <w:sz w:val="22"/>
        </w:rPr>
        <w:t>[Author One]</w:t>
      </w:r>
      <w:r>
        <w:rPr>
          <w:rFonts w:ascii="Georgia" w:hAnsi="Georgia"/>
          <w:sz w:val="22"/>
          <w:vertAlign w:val="superscript"/>
        </w:rPr>
        <w:t>1</w:t>
      </w:r>
      <w:r>
        <w:rPr>
          <w:rFonts w:ascii="Georgia" w:hAnsi="Georgia"/>
          <w:b/>
          <w:color w:val="BA0C2F"/>
          <w:sz w:val="22"/>
          <w:vertAlign w:val="superscript"/>
        </w:rPr>
        <w:t>†</w:t>
      </w:r>
    </w:p>
    <w:p>
      <w:pPr>
        <w:spacing w:before="0" w:after="0"/>
      </w:pPr>
      <w:r>
        <w:rPr>
          <w:rFonts w:ascii="Georgia" w:hAnsi="Georgia"/>
          <w:color w:val="777777"/>
          <w:sz w:val="18"/>
          <w:vertAlign w:val="superscript"/>
        </w:rPr>
        <w:t>1</w:t>
      </w:r>
      <w:r>
        <w:rPr>
          <w:rFonts w:ascii="Georgia" w:hAnsi="Georgia"/>
          <w:color w:val="777777"/>
          <w:sz w:val="18"/>
        </w:rPr>
        <w:t>[Affiliation]</w:t>
      </w:r>
    </w:p>
    <w:p>
      <w:pPr>
        <w:spacing w:before="40" w:after="0"/>
      </w:pPr>
      <w:r>
        <w:rPr>
          <w:b/>
          <w:color w:val="BA0C2F"/>
        </w:rPr>
        <w:t xml:space="preserve">† </w:t>
      </w:r>
      <w:r>
        <w:rPr>
          <w:rFonts w:ascii="Georgia" w:hAnsi="Georgia"/>
          <w:i/>
          <w:color w:val="777777"/>
          <w:sz w:val="18"/>
        </w:rPr>
        <w:t>Corresponding author: [email@uga.edu]</w:t>
      </w:r>
    </w:p>
    <w:p>
      <w:pPr>
        <w:spacing w:before="160" w:after="160"/>
      </w:pPr>
      <w:r>
        <w:rPr>
          <w:rFonts w:ascii="Arial" w:hAnsi="Arial"/>
          <w:b/>
          <w:color w:val="777777"/>
          <w:sz w:val="18"/>
        </w:rPr>
        <w:t>RECEIVED</w:t>
      </w:r>
      <w:r>
        <w:rPr>
          <w:rFonts w:ascii="Arial" w:hAnsi="Arial"/>
          <w:color w:val="777777"/>
          <w:sz w:val="18"/>
        </w:rPr>
        <w:t xml:space="preserve"> [Date]</w:t>
      </w:r>
      <w:r>
        <w:rPr>
          <w:rFonts w:ascii="Arial" w:hAnsi="Arial"/>
          <w:color w:val="BBBBBB"/>
          <w:sz w:val="18"/>
        </w:rPr>
        <w:t xml:space="preserve">  ·  </w:t>
      </w:r>
      <w:r>
        <w:rPr>
          <w:rFonts w:ascii="Arial" w:hAnsi="Arial"/>
          <w:b/>
          <w:color w:val="777777"/>
          <w:sz w:val="18"/>
        </w:rPr>
        <w:t>REVISED</w:t>
      </w:r>
      <w:r>
        <w:rPr>
          <w:rFonts w:ascii="Arial" w:hAnsi="Arial"/>
          <w:color w:val="777777"/>
          <w:sz w:val="18"/>
        </w:rPr>
        <w:t xml:space="preserve"> [Date]</w:t>
      </w:r>
      <w:r>
        <w:rPr>
          <w:rFonts w:ascii="Arial" w:hAnsi="Arial"/>
          <w:color w:val="BBBBBB"/>
          <w:sz w:val="18"/>
        </w:rPr>
        <w:t xml:space="preserve">  ·  </w:t>
      </w:r>
      <w:r>
        <w:rPr>
          <w:rFonts w:ascii="Arial" w:hAnsi="Arial"/>
          <w:b/>
          <w:color w:val="777777"/>
          <w:sz w:val="18"/>
        </w:rPr>
        <w:t>ACCEPTED</w:t>
      </w:r>
      <w:r>
        <w:rPr>
          <w:rFonts w:ascii="Arial" w:hAnsi="Arial"/>
          <w:color w:val="777777"/>
          <w:sz w:val="18"/>
        </w:rPr>
        <w:t xml:space="preserve"> [Date]</w:t>
      </w:r>
      <w:r>
        <w:rPr>
          <w:rFonts w:ascii="Arial" w:hAnsi="Arial"/>
          <w:color w:val="BBBBBB"/>
          <w:sz w:val="18"/>
        </w:rPr>
        <w:t xml:space="preserve">  ·  </w:t>
      </w:r>
      <w:r>
        <w:rPr>
          <w:rFonts w:ascii="Arial" w:hAnsi="Arial"/>
          <w:b/>
          <w:color w:val="777777"/>
          <w:sz w:val="18"/>
        </w:rPr>
        <w:t>PUBLISHED</w:t>
      </w:r>
      <w:r>
        <w:rPr>
          <w:rFonts w:ascii="Arial" w:hAnsi="Arial"/>
          <w:color w:val="777777"/>
          <w:sz w:val="18"/>
        </w:rPr>
        <w:t xml:space="preserve"> [Date]</w:t>
      </w:r>
    </w:p>
    <w:p>
      <w:pPr>
        <w:spacing w:before="0" w:after="160"/>
        <w:pBdr>
          <w:bottom w:val="single" w:sz="8" w:space="4" w:color="BBBBBB"/>
        </w:pBdr>
      </w:pPr>
    </w:p>
    <w:p>
      <w:pPr>
        <w:spacing w:before="0" w:after="80"/>
      </w:pPr>
      <w:r>
        <w:rPr>
          <w:rFonts w:ascii="Arial" w:hAnsi="Arial"/>
          <w:b/>
          <w:color w:val="BA0C2F"/>
          <w:sz w:val="18"/>
        </w:rPr>
        <w:t>ABOUT THE AUTHORS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Borders>
              <w:top w:val="nil" w:sz="0" w:color="auto"/>
              <w:left w:val="nil" w:sz="0" w:color="auto"/>
              <w:bottom w:val="nil" w:sz="0" w:color="auto"/>
              <w:right w:val="nil" w:sz="0" w:color="auto"/>
            </w:tcBorders>
            <w:tcMar>
              <w:top w:w="0" w:type="dxa"/>
              <w:bottom w:w="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</w:p>
          <w:p>
            <w:pPr>
              <w:spacing w:before="40" w:after="40"/>
              <w:jc w:val="left"/>
            </w:pPr>
            <w:r>
              <w:rPr>
                <w:rFonts w:ascii="Georgia" w:hAnsi="Georgia"/>
                <w:b/>
                <w:i/>
                <w:sz w:val="19"/>
              </w:rPr>
              <w:t>[Author One]</w:t>
            </w:r>
          </w:p>
          <w:p>
            <w:pPr>
              <w:spacing w:before="40" w:after="40" w:line="288" w:lineRule="auto"/>
              <w:jc w:val="both"/>
            </w:pPr>
            <w:r>
              <w:rPr>
                <w:rFonts w:ascii="Georgia" w:hAnsi="Georgia"/>
                <w:sz w:val="17"/>
              </w:rPr>
              <w:t>[Bio paragraph.]</w:t>
            </w:r>
          </w:p>
        </w:tc>
      </w:tr>
    </w:tbl>
    <w:p>
      <w:pPr>
        <w:spacing w:before="0" w:after="160"/>
        <w:pBdr>
          <w:bottom w:val="single" w:sz="8" w:space="4" w:color="BBBBBB"/>
        </w:pBdr>
      </w:pPr>
    </w:p>
    <w:p>
      <w:pPr>
        <w:spacing w:before="0" w:after="80"/>
      </w:pPr>
      <w:r>
        <w:rPr>
          <w:rFonts w:ascii="Arial" w:hAnsi="Arial"/>
          <w:b/>
          <w:color w:val="BA0C2F"/>
          <w:sz w:val="18"/>
        </w:rPr>
        <w:t>ABSTRACT</w:t>
      </w:r>
    </w:p>
    <w:p>
      <w:pPr>
        <w:spacing w:before="0" w:after="120" w:line="312" w:lineRule="auto"/>
        <w:jc w:val="both"/>
      </w:pPr>
      <w:r>
        <w:rPr>
          <w:rFonts w:ascii="Georgia" w:hAnsi="Georgia"/>
          <w:sz w:val="20"/>
        </w:rPr>
        <w:t>[Abstract paragraph goes here.]</w:t>
      </w:r>
    </w:p>
    <w:p>
      <w:pPr>
        <w:spacing w:before="0" w:after="0"/>
      </w:pPr>
      <w:r>
        <w:rPr>
          <w:rFonts w:ascii="Georgia" w:hAnsi="Georgia"/>
          <w:b/>
          <w:sz w:val="19"/>
        </w:rPr>
        <w:t xml:space="preserve">Keywords: </w:t>
      </w:r>
      <w:r>
        <w:rPr>
          <w:rFonts w:ascii="Georgia" w:hAnsi="Georgia"/>
          <w:sz w:val="19"/>
        </w:rPr>
        <w:t>[keyword one] · [keyword two]</w:t>
      </w:r>
    </w:p>
    <w:p>
      <w:pPr>
        <w:sectPr>
          <w:footerReference w:type="default" r:id="rId13"/>
          <w:type w:val="continuous"/>
          <w:pgSz w:w="12240" w:h="15840"/>
          <w:pgMar w:top="432" w:right="720" w:bottom="432" w:left="720" w:header="720" w:footer="720" w:gutter="0"/>
          <w:cols w:space="720"/>
          <w:docGrid w:linePitch="360"/>
        </w:sectPr>
      </w:pPr>
    </w:p>
    <w:p>
      <w:pPr>
        <w:pStyle w:val="TMEH1"/>
      </w:pPr>
      <w:r>
        <w:t>[Body Heading]</w:t>
      </w:r>
    </w:p>
    <w:p>
      <w:pPr>
        <w:pStyle w:val="TMEBody"/>
      </w:pPr>
      <w:r>
        <w:t>[First body paragraph of the article.]</w:t>
      </w:r>
    </w:p>
    <w:p>
      <w:pPr>
        <w:pStyle w:val="TMEBody"/>
      </w:pPr>
      <w:r>
        <w:t>[Second paragraph.]</w:t>
      </w:r>
    </w:p>
    <w:sectPr w:rsidR="00FC693F" w:rsidRPr="0006063C" w:rsidSect="00034616">
      <w:headerReference w:type="default" r:id="rId14"/>
      <w:headerReference w:type="even" r:id="rId15"/>
      <w:footerReference w:type="default" r:id="rId16"/>
      <w:footerReference w:type="even" r:id="rId17"/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W w:w="10800" w:type="dxa"/>
      <w:tblInd w:w="72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800"/>
    </w:tblGrid>
    <w:tr>
      <w:tc>
        <w:tcPr>
          <w:tcW w:type="dxa" w:w="10800"/>
          <w:tcBorders>
            <w:top w:val="nil" w:sz="0" w:color="auto"/>
            <w:left w:val="nil" w:sz="0" w:color="auto"/>
            <w:bottom w:val="nil" w:sz="0" w:color="auto"/>
            <w:right w:val="nil" w:sz="0" w:color="auto"/>
          </w:tcBorders>
          <w:shd w:val="clear" w:color="auto" w:fill="FAFAF7"/>
          <w:tcMar>
            <w:top w:w="120" w:type="dxa"/>
            <w:bottom w:w="120" w:type="dxa"/>
            <w:left w:w="120" w:type="dxa"/>
            <w:right w:w="120" w:type="dxa"/>
          </w:tcMar>
        </w:tcPr>
        <w:p>
          <w:pPr>
            <w:spacing w:before="0" w:after="0" w:line="288" w:lineRule="auto"/>
            <w:jc w:val="left"/>
          </w:pPr>
          <w:r>
            <w:rPr>
              <w:rFonts w:ascii="Arial" w:hAnsi="Arial"/>
              <w:b/>
              <w:color w:val="BA0C2F"/>
              <w:sz w:val="16"/>
            </w:rPr>
            <w:t xml:space="preserve">HOW TO CITE  </w:t>
          </w:r>
          <w:r>
            <w:rPr>
              <w:rFonts w:ascii="Arial" w:hAnsi="Arial"/>
              <w:color w:val="444444"/>
              <w:sz w:val="16"/>
            </w:rPr>
            <w:t>[Author, A. (YYYY). Title. The Mathematics Educator, V(N), pp–pp.]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8" w:space="4" w:color="BBBBBB"/>
      </w:pBdr>
    </w:pPr>
    <w:r>
      <w:rPr>
        <w:rFonts w:ascii="Georgia" w:hAnsi="Georgia"/>
        <w:b/>
        <w:color w:val="111111"/>
        <w:sz w:val="19"/>
      </w:rPr>
      <w:fldChar w:fldCharType="begin"/>
      <w:instrText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8" w:space="4" w:color="BBBBBB"/>
      </w:pBdr>
    </w:pPr>
    <w:r>
      <w:rPr>
        <w:rFonts w:ascii="Georgia" w:hAnsi="Georgia"/>
        <w:b/>
        <w:color w:val="111111"/>
        <w:sz w:val="19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Georgia" w:hAnsi="Georgia"/>
        <w:i/>
        <w:color w:val="777777"/>
        <w:sz w:val="21"/>
      </w:rPr>
      <w:t>[Short Title]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Georgia" w:hAnsi="Georgia"/>
        <w:i/>
        <w:color w:val="777777"/>
        <w:sz w:val="21"/>
      </w:rPr>
      <w:t>[Short Author Cite]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00" w:lineRule="auto" w:before="0" w:after="80"/>
      <w:ind w:left="720"/>
      <w:contextualSpacing/>
    </w:pPr>
    <w:rPr>
      <w:rFonts w:ascii="Georgia" w:hAnsi="Georgia"/>
      <w:sz w:val="23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MEBody">
    <w:name w:val="TME Body"/>
    <w:pPr>
      <w:spacing w:line="300" w:lineRule="auto" w:before="0" w:after="0"/>
      <w:ind w:firstLine="345"/>
      <w:jc w:val="both"/>
    </w:pPr>
    <w:rPr>
      <w:rFonts w:ascii="Georgia" w:hAnsi="Georgia"/>
      <w:sz w:val="23"/>
    </w:rPr>
  </w:style>
  <w:style w:type="paragraph" w:customStyle="1" w:styleId="TMETitle">
    <w:name w:val="TME Title"/>
    <w:pPr>
      <w:spacing w:line="276" w:lineRule="auto" w:before="480" w:after="200"/>
    </w:pPr>
    <w:rPr>
      <w:rFonts w:ascii="Georgia" w:hAnsi="Georgia"/>
      <w:b/>
      <w:color w:val="111111"/>
      <w:sz w:val="36"/>
    </w:rPr>
  </w:style>
  <w:style w:type="paragraph" w:customStyle="1" w:styleId="TMEH1">
    <w:name w:val="TME H1"/>
    <w:pPr>
      <w:keepNext/>
      <w:keepLines/>
      <w:spacing w:before="360" w:after="200"/>
      <w:ind w:left="200"/>
    </w:pPr>
    <w:rPr>
      <w:rFonts w:ascii="Georgia" w:hAnsi="Georgia"/>
      <w:b/>
      <w:color w:val="111111"/>
      <w:sz w:val="32"/>
    </w:rPr>
  </w:style>
  <w:style w:type="paragraph" w:customStyle="1" w:styleId="TMEH2">
    <w:name w:val="TME H2"/>
    <w:pPr>
      <w:keepNext/>
      <w:keepLines/>
      <w:spacing w:before="280" w:after="120"/>
    </w:pPr>
    <w:rPr>
      <w:rFonts w:ascii="Georgia" w:hAnsi="Georgia"/>
      <w:b/>
      <w:i/>
      <w:color w:val="111111"/>
      <w:sz w:val="26"/>
    </w:rPr>
  </w:style>
  <w:style w:type="paragraph" w:customStyle="1" w:styleId="TMEH3">
    <w:name w:val="TME H3"/>
    <w:pPr>
      <w:keepNext/>
      <w:keepLines/>
      <w:spacing w:before="200" w:after="80"/>
    </w:pPr>
    <w:rPr>
      <w:rFonts w:ascii="Georgia" w:hAnsi="Georgia"/>
      <w:b/>
      <w:i w:val="0"/>
      <w:color w:val="111111"/>
      <w:sz w:val="23"/>
    </w:rPr>
  </w:style>
  <w:style w:type="paragraph" w:customStyle="1" w:styleId="TMEFigureCaption">
    <w:name w:val="TME Figure Caption"/>
    <w:pPr>
      <w:keepNext/>
      <w:spacing w:before="480" w:after="120"/>
      <w:jc w:val="left"/>
    </w:pPr>
    <w:rPr>
      <w:rFonts w:ascii="Georgia" w:hAnsi="Georgia"/>
      <w:color w:val="444444"/>
      <w:sz w:val="20"/>
    </w:rPr>
  </w:style>
  <w:style w:type="paragraph" w:customStyle="1" w:styleId="TMETableCaption">
    <w:name w:val="TME Table Caption"/>
    <w:pPr>
      <w:keepNext/>
      <w:spacing w:before="480" w:after="120"/>
      <w:jc w:val="left"/>
    </w:pPr>
    <w:rPr>
      <w:rFonts w:ascii="Georgia" w:hAnsi="Georgia"/>
      <w:color w:val="444444"/>
      <w:sz w:val="20"/>
    </w:rPr>
  </w:style>
  <w:style w:type="paragraph" w:customStyle="1" w:styleId="TMEFootnote">
    <w:name w:val="TME Footnote"/>
    <w:pPr>
      <w:spacing w:line="288" w:lineRule="auto"/>
      <w:jc w:val="both"/>
    </w:pPr>
    <w:rPr>
      <w:rFonts w:ascii="Georgia" w:hAnsi="Georgia"/>
      <w:color w:val="444444"/>
      <w:sz w:val="18"/>
    </w:rPr>
  </w:style>
  <w:style w:type="paragraph" w:customStyle="1" w:styleId="TMEReference">
    <w:name w:val="TME Reference"/>
    <w:pPr>
      <w:spacing w:line="348" w:lineRule="auto" w:after="80"/>
      <w:ind w:left="315" w:hanging="315"/>
    </w:pPr>
    <w:rPr>
      <w:rFonts w:ascii="Georgia" w:hAnsi="Georgia"/>
      <w:sz w:val="21"/>
    </w:rPr>
  </w:style>
  <w:style w:type="paragraph" w:customStyle="1" w:styleId="TMEPullquote">
    <w:name w:val="TME Pullquote"/>
    <w:pPr>
      <w:spacing w:line="360" w:lineRule="auto" w:before="440" w:after="440"/>
      <w:jc w:val="center"/>
    </w:pPr>
    <w:rPr>
      <w:rFonts w:ascii="Georgia" w:hAnsi="Georgia"/>
      <w:i/>
      <w:color w:val="111111"/>
      <w:sz w:val="30"/>
    </w:rPr>
  </w:style>
  <w:style w:type="paragraph" w:customStyle="1" w:styleId="TMEBlockQuote">
    <w:name w:val="TME Block Quote"/>
    <w:pPr>
      <w:spacing w:line="240" w:lineRule="auto" w:before="160" w:after="160"/>
      <w:ind w:left="560" w:right="560"/>
    </w:pPr>
    <w:rPr>
      <w:rFonts w:ascii="Georgia" w:hAnsi="Georgia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4.xml"/><Relationship Id="rId1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