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8"/>
          <w:szCs w:val="38"/>
        </w:rPr>
        <w:t xml:space="preserve">Know Your Weingarten Rights</w:t>
      </w:r>
    </w:p>
    <w:p>
      <w:pPr>
        <w:pBdr>
          <w:bottom w:val="single" w:color="C1662F" w:sz="12"/>
        </w:pBdr>
        <w:spacing w:after="160"/>
      </w:pPr>
      <w:r>
        <w:rPr>
          <w:i/>
          <w:iCs/>
          <w:color w:val="5A6B7B"/>
          <w:sz w:val="19"/>
          <w:szCs w:val="19"/>
        </w:rPr>
        <w:t xml:space="preserve">Your right to union representation in an investigatory meeting</w:t>
      </w:r>
    </w:p>
    <w:tbl>
      <w:tblPr>
        <w:tblW w:type="dxa" w:w="10080"/>
        <w:tblBorders>
          <w:top w:val="single" w:color="C9D4E0" w:sz="4"/>
          <w:left w:val="single" w:color="C1662F" w:sz="18"/>
          <w:bottom w:val="single" w:color="C9D4E0" w:sz="4"/>
          <w:right w:val="single" w:color="C9D4E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AF1F9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r>
              <w:rPr>
                <w:color w:val="2C3E50"/>
                <w:sz w:val="19"/>
                <w:szCs w:val="19"/>
              </w:rPr>
              <w:t xml:space="preserve">For union members. Operational guidance, not legal advice — public-sector and state rules vary. Check with your steward or labor representative.</w:t>
            </w:r>
          </w:p>
        </w:tc>
      </w:tr>
    </w:tbl>
    <w:p>
      <w:pPr>
        <w:spacing w:after="80" w:before="220"/>
      </w:pPr>
      <w:r>
        <w:rPr>
          <w:b/>
          <w:bCs/>
          <w:color w:val="1F3A5F"/>
          <w:sz w:val="24"/>
          <w:szCs w:val="24"/>
        </w:rPr>
        <w:t xml:space="preserve">What they are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1C2733"/>
          <w:sz w:val="20"/>
          <w:szCs w:val="20"/>
        </w:rPr>
        <w:t xml:space="preserve">If you are called into a meeting with management that you reasonably believe could lead to discipline, you have the right to have a union representative present. It comes from the 1975 Supreme Court case NLRB v. J. Weingarten, Inc.</w:t>
      </w:r>
    </w:p>
    <w:p>
      <w:pPr>
        <w:spacing w:after="80" w:before="220"/>
      </w:pPr>
      <w:r>
        <w:rPr>
          <w:b/>
          <w:bCs/>
          <w:color w:val="1F3A5F"/>
          <w:sz w:val="24"/>
          <w:szCs w:val="24"/>
        </w:rPr>
        <w:t xml:space="preserve">When they apply — both must be true</w:t>
      </w:r>
    </w:p>
    <w:p>
      <w:pPr>
        <w:spacing w:after="30" w:before="30"/>
        <w:ind w:left="260" w:hanging="200"/>
      </w:pPr>
      <w:r>
        <w:rPr>
          <w:sz w:val="20"/>
          <w:szCs w:val="20"/>
        </w:rPr>
        <w:t xml:space="preserve">•  The meeting is investigatory: management is seeking facts or your answers.</w:t>
      </w:r>
    </w:p>
    <w:p>
      <w:pPr>
        <w:spacing w:after="30" w:before="30"/>
        <w:ind w:left="260" w:hanging="200"/>
      </w:pPr>
      <w:r>
        <w:rPr>
          <w:sz w:val="20"/>
          <w:szCs w:val="20"/>
        </w:rPr>
        <w:t xml:space="preserve">•  You reasonably believe it could lead to discipline (warning, suspension, discharge, or a mark on your record).</w:t>
      </w:r>
    </w:p>
    <w:p>
      <w:pPr>
        <w:spacing w:after="40" w:before="40"/>
      </w:pPr>
      <w:r>
        <w:rPr>
          <w:b w:val="false"/>
          <w:bCs w:val="false"/>
          <w:i/>
          <w:iCs/>
          <w:color w:val="5A6B7B"/>
          <w:sz w:val="20"/>
          <w:szCs w:val="20"/>
        </w:rPr>
        <w:t xml:space="preserve">A meeting only to inform you of a decision already made, or to give routine instructions, generally is NOT covered.</w:t>
      </w:r>
    </w:p>
    <w:p>
      <w:pPr>
        <w:spacing w:after="80" w:before="220"/>
      </w:pPr>
      <w:r>
        <w:rPr>
          <w:b/>
          <w:bCs/>
          <w:color w:val="1F3A5F"/>
          <w:sz w:val="24"/>
          <w:szCs w:val="24"/>
        </w:rPr>
        <w:t xml:space="preserve">You must ask — it is not automatic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1C2733"/>
          <w:sz w:val="20"/>
          <w:szCs w:val="20"/>
        </w:rPr>
        <w:t xml:space="preserve">In most cases the employer does not have to tell you about this right and does not have to stop unless you request representation. So ask. Memorize or carry this line:</w:t>
      </w:r>
    </w:p>
    <w:tbl>
      <w:tblPr>
        <w:tblW w:type="dxa" w:w="10080"/>
        <w:tblBorders>
          <w:top w:val="single" w:color="C1662F" w:sz="8"/>
          <w:left w:val="single" w:color="C1662F" w:sz="8"/>
          <w:bottom w:val="single" w:color="C1662F" w:sz="8"/>
          <w:right w:val="single" w:color="C1662F" w:sz="8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BEEE4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“If this discussion could in any way lead to my being disciplined or terminated, or affect my personal working conditions, I respectfully request that my union representative be present. Without representation, I choose not to answer any questions.”</w:t>
            </w:r>
          </w:p>
        </w:tc>
      </w:tr>
    </w:tbl>
    <w:p>
      <w:pPr>
        <w:spacing w:after="80" w:before="220"/>
      </w:pPr>
      <w:r>
        <w:rPr>
          <w:b/>
          <w:bCs/>
          <w:color w:val="1F3A5F"/>
          <w:sz w:val="24"/>
          <w:szCs w:val="24"/>
        </w:rPr>
        <w:t xml:space="preserve">After you ask, the employer must choose one</w:t>
      </w:r>
    </w:p>
    <w:p>
      <w:pPr>
        <w:spacing w:after="30" w:before="30"/>
        <w:ind w:left="260" w:hanging="200"/>
      </w:pPr>
      <w:r>
        <w:rPr>
          <w:sz w:val="20"/>
          <w:szCs w:val="20"/>
        </w:rPr>
        <w:t xml:space="preserve">•  Grant it — stop and wait for your rep, or</w:t>
      </w:r>
    </w:p>
    <w:p>
      <w:pPr>
        <w:spacing w:after="30" w:before="30"/>
        <w:ind w:left="260" w:hanging="200"/>
      </w:pPr>
      <w:r>
        <w:rPr>
          <w:sz w:val="20"/>
          <w:szCs w:val="20"/>
        </w:rPr>
        <w:t xml:space="preserve">•  End the interview, or</w:t>
      </w:r>
    </w:p>
    <w:p>
      <w:pPr>
        <w:spacing w:after="30" w:before="30"/>
        <w:ind w:left="260" w:hanging="200"/>
      </w:pPr>
      <w:r>
        <w:rPr>
          <w:sz w:val="20"/>
          <w:szCs w:val="20"/>
        </w:rPr>
        <w:t xml:space="preserve">•  Offer you the choice of continuing without a rep or ending the meeting.</w:t>
      </w:r>
    </w:p>
    <w:p>
      <w:pPr>
        <w:spacing w:after="40" w:before="40"/>
      </w:pPr>
      <w:r>
        <w:rPr>
          <w:b/>
          <w:bCs/>
          <w:i w:val="false"/>
          <w:iCs w:val="false"/>
          <w:color w:val="1C2733"/>
          <w:sz w:val="20"/>
          <w:szCs w:val="20"/>
        </w:rPr>
        <w:t xml:space="preserve">They may NOT deny your request and keep questioning you, and may NOT retaliate for asking.</w:t>
      </w:r>
    </w:p>
    <w:p>
      <w:pPr>
        <w:spacing w:after="80" w:before="220"/>
      </w:pPr>
      <w:r>
        <w:rPr>
          <w:b/>
          <w:bCs/>
          <w:color w:val="1F3A5F"/>
          <w:sz w:val="24"/>
          <w:szCs w:val="24"/>
        </w:rPr>
        <w:t xml:space="preserve">If your rights are denied</w:t>
      </w:r>
    </w:p>
    <w:p>
      <w:pPr>
        <w:spacing w:after="30" w:before="30"/>
        <w:ind w:left="260" w:hanging="200"/>
      </w:pPr>
      <w:r>
        <w:rPr>
          <w:sz w:val="20"/>
          <w:szCs w:val="20"/>
        </w:rPr>
        <w:t xml:space="preserve">•  Stay calm and professional; comply under protest if ordered — do not be insubordinate.</w:t>
      </w:r>
    </w:p>
    <w:p>
      <w:pPr>
        <w:spacing w:after="30" w:before="30"/>
        <w:ind w:left="260" w:hanging="200"/>
      </w:pPr>
      <w:r>
        <w:rPr>
          <w:sz w:val="20"/>
          <w:szCs w:val="20"/>
        </w:rPr>
        <w:t xml:space="preserve">•  Say: “I am answering under protest because my request for representation was denied.”</w:t>
      </w:r>
    </w:p>
    <w:p>
      <w:pPr>
        <w:spacing w:after="30" w:before="30"/>
        <w:ind w:left="260" w:hanging="200"/>
      </w:pPr>
      <w:r>
        <w:rPr>
          <w:sz w:val="20"/>
          <w:szCs w:val="20"/>
        </w:rPr>
        <w:t xml:space="preserve">•  Write down what happened as soon as possible, and tell your steward immediately.</w:t>
      </w:r>
    </w:p>
    <w:p>
      <w:pPr>
        <w:spacing w:after="80" w:before="220"/>
      </w:pPr>
      <w:r>
        <w:rPr>
          <w:b/>
          <w:bCs/>
          <w:color w:val="1F3A5F"/>
          <w:sz w:val="24"/>
          <w:szCs w:val="24"/>
        </w:rPr>
        <w:t xml:space="preserve">Quick reminders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Stay calm; be respectful.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Ask for representation out loud, using the statement above.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Don’t answer questions until your rep arrives.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Tell the truth; never lie or destroy anything.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Write down what happened afterward.</w:t>
      </w:r>
    </w:p>
    <w:p>
      <w:pPr>
        <w:pBdr>
          <w:top w:val="single" w:color="C9D4E0" w:sz="4"/>
        </w:pBdr>
        <w:spacing w:before="280"/>
      </w:pPr>
      <w:r>
        <w:rPr>
          <w:i/>
          <w:iCs/>
          <w:color w:val="5A6B7B"/>
          <w:sz w:val="17"/>
          <w:szCs w:val="17"/>
        </w:rPr>
        <w:t xml:space="preserve">Public-sector employees: similar rights often exist under state law, but details differ. Verify with your labor representative. Not legal advice.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 Your Weingarten Rights</dc:title>
  <dc:creator>Union Chapter Manager</dc:creator>
  <cp:lastModifiedBy>Un-named</cp:lastModifiedBy>
  <cp:revision>1</cp:revision>
  <dcterms:created xsi:type="dcterms:W3CDTF">2026-08-09T00:39:39.633Z</dcterms:created>
  <dcterms:modified xsi:type="dcterms:W3CDTF">2026-08-09T00:39:39.648Z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