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 w Axon mobile, they’re not as far as we thought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SPI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it to tx is complicated- moreso that Bluefruit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 only has sending notifications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w/ 2 different types of antennas (in case one has good and other has poor tx)- one ceramic, other ___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to meet w/ Tan- Robby might go to his office hours from 12-2pm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Fuel Gauge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and State of Charge code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 being read as 2% at 3.5V… not correct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Assuming the code will be fixed, going ahead w/ PCB design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I2C Troubles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Nathaniel rewrote… it suddenly started working again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doesn’t work well with the non-standard fuel gauge protocol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GW: be paranoid it will stop working again?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PCB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almost complete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Rachel adding the solar cell footprints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Tried to meet w/ Erik- maybe he didn’t get our message?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boards design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library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passive components- use small footprint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hit specs with (0402)? Assume we’ll use it, Brady’s got some bravado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Boards designed by Friday night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 for design review next week?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 afternoon 2:30 pm w/ Gary Woods (it’ll be about 1.5 hrs)... maybe Tuesday at 9:30pm because that’s better when Erik can meet. If needed can do both to get more eyes on the design.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boards are waiting apply for competition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Collegiate Ventures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 Dyson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prototype 3 design (building blocks)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