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4E79"/>
          <w:sz w:val="40"/>
          <w:szCs w:val="40"/>
        </w:rPr>
        <w:t xml:space="preserve">Proposal: Migrating from Tableau to Microsoft Power BI</w:t>
      </w:r>
    </w:p>
    <w:p>
      <w:pPr>
        <w:spacing w:after="480" w:before="0"/>
        <w:jc w:val="center"/>
      </w:pPr>
      <w:r>
        <w:rPr>
          <w:rFonts w:ascii="Arial" w:cs="Arial" w:eastAsia="Arial" w:hAnsi="Arial"/>
          <w:i/>
          <w:iCs/>
          <w:color w:val="555555"/>
          <w:sz w:val="24"/>
          <w:szCs w:val="24"/>
        </w:rPr>
        <w:t xml:space="preserve">A business case for adopting Power BI as our primary analytics platform</w:t>
      </w:r>
    </w:p>
    <w:p>
      <w:pPr>
        <w:pStyle w:val="Heading1"/>
        <w:spacing w:after="160" w:before="320"/>
      </w:pPr>
      <w:r>
        <w:rPr>
          <w:rFonts w:ascii="Arial" w:cs="Arial" w:eastAsia="Arial" w:hAnsi="Arial"/>
          <w:b/>
          <w:bCs/>
          <w:color w:val="1F4E79"/>
          <w:sz w:val="32"/>
          <w:szCs w:val="32"/>
        </w:rPr>
        <w:t xml:space="preserve">Executive Summary</w:t>
      </w:r>
    </w:p>
    <w:p>
      <w:pPr>
        <w:spacing w:after="80" w:before="80"/>
      </w:pPr>
      <w:r>
        <w:rPr>
          <w:rFonts w:ascii="Arial" w:cs="Arial" w:eastAsia="Arial" w:hAnsi="Arial"/>
          <w:b w:val="false"/>
          <w:bCs w:val="false"/>
          <w:sz w:val="22"/>
          <w:szCs w:val="22"/>
        </w:rPr>
        <w:t xml:space="preserve">This document outlines the case for transitioning from Tableau to Microsoft Power BI as our primary business intelligence and reporting platform. Power BI offers a more cost-effective, user-friendly, and deeply integrated solution that eliminates many of the technical workarounds currently required in Tableau, while providing stronger data governance, easier report distribution, and seamless connectivity with our existing Microsoft ecosystem.</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1. Cost</w:t>
      </w:r>
    </w:p>
    <w:p>
      <w:pPr>
        <w:spacing w:after="80" w:before="80"/>
      </w:pPr>
      <w:r>
        <w:rPr>
          <w:rFonts w:ascii="Arial" w:cs="Arial" w:eastAsia="Arial" w:hAnsi="Arial"/>
          <w:b w:val="false"/>
          <w:bCs w:val="false"/>
          <w:sz w:val="22"/>
          <w:szCs w:val="22"/>
        </w:rPr>
        <w:t xml:space="preserve">Tableau's licensing model is significantly more expensive and creates barriers to broad adoption across the organization.</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Power BI Pro: ~$10/user/month (included in many Microsoft 365 E3/E5 plans at no additional cost)</w:t>
      </w:r>
    </w:p>
    <w:p>
      <w:pPr>
        <w:pStyle w:val="ListParagraph"/>
        <w:numPr>
          <w:ilvl w:val="0"/>
          <w:numId w:val="2"/>
        </w:numPr>
        <w:spacing w:after="60" w:before="60"/>
      </w:pPr>
      <w:r>
        <w:rPr>
          <w:rFonts w:ascii="Arial" w:cs="Arial" w:eastAsia="Arial" w:hAnsi="Arial"/>
          <w:sz w:val="22"/>
          <w:szCs w:val="22"/>
        </w:rPr>
        <w:t xml:space="preserve">Tableau Creator: ~$75/user/month — over 7x more expensive per user</w:t>
      </w:r>
    </w:p>
    <w:p>
      <w:pPr>
        <w:pStyle w:val="ListParagraph"/>
        <w:numPr>
          <w:ilvl w:val="0"/>
          <w:numId w:val="2"/>
        </w:numPr>
        <w:spacing w:after="60" w:before="60"/>
      </w:pPr>
      <w:r>
        <w:rPr>
          <w:rFonts w:ascii="Arial" w:cs="Arial" w:eastAsia="Arial" w:hAnsi="Arial"/>
          <w:sz w:val="22"/>
          <w:szCs w:val="22"/>
        </w:rPr>
        <w:t xml:space="preserve">Power BI Premium Per User: ~$20/user/month for enterprise-grade features including paginated reports and larger datasets</w:t>
      </w:r>
    </w:p>
    <w:p>
      <w:pPr>
        <w:pStyle w:val="ListParagraph"/>
        <w:numPr>
          <w:ilvl w:val="0"/>
          <w:numId w:val="2"/>
        </w:numPr>
        <w:spacing w:after="60" w:before="60"/>
      </w:pPr>
      <w:r>
        <w:rPr>
          <w:rFonts w:ascii="Arial" w:cs="Arial" w:eastAsia="Arial" w:hAnsi="Arial"/>
          <w:sz w:val="22"/>
          <w:szCs w:val="22"/>
        </w:rPr>
        <w:t xml:space="preserve">For organizations already on Microsoft 365, Power BI Pro may already be available at no extra cost</w:t>
      </w:r>
    </w:p>
    <w:p>
      <w:pPr>
        <w:spacing w:after="80" w:before="80"/>
      </w:pPr>
      <w:r>
        <w:t xml:space="preserve"/>
      </w:r>
    </w:p>
    <w:p>
      <w:pPr>
        <w:spacing w:after="80" w:before="80"/>
      </w:pPr>
      <w:r>
        <w:rPr>
          <w:rFonts w:ascii="Arial" w:cs="Arial" w:eastAsia="Arial" w:hAnsi="Arial"/>
          <w:b w:val="false"/>
          <w:bCs w:val="false"/>
          <w:sz w:val="22"/>
          <w:szCs w:val="22"/>
        </w:rPr>
        <w:t xml:space="preserve">Broader access to Power BI means more team members can view, interact with, and build reports without requiring individual licenses for every user, which is not the case with Tableau.</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2. Microsoft Ecosystem Integration</w:t>
      </w:r>
    </w:p>
    <w:p>
      <w:pPr>
        <w:spacing w:after="80" w:before="80"/>
      </w:pPr>
      <w:r>
        <w:rPr>
          <w:rFonts w:ascii="Arial" w:cs="Arial" w:eastAsia="Arial" w:hAnsi="Arial"/>
          <w:b w:val="false"/>
          <w:bCs w:val="false"/>
          <w:sz w:val="22"/>
          <w:szCs w:val="22"/>
        </w:rPr>
        <w:t xml:space="preserve">Our organization already operates within the Microsoft stack (Office 365, Teams, SharePoint, Azure). Power BI was purpose-built for this environment, providing deep native integrations that Tableau cannot match.</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Reports can be embedded directly in Microsoft Teams channels and SharePoint pages with no extra configuration</w:t>
      </w:r>
    </w:p>
    <w:p>
      <w:pPr>
        <w:pStyle w:val="ListParagraph"/>
        <w:numPr>
          <w:ilvl w:val="0"/>
          <w:numId w:val="2"/>
        </w:numPr>
        <w:spacing w:after="60" w:before="60"/>
      </w:pPr>
      <w:r>
        <w:rPr>
          <w:rFonts w:ascii="Arial" w:cs="Arial" w:eastAsia="Arial" w:hAnsi="Arial"/>
          <w:sz w:val="22"/>
          <w:szCs w:val="22"/>
        </w:rPr>
        <w:t xml:space="preserve">Excel users can connect directly to Power BI datasets, enabling self-service analysis without requiring Tableau Desktop</w:t>
      </w:r>
    </w:p>
    <w:p>
      <w:pPr>
        <w:pStyle w:val="ListParagraph"/>
        <w:numPr>
          <w:ilvl w:val="0"/>
          <w:numId w:val="2"/>
        </w:numPr>
        <w:spacing w:after="60" w:before="60"/>
      </w:pPr>
      <w:r>
        <w:rPr>
          <w:rFonts w:ascii="Arial" w:cs="Arial" w:eastAsia="Arial" w:hAnsi="Arial"/>
          <w:sz w:val="22"/>
          <w:szCs w:val="22"/>
        </w:rPr>
        <w:t xml:space="preserve">Azure Active Directory handles single sign-on (SSO) and role-based access control natively — no separate user management required</w:t>
      </w:r>
    </w:p>
    <w:p>
      <w:pPr>
        <w:pStyle w:val="ListParagraph"/>
        <w:numPr>
          <w:ilvl w:val="0"/>
          <w:numId w:val="2"/>
        </w:numPr>
        <w:spacing w:after="60" w:before="60"/>
      </w:pPr>
      <w:r>
        <w:rPr>
          <w:rFonts w:ascii="Arial" w:cs="Arial" w:eastAsia="Arial" w:hAnsi="Arial"/>
          <w:sz w:val="22"/>
          <w:szCs w:val="22"/>
        </w:rPr>
        <w:t xml:space="preserve">Power Automate can trigger data refreshes and send alerts based on Power BI report conditions</w:t>
      </w:r>
    </w:p>
    <w:p>
      <w:pPr>
        <w:pStyle w:val="ListParagraph"/>
        <w:numPr>
          <w:ilvl w:val="0"/>
          <w:numId w:val="2"/>
        </w:numPr>
        <w:spacing w:after="60" w:before="60"/>
      </w:pPr>
      <w:r>
        <w:rPr>
          <w:rFonts w:ascii="Arial" w:cs="Arial" w:eastAsia="Arial" w:hAnsi="Arial"/>
          <w:sz w:val="22"/>
          <w:szCs w:val="22"/>
        </w:rPr>
        <w:t xml:space="preserve">Copilot for Power BI (AI-assisted report building) is included for Microsoft 365 Copilot subscribers</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3. Centralized Data Management with Dataflows</w:t>
      </w:r>
    </w:p>
    <w:p>
      <w:pPr>
        <w:spacing w:after="80" w:before="80"/>
      </w:pPr>
      <w:r>
        <w:rPr>
          <w:rFonts w:ascii="Arial" w:cs="Arial" w:eastAsia="Arial" w:hAnsi="Arial"/>
          <w:b w:val="false"/>
          <w:bCs w:val="false"/>
          <w:sz w:val="22"/>
          <w:szCs w:val="22"/>
        </w:rPr>
        <w:t xml:space="preserve">One of Power BI's most significant advantages is its Dataflow capability, which allows data to be prepared, transformed, and centralized once — and then reused across multiple reports and teams.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Dataflows connect to virtually any data source: SQL databases, Excel files, SharePoint lists, REST APIs, cloud services, and more</w:t>
      </w:r>
    </w:p>
    <w:p>
      <w:pPr>
        <w:pStyle w:val="ListParagraph"/>
        <w:numPr>
          <w:ilvl w:val="0"/>
          <w:numId w:val="2"/>
        </w:numPr>
        <w:spacing w:after="60" w:before="60"/>
      </w:pPr>
      <w:r>
        <w:rPr>
          <w:rFonts w:ascii="Arial" w:cs="Arial" w:eastAsia="Arial" w:hAnsi="Arial"/>
          <w:sz w:val="22"/>
          <w:szCs w:val="22"/>
        </w:rPr>
        <w:t xml:space="preserve">Data transformations are done once in Power Query and shared across the organization — eliminating duplicate prep work</w:t>
      </w:r>
    </w:p>
    <w:p>
      <w:pPr>
        <w:pStyle w:val="ListParagraph"/>
        <w:numPr>
          <w:ilvl w:val="0"/>
          <w:numId w:val="2"/>
        </w:numPr>
        <w:spacing w:after="60" w:before="60"/>
      </w:pPr>
      <w:r>
        <w:rPr>
          <w:rFonts w:ascii="Arial" w:cs="Arial" w:eastAsia="Arial" w:hAnsi="Arial"/>
          <w:sz w:val="22"/>
          <w:szCs w:val="22"/>
        </w:rPr>
        <w:t xml:space="preserve">Acts as a lightweight data warehouse layer, reducing dependency on IT for centralized data infrastructure</w:t>
      </w:r>
    </w:p>
    <w:p>
      <w:pPr>
        <w:pStyle w:val="ListParagraph"/>
        <w:numPr>
          <w:ilvl w:val="0"/>
          <w:numId w:val="2"/>
        </w:numPr>
        <w:spacing w:after="60" w:before="60"/>
      </w:pPr>
      <w:r>
        <w:rPr>
          <w:rFonts w:ascii="Arial" w:cs="Arial" w:eastAsia="Arial" w:hAnsi="Arial"/>
          <w:sz w:val="22"/>
          <w:szCs w:val="22"/>
        </w:rPr>
        <w:t xml:space="preserve">Tableau requires each workbook to manage its own connections and transformations, leading to inconsistencies when the same data is used across multiple reports</w:t>
      </w:r>
    </w:p>
    <w:p>
      <w:pPr>
        <w:pStyle w:val="ListParagraph"/>
        <w:numPr>
          <w:ilvl w:val="0"/>
          <w:numId w:val="2"/>
        </w:numPr>
        <w:spacing w:after="60" w:before="60"/>
      </w:pPr>
      <w:r>
        <w:rPr>
          <w:rFonts w:ascii="Arial" w:cs="Arial" w:eastAsia="Arial" w:hAnsi="Arial"/>
          <w:sz w:val="22"/>
          <w:szCs w:val="22"/>
        </w:rPr>
        <w:t xml:space="preserve">Dataflows support incremental refresh, significantly improving performance on large datasets</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4. Easier Scheduled Refresh with On-Premises Gateway</w:t>
      </w:r>
    </w:p>
    <w:p>
      <w:pPr>
        <w:spacing w:after="80" w:before="80"/>
      </w:pPr>
      <w:r>
        <w:rPr>
          <w:rFonts w:ascii="Arial" w:cs="Arial" w:eastAsia="Arial" w:hAnsi="Arial"/>
          <w:b w:val="false"/>
          <w:bCs w:val="false"/>
          <w:sz w:val="22"/>
          <w:szCs w:val="22"/>
        </w:rPr>
        <w:t xml:space="preserve">Keeping reports up to date with live or regularly refreshed data is a core operational requirement. Power BI makes this significantly more straightforward than Tableau.</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The Power BI On-Premises Data Gateway can be installed and configured in under an hour, enabling automatic scheduled refreshes from local databases and files</w:t>
      </w:r>
    </w:p>
    <w:p>
      <w:pPr>
        <w:pStyle w:val="ListParagraph"/>
        <w:numPr>
          <w:ilvl w:val="0"/>
          <w:numId w:val="2"/>
        </w:numPr>
        <w:spacing w:after="60" w:before="60"/>
      </w:pPr>
      <w:r>
        <w:rPr>
          <w:rFonts w:ascii="Arial" w:cs="Arial" w:eastAsia="Arial" w:hAnsi="Arial"/>
          <w:sz w:val="22"/>
          <w:szCs w:val="22"/>
        </w:rPr>
        <w:t xml:space="preserve">Refresh schedules are managed entirely through the Power BI web portal — no scripting, no Task Scheduler workarounds, no manual intervention required</w:t>
      </w:r>
    </w:p>
    <w:p>
      <w:pPr>
        <w:pStyle w:val="ListParagraph"/>
        <w:numPr>
          <w:ilvl w:val="0"/>
          <w:numId w:val="2"/>
        </w:numPr>
        <w:spacing w:after="60" w:before="60"/>
      </w:pPr>
      <w:r>
        <w:rPr>
          <w:rFonts w:ascii="Arial" w:cs="Arial" w:eastAsia="Arial" w:hAnsi="Arial"/>
          <w:sz w:val="22"/>
          <w:szCs w:val="22"/>
        </w:rPr>
        <w:t xml:space="preserve">Tableau requires Tableau Server or Tableau Cloud to schedule refreshes from on-prem sources, adding significant cost and administrative overhead</w:t>
      </w:r>
    </w:p>
    <w:p>
      <w:pPr>
        <w:pStyle w:val="ListParagraph"/>
        <w:numPr>
          <w:ilvl w:val="0"/>
          <w:numId w:val="2"/>
        </w:numPr>
        <w:spacing w:after="60" w:before="60"/>
      </w:pPr>
      <w:r>
        <w:rPr>
          <w:rFonts w:ascii="Arial" w:cs="Arial" w:eastAsia="Arial" w:hAnsi="Arial"/>
          <w:sz w:val="22"/>
          <w:szCs w:val="22"/>
        </w:rPr>
        <w:t xml:space="preserve">Power BI supports up to 8 refreshes per day on Pro, and up to 48 per day on Premium — far exceeding most operational needs</w:t>
      </w:r>
    </w:p>
    <w:p>
      <w:pPr>
        <w:pStyle w:val="ListParagraph"/>
        <w:numPr>
          <w:ilvl w:val="0"/>
          <w:numId w:val="2"/>
        </w:numPr>
        <w:spacing w:after="60" w:before="60"/>
      </w:pPr>
      <w:r>
        <w:rPr>
          <w:rFonts w:ascii="Arial" w:cs="Arial" w:eastAsia="Arial" w:hAnsi="Arial"/>
          <w:sz w:val="22"/>
          <w:szCs w:val="22"/>
        </w:rPr>
        <w:t xml:space="preserve">Refresh failure notifications are built-in and configurable, with alerts sent directly to report owners</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5. Drill-Through and Interactive Navigation</w:t>
      </w:r>
    </w:p>
    <w:p>
      <w:pPr>
        <w:spacing w:after="80" w:before="80"/>
      </w:pPr>
      <w:r>
        <w:rPr>
          <w:rFonts w:ascii="Arial" w:cs="Arial" w:eastAsia="Arial" w:hAnsi="Arial"/>
          <w:b w:val="false"/>
          <w:bCs w:val="false"/>
          <w:sz w:val="22"/>
          <w:szCs w:val="22"/>
        </w:rPr>
        <w:t xml:space="preserve">Power BI's drill-through functionality allows users to right-click any data point and navigate to a detailed report page filtered to that context — with no complex configuration required.</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Drill-through pages are set up in minutes: create a detail page, drag a field to the 'Drill-through' well, and the navigation is automatic</w:t>
      </w:r>
    </w:p>
    <w:p>
      <w:pPr>
        <w:pStyle w:val="ListParagraph"/>
        <w:numPr>
          <w:ilvl w:val="0"/>
          <w:numId w:val="2"/>
        </w:numPr>
        <w:spacing w:after="60" w:before="60"/>
      </w:pPr>
      <w:r>
        <w:rPr>
          <w:rFonts w:ascii="Arial" w:cs="Arial" w:eastAsia="Arial" w:hAnsi="Arial"/>
          <w:sz w:val="22"/>
          <w:szCs w:val="22"/>
        </w:rPr>
        <w:t xml:space="preserve">Supports drill-through across multiple reports (cross-report drill-through), enabling modular, linked reporting experiences</w:t>
      </w:r>
    </w:p>
    <w:p>
      <w:pPr>
        <w:pStyle w:val="ListParagraph"/>
        <w:numPr>
          <w:ilvl w:val="0"/>
          <w:numId w:val="2"/>
        </w:numPr>
        <w:spacing w:after="60" w:before="60"/>
      </w:pPr>
      <w:r>
        <w:rPr>
          <w:rFonts w:ascii="Arial" w:cs="Arial" w:eastAsia="Arial" w:hAnsi="Arial"/>
          <w:sz w:val="22"/>
          <w:szCs w:val="22"/>
        </w:rPr>
        <w:t xml:space="preserve">Tableau's equivalent requires manual action filters, dashboard actions, and careful sheet configuration — significantly more complex to build and maintain</w:t>
      </w:r>
    </w:p>
    <w:p>
      <w:pPr>
        <w:pStyle w:val="ListParagraph"/>
        <w:numPr>
          <w:ilvl w:val="0"/>
          <w:numId w:val="2"/>
        </w:numPr>
        <w:spacing w:after="60" w:before="60"/>
      </w:pPr>
      <w:r>
        <w:rPr>
          <w:rFonts w:ascii="Arial" w:cs="Arial" w:eastAsia="Arial" w:hAnsi="Arial"/>
          <w:sz w:val="22"/>
          <w:szCs w:val="22"/>
        </w:rPr>
        <w:t xml:space="preserve">Page navigation buttons, bookmarks, and tooltip pages provide additional interaction patterns out of the box</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6. Intuitive Table and Raw Data Display</w:t>
      </w:r>
    </w:p>
    <w:p>
      <w:pPr>
        <w:spacing w:after="80" w:before="80"/>
      </w:pPr>
      <w:r>
        <w:rPr>
          <w:rFonts w:ascii="Arial" w:cs="Arial" w:eastAsia="Arial" w:hAnsi="Arial"/>
          <w:b w:val="false"/>
          <w:bCs w:val="false"/>
          <w:sz w:val="22"/>
          <w:szCs w:val="22"/>
        </w:rPr>
        <w:t xml:space="preserve">A fundamental reporting requirement is displaying data in a straightforward tabular format. In Power BI, this works exactly as expected. In Tableau, it requires a multi-step technical workaround that is not documented as a standard workflow.</w:t>
      </w:r>
    </w:p>
    <w:p>
      <w:pPr>
        <w:spacing w:after="80" w:before="80"/>
      </w:pPr>
      <w:r>
        <w:t xml:space="preserve"/>
      </w:r>
    </w:p>
    <w:p>
      <w:pPr>
        <w:spacing w:after="80" w:before="80"/>
      </w:pPr>
      <w:r>
        <w:rPr>
          <w:rFonts w:ascii="Arial" w:cs="Arial" w:eastAsia="Arial" w:hAnsi="Arial"/>
          <w:b/>
          <w:bCs/>
          <w:sz w:val="22"/>
          <w:szCs w:val="22"/>
        </w:rPr>
        <w:t xml:space="preserve">The Tableau workaround required to display a simple ungrouped table:</w:t>
      </w:r>
    </w:p>
    <w:p>
      <w:pPr>
        <w:pStyle w:val="ListParagraph"/>
        <w:numPr>
          <w:ilvl w:val="0"/>
          <w:numId w:val="2"/>
        </w:numPr>
        <w:spacing w:after="60" w:before="60"/>
      </w:pPr>
      <w:r>
        <w:rPr>
          <w:rFonts w:ascii="Arial" w:cs="Arial" w:eastAsia="Arial" w:hAnsi="Arial"/>
          <w:sz w:val="22"/>
          <w:szCs w:val="22"/>
        </w:rPr>
        <w:t xml:space="preserve">Step 1: Tableau automatically groups rows by dimension with no setting to disable this behavior</w:t>
      </w:r>
    </w:p>
    <w:p>
      <w:pPr>
        <w:pStyle w:val="ListParagraph"/>
        <w:numPr>
          <w:ilvl w:val="0"/>
          <w:numId w:val="2"/>
        </w:numPr>
        <w:spacing w:after="60" w:before="60"/>
      </w:pPr>
      <w:r>
        <w:rPr>
          <w:rFonts w:ascii="Arial" w:cs="Arial" w:eastAsia="Arial" w:hAnsi="Arial"/>
          <w:sz w:val="22"/>
          <w:szCs w:val="22"/>
        </w:rPr>
        <w:t xml:space="preserve">Step 2: Create a calculated field using INDEX() and drag it as the first item on the Rows shelf to trick Tableau into treating each row as unique</w:t>
      </w:r>
    </w:p>
    <w:p>
      <w:pPr>
        <w:pStyle w:val="ListParagraph"/>
        <w:numPr>
          <w:ilvl w:val="0"/>
          <w:numId w:val="2"/>
        </w:numPr>
        <w:spacing w:after="60" w:before="60"/>
      </w:pPr>
      <w:r>
        <w:rPr>
          <w:rFonts w:ascii="Arial" w:cs="Arial" w:eastAsia="Arial" w:hAnsi="Arial"/>
          <w:sz w:val="22"/>
          <w:szCs w:val="22"/>
        </w:rPr>
        <w:t xml:space="preserve">Step 3: Right-click the INDEX() pill and set Compute Using to Table (Down)</w:t>
      </w:r>
    </w:p>
    <w:p>
      <w:pPr>
        <w:pStyle w:val="ListParagraph"/>
        <w:numPr>
          <w:ilvl w:val="0"/>
          <w:numId w:val="2"/>
        </w:numPr>
        <w:spacing w:after="60" w:before="60"/>
      </w:pPr>
      <w:r>
        <w:rPr>
          <w:rFonts w:ascii="Arial" w:cs="Arial" w:eastAsia="Arial" w:hAnsi="Arial"/>
          <w:sz w:val="22"/>
          <w:szCs w:val="22"/>
        </w:rPr>
        <w:t xml:space="preserve">Step 4: Right-click the INDEX() column header and uncheck Show Header to hide it from the final view</w:t>
      </w:r>
    </w:p>
    <w:p>
      <w:pPr>
        <w:pStyle w:val="ListParagraph"/>
        <w:numPr>
          <w:ilvl w:val="0"/>
          <w:numId w:val="2"/>
        </w:numPr>
        <w:spacing w:after="60" w:before="60"/>
      </w:pPr>
      <w:r>
        <w:rPr>
          <w:rFonts w:ascii="Arial" w:cs="Arial" w:eastAsia="Arial" w:hAnsi="Arial"/>
          <w:sz w:val="22"/>
          <w:szCs w:val="22"/>
        </w:rPr>
        <w:t xml:space="preserve">Step 5: The table now displays correctly — after four unintuitive configuration steps that have nothing to do with the actual data being reported</w:t>
      </w:r>
    </w:p>
    <w:p>
      <w:pPr>
        <w:spacing w:after="80" w:before="80"/>
      </w:pPr>
      <w:r>
        <w:t xml:space="preserve"/>
      </w:r>
    </w:p>
    <w:p>
      <w:pPr>
        <w:spacing w:after="80" w:before="80"/>
      </w:pPr>
      <w:r>
        <w:rPr>
          <w:rFonts w:ascii="Arial" w:cs="Arial" w:eastAsia="Arial" w:hAnsi="Arial"/>
          <w:b/>
          <w:bCs/>
          <w:sz w:val="22"/>
          <w:szCs w:val="22"/>
        </w:rPr>
        <w:t xml:space="preserve">In Power BI:</w:t>
      </w:r>
    </w:p>
    <w:p>
      <w:pPr>
        <w:pStyle w:val="ListParagraph"/>
        <w:numPr>
          <w:ilvl w:val="0"/>
          <w:numId w:val="2"/>
        </w:numPr>
        <w:spacing w:after="60" w:before="60"/>
      </w:pPr>
      <w:r>
        <w:rPr>
          <w:rFonts w:ascii="Arial" w:cs="Arial" w:eastAsia="Arial" w:hAnsi="Arial"/>
          <w:sz w:val="22"/>
          <w:szCs w:val="22"/>
        </w:rPr>
        <w:t xml:space="preserve">Add a Table visual, drag your fields in — rows display individually with no grouping, no workarounds, and no hidden calculated fields required</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7. Sorting</w:t>
      </w:r>
    </w:p>
    <w:p>
      <w:pPr>
        <w:spacing w:after="80" w:before="80"/>
      </w:pPr>
      <w:r>
        <w:rPr>
          <w:rFonts w:ascii="Arial" w:cs="Arial" w:eastAsia="Arial" w:hAnsi="Arial"/>
          <w:b w:val="false"/>
          <w:bCs w:val="false"/>
          <w:sz w:val="22"/>
          <w:szCs w:val="22"/>
        </w:rPr>
        <w:t xml:space="preserve">Sorting compounds the complexity described above. In Tableau, adding INDEX() to prevent grouping directly interferes with sorting by a measure field — creating a second problem that requires its own separate workaround.</w:t>
      </w:r>
    </w:p>
    <w:p>
      <w:pPr>
        <w:spacing w:after="80" w:before="80"/>
      </w:pPr>
      <w:r>
        <w:t xml:space="preserve"/>
      </w:r>
    </w:p>
    <w:p>
      <w:pPr>
        <w:spacing w:after="80" w:before="80"/>
      </w:pPr>
      <w:r>
        <w:rPr>
          <w:rFonts w:ascii="Arial" w:cs="Arial" w:eastAsia="Arial" w:hAnsi="Arial"/>
          <w:b/>
          <w:bCs/>
          <w:sz w:val="22"/>
          <w:szCs w:val="22"/>
        </w:rPr>
        <w:t xml:space="preserve">The Tableau workaround required to sort a table by a measure after applying INDEX():</w:t>
      </w:r>
    </w:p>
    <w:p>
      <w:pPr>
        <w:pStyle w:val="ListParagraph"/>
        <w:numPr>
          <w:ilvl w:val="0"/>
          <w:numId w:val="2"/>
        </w:numPr>
        <w:spacing w:after="60" w:before="60"/>
      </w:pPr>
      <w:r>
        <w:rPr>
          <w:rFonts w:ascii="Arial" w:cs="Arial" w:eastAsia="Arial" w:hAnsi="Arial"/>
          <w:sz w:val="22"/>
          <w:szCs w:val="22"/>
        </w:rPr>
        <w:t xml:space="preserve">Step 1: Attempt to sort by clicking the measure column header — Tableau does not sort globally, only within dimension groups</w:t>
      </w:r>
    </w:p>
    <w:p>
      <w:pPr>
        <w:pStyle w:val="ListParagraph"/>
        <w:numPr>
          <w:ilvl w:val="0"/>
          <w:numId w:val="2"/>
        </w:numPr>
        <w:spacing w:after="60" w:before="60"/>
      </w:pPr>
      <w:r>
        <w:rPr>
          <w:rFonts w:ascii="Arial" w:cs="Arial" w:eastAsia="Arial" w:hAnsi="Arial"/>
          <w:sz w:val="22"/>
          <w:szCs w:val="22"/>
        </w:rPr>
        <w:t xml:space="preserve">Step 2: Right-click the dimension pill and navigate to Sort, then select Field — the Field option is missing because INDEX() as a table calculation suppresses standard sort options on the dimension</w:t>
      </w:r>
    </w:p>
    <w:p>
      <w:pPr>
        <w:pStyle w:val="ListParagraph"/>
        <w:numPr>
          <w:ilvl w:val="0"/>
          <w:numId w:val="2"/>
        </w:numPr>
        <w:spacing w:after="60" w:before="60"/>
      </w:pPr>
      <w:r>
        <w:rPr>
          <w:rFonts w:ascii="Arial" w:cs="Arial" w:eastAsia="Arial" w:hAnsi="Arial"/>
          <w:sz w:val="22"/>
          <w:szCs w:val="22"/>
        </w:rPr>
        <w:t xml:space="preserve">Step 3: Try the toolbar sort buttons — sort resets or does not apply correctly due to INDEX() overriding row order</w:t>
      </w:r>
    </w:p>
    <w:p>
      <w:pPr>
        <w:pStyle w:val="ListParagraph"/>
        <w:numPr>
          <w:ilvl w:val="0"/>
          <w:numId w:val="2"/>
        </w:numPr>
        <w:spacing w:after="60" w:before="60"/>
      </w:pPr>
      <w:r>
        <w:rPr>
          <w:rFonts w:ascii="Arial" w:cs="Arial" w:eastAsia="Arial" w:hAnsi="Arial"/>
          <w:sz w:val="22"/>
          <w:szCs w:val="22"/>
        </w:rPr>
        <w:t xml:space="preserve">Step 4: Create a second calculated field using RANK(SUM([Measure])) to force a sort order independent of INDEX()</w:t>
      </w:r>
    </w:p>
    <w:p>
      <w:pPr>
        <w:pStyle w:val="ListParagraph"/>
        <w:numPr>
          <w:ilvl w:val="0"/>
          <w:numId w:val="2"/>
        </w:numPr>
        <w:spacing w:after="60" w:before="60"/>
      </w:pPr>
      <w:r>
        <w:rPr>
          <w:rFonts w:ascii="Arial" w:cs="Arial" w:eastAsia="Arial" w:hAnsi="Arial"/>
          <w:sz w:val="22"/>
          <w:szCs w:val="22"/>
        </w:rPr>
        <w:t xml:space="preserve">Step 5: Place RANK() on the Rows shelf, configure its compute direction, and hide its header</w:t>
      </w:r>
    </w:p>
    <w:p>
      <w:pPr>
        <w:pStyle w:val="ListParagraph"/>
        <w:numPr>
          <w:ilvl w:val="0"/>
          <w:numId w:val="2"/>
        </w:numPr>
        <w:spacing w:after="60" w:before="60"/>
      </w:pPr>
      <w:r>
        <w:rPr>
          <w:rFonts w:ascii="Arial" w:cs="Arial" w:eastAsia="Arial" w:hAnsi="Arial"/>
          <w:sz w:val="22"/>
          <w:szCs w:val="22"/>
        </w:rPr>
        <w:t xml:space="preserve">Step 6: What started as sorting a table by a single field has now required two calculated fields and over eight configuration steps</w:t>
      </w:r>
    </w:p>
    <w:p>
      <w:pPr>
        <w:spacing w:after="80" w:before="80"/>
      </w:pPr>
      <w:r>
        <w:t xml:space="preserve"/>
      </w:r>
    </w:p>
    <w:p>
      <w:pPr>
        <w:spacing w:after="80" w:before="80"/>
      </w:pPr>
      <w:r>
        <w:rPr>
          <w:rFonts w:ascii="Arial" w:cs="Arial" w:eastAsia="Arial" w:hAnsi="Arial"/>
          <w:b/>
          <w:bCs/>
          <w:sz w:val="22"/>
          <w:szCs w:val="22"/>
        </w:rPr>
        <w:t xml:space="preserve">In Power BI:</w:t>
      </w:r>
    </w:p>
    <w:p>
      <w:pPr>
        <w:pStyle w:val="ListParagraph"/>
        <w:numPr>
          <w:ilvl w:val="0"/>
          <w:numId w:val="2"/>
        </w:numPr>
        <w:spacing w:after="60" w:before="60"/>
      </w:pPr>
      <w:r>
        <w:rPr>
          <w:rFonts w:ascii="Arial" w:cs="Arial" w:eastAsia="Arial" w:hAnsi="Arial"/>
          <w:sz w:val="22"/>
          <w:szCs w:val="22"/>
        </w:rPr>
        <w:t xml:space="preserve">Click any column header to sort ascending, click again to sort descending — identical to Excel</w:t>
      </w:r>
    </w:p>
    <w:p>
      <w:pPr>
        <w:pStyle w:val="ListParagraph"/>
        <w:numPr>
          <w:ilvl w:val="0"/>
          <w:numId w:val="2"/>
        </w:numPr>
        <w:spacing w:after="60" w:before="60"/>
      </w:pPr>
      <w:r>
        <w:rPr>
          <w:rFonts w:ascii="Arial" w:cs="Arial" w:eastAsia="Arial" w:hAnsi="Arial"/>
          <w:sz w:val="22"/>
          <w:szCs w:val="22"/>
        </w:rPr>
        <w:t xml:space="preserve">Sort order persists when slicers or filters change</w:t>
      </w:r>
    </w:p>
    <w:p>
      <w:pPr>
        <w:pStyle w:val="ListParagraph"/>
        <w:numPr>
          <w:ilvl w:val="0"/>
          <w:numId w:val="2"/>
        </w:numPr>
        <w:spacing w:after="60" w:before="60"/>
      </w:pPr>
      <w:r>
        <w:rPr>
          <w:rFonts w:ascii="Arial" w:cs="Arial" w:eastAsia="Arial" w:hAnsi="Arial"/>
          <w:sz w:val="22"/>
          <w:szCs w:val="22"/>
        </w:rPr>
        <w:t xml:space="preserve">No calculated fields, no compute directions, no hidden columns — works on the first click</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8. Self-Service and Accessibility</w:t>
      </w:r>
    </w:p>
    <w:p>
      <w:pPr>
        <w:spacing w:after="80" w:before="80"/>
      </w:pPr>
      <w:r>
        <w:rPr>
          <w:rFonts w:ascii="Arial" w:cs="Arial" w:eastAsia="Arial" w:hAnsi="Arial"/>
          <w:b w:val="false"/>
          <w:bCs w:val="false"/>
          <w:sz w:val="22"/>
          <w:szCs w:val="22"/>
        </w:rPr>
        <w:t xml:space="preserve">Power BI is designed to empower business users, not just data analysts, to build and interact with reports.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Power BI Desktop is free to download and use for report development — no per-seat license required for authoring</w:t>
      </w:r>
    </w:p>
    <w:p>
      <w:pPr>
        <w:pStyle w:val="ListParagraph"/>
        <w:numPr>
          <w:ilvl w:val="0"/>
          <w:numId w:val="2"/>
        </w:numPr>
        <w:spacing w:after="60" w:before="60"/>
      </w:pPr>
      <w:r>
        <w:rPr>
          <w:rFonts w:ascii="Arial" w:cs="Arial" w:eastAsia="Arial" w:hAnsi="Arial"/>
          <w:sz w:val="22"/>
          <w:szCs w:val="22"/>
        </w:rPr>
        <w:t xml:space="preserve">The interface is familiar to Excel users, reducing training time and accelerating adoption</w:t>
      </w:r>
    </w:p>
    <w:p>
      <w:pPr>
        <w:pStyle w:val="ListParagraph"/>
        <w:numPr>
          <w:ilvl w:val="0"/>
          <w:numId w:val="2"/>
        </w:numPr>
        <w:spacing w:after="60" w:before="60"/>
      </w:pPr>
      <w:r>
        <w:rPr>
          <w:rFonts w:ascii="Arial" w:cs="Arial" w:eastAsia="Arial" w:hAnsi="Arial"/>
          <w:sz w:val="22"/>
          <w:szCs w:val="22"/>
        </w:rPr>
        <w:t xml:space="preserve">Q&amp;A natural language feature allows non-technical users to ask questions of the data in plain English and receive automatic visualizations</w:t>
      </w:r>
    </w:p>
    <w:p>
      <w:pPr>
        <w:pStyle w:val="ListParagraph"/>
        <w:numPr>
          <w:ilvl w:val="0"/>
          <w:numId w:val="2"/>
        </w:numPr>
        <w:spacing w:after="60" w:before="60"/>
      </w:pPr>
      <w:r>
        <w:rPr>
          <w:rFonts w:ascii="Arial" w:cs="Arial" w:eastAsia="Arial" w:hAnsi="Arial"/>
          <w:sz w:val="22"/>
          <w:szCs w:val="22"/>
        </w:rPr>
        <w:t xml:space="preserve">Tableau Desktop requires a Creator license ($75/month) just to build reports, creating a high barrier for casual or occasional report authors</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9. Side-by-Side Comparison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33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Power BI</w:t>
            </w:r>
          </w:p>
        </w:tc>
        <w:tc>
          <w:tcPr>
            <w:tcW w:type="dxa" w:w="33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Tableau</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Cost per user/mo</w:t>
            </w:r>
          </w:p>
        </w:tc>
        <w:tc>
          <w:tcPr>
            <w:tcW w:type="dxa" w:w="338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0"/>
                <w:szCs w:val="20"/>
              </w:rPr>
              <w:t xml:space="preserve">~$10 (Pro) / Free with M365</w:t>
            </w:r>
          </w:p>
        </w:tc>
        <w:tc>
          <w:tcPr>
            <w:tcW w:type="dxa" w:w="33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~$75 (Creator)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Microsoft 365 integration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 Teams, SharePoint, Excel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 third-party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Scheduled refresh</w:t>
            </w:r>
          </w:p>
        </w:tc>
        <w:tc>
          <w:tcPr>
            <w:tcW w:type="dxa" w:w="338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0"/>
                <w:szCs w:val="20"/>
              </w:rPr>
              <w:t xml:space="preserve">Built-in via web portal + Gateway</w:t>
            </w:r>
          </w:p>
        </w:tc>
        <w:tc>
          <w:tcPr>
            <w:tcW w:type="dxa" w:w="33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Requires Tableau 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Drill-through setup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Minutes — drag field to well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action filters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Centralized data prep</w:t>
            </w:r>
          </w:p>
        </w:tc>
        <w:tc>
          <w:tcPr>
            <w:tcW w:type="dxa" w:w="338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0"/>
                <w:szCs w:val="20"/>
              </w:rPr>
              <w:t xml:space="preserve">Dataflows (reusable, shared)</w:t>
            </w:r>
          </w:p>
        </w:tc>
        <w:tc>
          <w:tcPr>
            <w:tcW w:type="dxa" w:w="33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Per-workbook connections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Simple table display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natively, no workarounds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INDEX() workaround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Sorting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any column header — instant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Nested menus, can reset unexpectedly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Report authoring</w:t>
            </w:r>
          </w:p>
        </w:tc>
        <w:tc>
          <w:tcPr>
            <w:tcW w:type="dxa" w:w="338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0"/>
                <w:szCs w:val="20"/>
              </w:rPr>
              <w:t xml:space="preserve">Free (Desktop)</w:t>
            </w:r>
          </w:p>
        </w:tc>
        <w:tc>
          <w:tcPr>
            <w:tcW w:type="dxa" w:w="33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$75/mo Creator license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SSO / access control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AD native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configuration</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Recommendation</w:t>
      </w:r>
    </w:p>
    <w:p>
      <w:pPr>
        <w:spacing w:after="80" w:before="80"/>
      </w:pPr>
      <w:r>
        <w:rPr>
          <w:rFonts w:ascii="Arial" w:cs="Arial" w:eastAsia="Arial" w:hAnsi="Arial"/>
          <w:b w:val="false"/>
          <w:bCs w:val="false"/>
          <w:sz w:val="22"/>
          <w:szCs w:val="22"/>
        </w:rPr>
        <w:t xml:space="preserve">Based on the analysis above, migrating to Power BI represents a clear improvement across cost, usability, integration, and operational efficiency. The platform eliminates the need for technical workarounds that currently create friction for report authors, reduces licensing costs substantially, and enables broader self-service analytics across the organization.</w:t>
      </w:r>
    </w:p>
    <w:p>
      <w:pPr>
        <w:spacing w:after="80" w:before="80"/>
      </w:pPr>
      <w:r>
        <w:t xml:space="preserve"/>
      </w:r>
    </w:p>
    <w:p>
      <w:pPr>
        <w:spacing w:after="80" w:before="80"/>
      </w:pPr>
      <w:r>
        <w:rPr>
          <w:rFonts w:ascii="Arial" w:cs="Arial" w:eastAsia="Arial" w:hAnsi="Arial"/>
          <w:b w:val="false"/>
          <w:bCs w:val="false"/>
          <w:sz w:val="22"/>
          <w:szCs w:val="22"/>
        </w:rPr>
        <w:t xml:space="preserve">Given that we already have approval to use Power BI, the recommended next step is to begin a pilot with a small set of existing Tableau reports — converting them to Power BI and evaluating the workflow before a full transition.</w:t>
      </w:r>
    </w:p>
    <w:p>
      <w:pPr>
        <w:spacing w:after="80" w:before="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Power BI Migration Proposal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2026-04-30T17:29:28.416Z</dcterms:created>
  <dcterms:modified xsi:type="dcterms:W3CDTF">2026-04-30T17:29:28.434Z</dcterms:modified>
</cp:coreProperties>
</file>

<file path=docProps/custom.xml><?xml version="1.0" encoding="utf-8"?>
<Properties xmlns="http://schemas.openxmlformats.org/officeDocument/2006/custom-properties" xmlns:vt="http://schemas.openxmlformats.org/officeDocument/2006/docPropsVTypes"/>
</file>