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941788" w14:textId="79317469" w:rsidR="002F0631" w:rsidRDefault="003F75CA" w:rsidP="003F75CA">
      <w:pPr>
        <w:pStyle w:val="ListParagraph"/>
        <w:numPr>
          <w:ilvl w:val="0"/>
          <w:numId w:val="1"/>
        </w:numPr>
      </w:pPr>
      <w:r>
        <w:t>Build beta cell network:</w:t>
      </w:r>
    </w:p>
    <w:p w14:paraId="412EFE98" w14:textId="6E85EC87" w:rsidR="003F75CA" w:rsidRDefault="003F75CA" w:rsidP="003F75CA">
      <w:pPr>
        <w:pStyle w:val="ListParagraph"/>
        <w:rPr>
          <w:rFonts w:eastAsiaTheme="minorEastAsia"/>
        </w:rPr>
      </w:pPr>
      <w:r>
        <w:t xml:space="preserve">Average beta cell </w:t>
      </w:r>
      <w:r w:rsidR="00370502">
        <w:t xml:space="preserve">diameter – 10 </w:t>
      </w:r>
      <m:oMath>
        <m:r>
          <w:rPr>
            <w:rFonts w:ascii="Cambria Math" w:hAnsi="Cambria Math"/>
          </w:rPr>
          <m:t>μ</m:t>
        </m:r>
      </m:oMath>
      <w:r w:rsidR="00370502">
        <w:rPr>
          <w:rFonts w:eastAsiaTheme="minorEastAsia"/>
        </w:rPr>
        <w:t>m</w:t>
      </w:r>
    </w:p>
    <w:p w14:paraId="22CFEDA8" w14:textId="66AC4650" w:rsidR="00952B63" w:rsidRPr="00952B63" w:rsidRDefault="00952B63" w:rsidP="00952B63">
      <w:pPr>
        <w:pStyle w:val="ListParagraph"/>
        <w:numPr>
          <w:ilvl w:val="0"/>
          <w:numId w:val="3"/>
        </w:numPr>
        <w:rPr>
          <w:rFonts w:eastAsiaTheme="minorEastAsia"/>
        </w:rPr>
      </w:pPr>
      <w:r w:rsidRPr="00952B63">
        <w:rPr>
          <w:rFonts w:eastAsiaTheme="minorEastAsia"/>
        </w:rPr>
        <w:t>https://www.ncbi.nlm.nih.gov/pmc/articles/PMC5440564/#:~:text=Beta%20cells%20have%20an%20average,Marchetti%20and%20Ferrannini%2C%202015).</w:t>
      </w:r>
    </w:p>
    <w:p w14:paraId="23966223" w14:textId="356E0DAA" w:rsidR="00952B63" w:rsidRDefault="00952B63" w:rsidP="00952B63"/>
    <w:p w14:paraId="1926C967" w14:textId="77777777" w:rsidR="00952B63" w:rsidRDefault="00952B63" w:rsidP="00952B63">
      <w:pPr>
        <w:pStyle w:val="ListParagraph"/>
        <w:numPr>
          <w:ilvl w:val="0"/>
          <w:numId w:val="1"/>
        </w:numPr>
      </w:pPr>
      <w:r>
        <w:t xml:space="preserve">Fill 3D grid with points size [-radius, radius]. </w:t>
      </w:r>
    </w:p>
    <w:p w14:paraId="6C9A3CDF" w14:textId="1E64DDD2" w:rsidR="00952B63" w:rsidRDefault="00952B63" w:rsidP="00952B63">
      <w:pPr>
        <w:pStyle w:val="ListParagraph"/>
      </w:pPr>
      <w:r>
        <w:t>Remove any points not in the islet volume \sqrt((x-</w:t>
      </w:r>
      <w:proofErr w:type="gramStart"/>
      <w:r>
        <w:t>0)^</w:t>
      </w:r>
      <w:proofErr w:type="gramEnd"/>
      <w:r>
        <w:t>2+(y-0)^2+(z-0)^2)</w:t>
      </w:r>
    </w:p>
    <w:p w14:paraId="5B017DCF" w14:textId="73232CB2" w:rsidR="00952B63" w:rsidRDefault="00952B63" w:rsidP="00952B63">
      <w:pPr>
        <w:pStyle w:val="ListParagraph"/>
      </w:pPr>
      <w:r>
        <w:t xml:space="preserve">Randomly choose %percent beta number of </w:t>
      </w:r>
    </w:p>
    <w:p w14:paraId="14BB91E3" w14:textId="755FD659" w:rsidR="0013332C" w:rsidRDefault="00952B63" w:rsidP="00545C31">
      <w:pPr>
        <w:pStyle w:val="ListParagraph"/>
      </w:pPr>
      <w:r>
        <w:t xml:space="preserve"> </w:t>
      </w:r>
    </w:p>
    <w:p w14:paraId="5AF5BF9A" w14:textId="77777777" w:rsidR="0013332C" w:rsidRDefault="0013332C" w:rsidP="003F75CA">
      <w:pPr>
        <w:pStyle w:val="ListParagraph"/>
      </w:pPr>
    </w:p>
    <w:p w14:paraId="67A19067" w14:textId="5722930B" w:rsidR="00545C31" w:rsidRDefault="00545C31" w:rsidP="003F75CA">
      <w:pPr>
        <w:pStyle w:val="ListParagraph"/>
      </w:pPr>
      <w:hyperlink r:id="rId5" w:history="1">
        <w:r w:rsidRPr="00A8634B">
          <w:rPr>
            <w:rStyle w:val="Hyperlink"/>
          </w:rPr>
          <w:t>https://royalsocietypublishing.org/doi/abs/10.1098/rsta.2008.0110?casa_token=VhTF9yYlqpwAAAAA%3AY_TP71x8-ncgAXnCnHvT6imnsti8bgLArXkJOWmjDDOyvb1Dj1p9oPiMdKd-qFak6CJ9_mA_Aj0TC0k</w:t>
        </w:r>
      </w:hyperlink>
    </w:p>
    <w:p w14:paraId="2DF377C1" w14:textId="77777777" w:rsidR="00545C31" w:rsidRDefault="00545C31" w:rsidP="003F75CA">
      <w:pPr>
        <w:pStyle w:val="ListParagraph"/>
      </w:pPr>
    </w:p>
    <w:p w14:paraId="19917F1D" w14:textId="3810E123" w:rsidR="00370502" w:rsidRDefault="00545C31" w:rsidP="00545C31">
      <w:pPr>
        <w:pStyle w:val="ListParagraph"/>
        <w:numPr>
          <w:ilvl w:val="0"/>
          <w:numId w:val="1"/>
        </w:numPr>
      </w:pPr>
      <w:r>
        <w:t>Connect cells with a distribution of edges</w:t>
      </w:r>
    </w:p>
    <w:p w14:paraId="7A99CEA8" w14:textId="685C0AA2" w:rsidR="008E6EE9" w:rsidRDefault="00672082" w:rsidP="008E6EE9">
      <w:pPr>
        <w:pStyle w:val="ListParagraph"/>
      </w:pPr>
      <w:r>
        <w:t xml:space="preserve">[Zhang et al. 2008] says that there are 217 +/- 46. If we assume a normal distribution, and assume 46 is 1 STD, we can repeat Zhang’s calculations and assume the distribution of </w:t>
      </w:r>
      <w:r w:rsidR="00D3226F">
        <w:t>cell-to-cell</w:t>
      </w:r>
      <w:r>
        <w:t xml:space="preserve"> connections for a given cell is </w:t>
      </w:r>
      <m:oMath>
        <m:r>
          <m:rPr>
            <m:scr m:val="script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(6.38, 1.35)</m:t>
        </m:r>
      </m:oMath>
      <w:r>
        <w:t xml:space="preserve">.  </w:t>
      </w:r>
    </w:p>
    <w:p w14:paraId="5FFD5DDE" w14:textId="53017EA0" w:rsidR="00545C31" w:rsidRDefault="00545C31" w:rsidP="00545C31">
      <w:pPr>
        <w:pStyle w:val="ListParagraph"/>
      </w:pPr>
    </w:p>
    <w:p w14:paraId="3C347718" w14:textId="1E88FAD0" w:rsidR="00A77F4F" w:rsidRDefault="00A77F4F" w:rsidP="00A77F4F">
      <w:pPr>
        <w:pStyle w:val="ListParagraph"/>
        <w:numPr>
          <w:ilvl w:val="0"/>
          <w:numId w:val="1"/>
        </w:numPr>
      </w:pPr>
      <w:r>
        <w:t>Distribution of total conductance</w:t>
      </w:r>
    </w:p>
    <w:p w14:paraId="2135F044" w14:textId="77777777" w:rsidR="00A77F4F" w:rsidRDefault="00A77F4F" w:rsidP="00A77F4F">
      <w:pPr>
        <w:pStyle w:val="ListParagraph"/>
      </w:pPr>
    </w:p>
    <w:p w14:paraId="68E0AC92" w14:textId="6FE5D904" w:rsidR="00A77F4F" w:rsidRDefault="00A77F4F" w:rsidP="00A77F4F">
      <w:pPr>
        <w:pStyle w:val="ListParagraph"/>
      </w:pPr>
      <w:r w:rsidRPr="00C00CDE">
        <w:drawing>
          <wp:anchor distT="0" distB="0" distL="114300" distR="114300" simplePos="0" relativeHeight="251659264" behindDoc="0" locked="0" layoutInCell="1" allowOverlap="1" wp14:anchorId="41D6FA80" wp14:editId="5EB08BD7">
            <wp:simplePos x="0" y="0"/>
            <wp:positionH relativeFrom="column">
              <wp:posOffset>2843530</wp:posOffset>
            </wp:positionH>
            <wp:positionV relativeFrom="paragraph">
              <wp:posOffset>1127125</wp:posOffset>
            </wp:positionV>
            <wp:extent cx="2912110" cy="2398395"/>
            <wp:effectExtent l="0" t="0" r="0" b="1905"/>
            <wp:wrapThrough wrapText="bothSides">
              <wp:wrapPolygon edited="0">
                <wp:start x="0" y="0"/>
                <wp:lineTo x="0" y="21503"/>
                <wp:lineTo x="21478" y="21503"/>
                <wp:lineTo x="21478" y="0"/>
                <wp:lineTo x="0" y="0"/>
              </wp:wrapPolygon>
            </wp:wrapThrough>
            <wp:docPr id="2" name="Picture 2" descr="Chart, hist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hart, histogram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211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00CDE">
        <w:drawing>
          <wp:anchor distT="0" distB="0" distL="114300" distR="114300" simplePos="0" relativeHeight="251658240" behindDoc="0" locked="0" layoutInCell="1" allowOverlap="1" wp14:anchorId="24377451" wp14:editId="0FF68C37">
            <wp:simplePos x="0" y="0"/>
            <wp:positionH relativeFrom="column">
              <wp:posOffset>0</wp:posOffset>
            </wp:positionH>
            <wp:positionV relativeFrom="paragraph">
              <wp:posOffset>1124529</wp:posOffset>
            </wp:positionV>
            <wp:extent cx="2794000" cy="2400300"/>
            <wp:effectExtent l="0" t="0" r="0" b="0"/>
            <wp:wrapThrough wrapText="bothSides">
              <wp:wrapPolygon edited="0">
                <wp:start x="0" y="0"/>
                <wp:lineTo x="0" y="21486"/>
                <wp:lineTo x="21502" y="21486"/>
                <wp:lineTo x="21502" y="0"/>
                <wp:lineTo x="0" y="0"/>
              </wp:wrapPolygon>
            </wp:wrapThrough>
            <wp:docPr id="1" name="Picture 1" descr="Chart, scatt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rt, scatter chart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Distribution taken from </w:t>
      </w:r>
      <w:r w:rsidR="00D3226F">
        <w:t>Fluorescence</w:t>
      </w:r>
      <w:r>
        <w:t xml:space="preserve"> Recovery Rate after Photobleaching.</w:t>
      </w:r>
    </w:p>
    <w:p w14:paraId="080ACBB7" w14:textId="454EEFBB" w:rsidR="00A77F4F" w:rsidRDefault="00A77F4F" w:rsidP="00A77F4F">
      <w:pPr>
        <w:pStyle w:val="ListParagraph"/>
        <w:rPr>
          <w:rFonts w:eastAsiaTheme="minorEastAsia"/>
        </w:rPr>
      </w:pPr>
      <w:r>
        <w:t xml:space="preserve">The average </w:t>
      </w:r>
      <w:r w:rsidR="00715BDA">
        <w:t>conductance</w:t>
      </w:r>
      <w:r>
        <w:t xml:space="preserve"> is 1.22 ns [Zhang et al. 2008]. Therefore, we will scale: </w:t>
      </w:r>
      <m:oMath>
        <m:r>
          <w:rPr>
            <w:rFonts w:ascii="Cambria Math" w:hAnsi="Cambria Math"/>
          </w:rPr>
          <m:t>Cond. = Recovery Rate*203</m:t>
        </m:r>
      </m:oMath>
    </w:p>
    <w:p w14:paraId="7E467FCF" w14:textId="71A22853" w:rsidR="008E6EE9" w:rsidRDefault="008E6EE9" w:rsidP="00A77F4F">
      <w:pPr>
        <w:pStyle w:val="ListParagraph"/>
        <w:rPr>
          <w:rFonts w:eastAsiaTheme="minorEastAsia"/>
        </w:rPr>
      </w:pPr>
    </w:p>
    <w:p w14:paraId="74F1E95E" w14:textId="77777777" w:rsidR="008E6EE9" w:rsidRDefault="008E6EE9" w:rsidP="00A77F4F">
      <w:pPr>
        <w:pStyle w:val="ListParagraph"/>
      </w:pPr>
    </w:p>
    <w:sectPr w:rsidR="008E6E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6E5AF0"/>
    <w:multiLevelType w:val="hybridMultilevel"/>
    <w:tmpl w:val="73D414C2"/>
    <w:lvl w:ilvl="0" w:tplc="976EF0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0C50F7C"/>
    <w:multiLevelType w:val="hybridMultilevel"/>
    <w:tmpl w:val="F912CA48"/>
    <w:lvl w:ilvl="0" w:tplc="D0FAB13C">
      <w:start w:val="1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64A4FA4"/>
    <w:multiLevelType w:val="hybridMultilevel"/>
    <w:tmpl w:val="7E726446"/>
    <w:lvl w:ilvl="0" w:tplc="9C3E9668">
      <w:start w:val="1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41453022">
    <w:abstractNumId w:val="0"/>
  </w:num>
  <w:num w:numId="2" w16cid:durableId="1595475530">
    <w:abstractNumId w:val="1"/>
  </w:num>
  <w:num w:numId="3" w16cid:durableId="19037151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262"/>
    <w:rsid w:val="0013332C"/>
    <w:rsid w:val="002F0631"/>
    <w:rsid w:val="00370502"/>
    <w:rsid w:val="003F75CA"/>
    <w:rsid w:val="004108C7"/>
    <w:rsid w:val="00545C31"/>
    <w:rsid w:val="00560262"/>
    <w:rsid w:val="00583DBA"/>
    <w:rsid w:val="00672082"/>
    <w:rsid w:val="006F6F73"/>
    <w:rsid w:val="00715BDA"/>
    <w:rsid w:val="0072787E"/>
    <w:rsid w:val="008C5E57"/>
    <w:rsid w:val="008E6EE9"/>
    <w:rsid w:val="00952B63"/>
    <w:rsid w:val="009C70A1"/>
    <w:rsid w:val="009F6213"/>
    <w:rsid w:val="00A77F4F"/>
    <w:rsid w:val="00C00CDE"/>
    <w:rsid w:val="00D3226F"/>
    <w:rsid w:val="00D45BA4"/>
    <w:rsid w:val="00F81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B773"/>
  <w15:chartTrackingRefBased/>
  <w15:docId w15:val="{9889EFB4-8DC7-3841-BA5B-3BFAB164F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75CA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70502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545C3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5C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81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2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44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923821">
                  <w:marLeft w:val="0"/>
                  <w:marRight w:val="0"/>
                  <w:marTop w:val="0"/>
                  <w:marBottom w:val="0"/>
                  <w:divBdr>
                    <w:top w:val="single" w:sz="18" w:space="12" w:color="3E72A6"/>
                    <w:left w:val="single" w:sz="18" w:space="12" w:color="3E72A6"/>
                    <w:bottom w:val="single" w:sz="18" w:space="12" w:color="3E72A6"/>
                    <w:right w:val="single" w:sz="18" w:space="12" w:color="3E72A6"/>
                  </w:divBdr>
                </w:div>
              </w:divsChild>
            </w:div>
          </w:divsChild>
        </w:div>
        <w:div w:id="202705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135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853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266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royalsocietypublishing.org/doi/abs/10.1098/rsta.2008.0110?casa_token=VhTF9yYlqpwAAAAA%3AY_TP71x8-ncgAXnCnHvT6imnsti8bgLArXkJOWmjDDOyvb1Dj1p9oPiMdKd-qFak6CJ9_mA_Aj0TC0k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187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Briggs</dc:creator>
  <cp:keywords/>
  <dc:description/>
  <cp:lastModifiedBy>Jennifer Briggs</cp:lastModifiedBy>
  <cp:revision>3</cp:revision>
  <dcterms:created xsi:type="dcterms:W3CDTF">2022-09-14T13:06:00Z</dcterms:created>
  <dcterms:modified xsi:type="dcterms:W3CDTF">2022-09-16T19:06:00Z</dcterms:modified>
</cp:coreProperties>
</file>