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 w:before="0" w:line="360" w:lineRule="auto"/>
        <w:jc w:val="center"/>
      </w:pPr>
      <w:r>
        <w:rPr>
          <w:rFonts w:ascii="Times New Roman" w:hAnsi="Times New Roman" w:eastAsia="Times New Roman"/>
          <w:b/>
          <w:i w:val="0"/>
          <w:sz w:val="26"/>
        </w:rPr>
        <w:t>Pan-Atlantic University</w:t>
      </w:r>
    </w:p>
    <w:p>
      <w:pPr>
        <w:spacing w:after="60" w:before="0" w:line="360" w:lineRule="auto"/>
        <w:jc w:val="center"/>
      </w:pPr>
      <w:r>
        <w:rPr>
          <w:rFonts w:ascii="Times New Roman" w:hAnsi="Times New Roman" w:eastAsia="Times New Roman"/>
          <w:b w:val="0"/>
          <w:i w:val="0"/>
          <w:sz w:val="24"/>
        </w:rPr>
        <w:t>Course Code: DAT 617</w:t>
      </w:r>
    </w:p>
    <w:p>
      <w:pPr>
        <w:spacing w:after="60" w:before="0" w:line="360" w:lineRule="auto"/>
        <w:jc w:val="center"/>
      </w:pPr>
      <w:r>
        <w:rPr>
          <w:rFonts w:ascii="Times New Roman" w:hAnsi="Times New Roman" w:eastAsia="Times New Roman"/>
          <w:b w:val="0"/>
          <w:i w:val="0"/>
          <w:sz w:val="24"/>
        </w:rPr>
        <w:t>Course Title: Data Management, Visualization and Presentation</w:t>
      </w:r>
    </w:p>
    <w:p/>
    <w:p>
      <w:pPr>
        <w:spacing w:after="60" w:before="0" w:line="360" w:lineRule="auto"/>
        <w:jc w:val="center"/>
      </w:pPr>
      <w:r>
        <w:rPr>
          <w:rFonts w:ascii="Times New Roman" w:hAnsi="Times New Roman" w:eastAsia="Times New Roman"/>
          <w:b/>
          <w:i w:val="0"/>
          <w:sz w:val="30"/>
        </w:rPr>
        <w:t>Strengthening Executive Decision-Making at MTN Group: An Integrated Enterprise Analytics, Visualization and AI Strategy</w:t>
      </w:r>
    </w:p>
    <w:p/>
    <w:p>
      <w:pPr>
        <w:spacing w:after="60" w:before="0" w:line="360" w:lineRule="auto"/>
        <w:jc w:val="center"/>
      </w:pPr>
      <w:r>
        <w:rPr>
          <w:rFonts w:ascii="Times New Roman" w:hAnsi="Times New Roman" w:eastAsia="Times New Roman"/>
          <w:b w:val="0"/>
          <w:i w:val="0"/>
          <w:sz w:val="24"/>
        </w:rPr>
        <w:t>Student Name: Maduechesi Chidiebere Jennifer</w:t>
      </w:r>
    </w:p>
    <w:p>
      <w:pPr>
        <w:spacing w:after="60" w:before="0" w:line="360" w:lineRule="auto"/>
        <w:jc w:val="center"/>
      </w:pPr>
      <w:r>
        <w:rPr>
          <w:rFonts w:ascii="Times New Roman" w:hAnsi="Times New Roman" w:eastAsia="Times New Roman"/>
          <w:b w:val="0"/>
          <w:i w:val="0"/>
          <w:sz w:val="24"/>
        </w:rPr>
        <w:t>Surname: Maduechesi</w:t>
      </w:r>
    </w:p>
    <w:p>
      <w:pPr>
        <w:spacing w:after="60" w:before="0" w:line="360" w:lineRule="auto"/>
        <w:jc w:val="center"/>
      </w:pPr>
      <w:r>
        <w:rPr>
          <w:rFonts w:ascii="Times New Roman" w:hAnsi="Times New Roman" w:eastAsia="Times New Roman"/>
          <w:b w:val="0"/>
          <w:i w:val="0"/>
          <w:sz w:val="24"/>
        </w:rPr>
        <w:t>Matriculation Number: 25120133019</w:t>
      </w:r>
    </w:p>
    <w:p>
      <w:pPr>
        <w:spacing w:after="60" w:before="0" w:line="360" w:lineRule="auto"/>
        <w:jc w:val="center"/>
      </w:pPr>
      <w:r>
        <w:rPr>
          <w:rFonts w:ascii="Times New Roman" w:hAnsi="Times New Roman" w:eastAsia="Times New Roman"/>
          <w:b w:val="0"/>
          <w:i w:val="0"/>
          <w:sz w:val="24"/>
        </w:rPr>
        <w:t>Programme: Master of Science (M.Sc.) Data Science</w:t>
      </w:r>
    </w:p>
    <w:p>
      <w:pPr>
        <w:spacing w:after="60" w:before="0" w:line="360" w:lineRule="auto"/>
        <w:jc w:val="center"/>
      </w:pPr>
      <w:r>
        <w:rPr>
          <w:rFonts w:ascii="Times New Roman" w:hAnsi="Times New Roman" w:eastAsia="Times New Roman"/>
          <w:b w:val="0"/>
          <w:i w:val="0"/>
          <w:sz w:val="24"/>
        </w:rPr>
        <w:t>Referencing Style: APA 7th Edition</w:t>
      </w:r>
    </w:p>
    <w:p>
      <w:pPr>
        <w:spacing w:after="60" w:before="0" w:line="360" w:lineRule="auto"/>
        <w:jc w:val="center"/>
      </w:pPr>
      <w:r>
        <w:rPr>
          <w:rFonts w:ascii="Times New Roman" w:hAnsi="Times New Roman" w:eastAsia="Times New Roman"/>
          <w:b w:val="0"/>
          <w:i w:val="0"/>
          <w:sz w:val="24"/>
        </w:rPr>
        <w:t>Submission Date: 6 August 2026</w:t>
      </w:r>
    </w:p>
    <w:p>
      <w:r>
        <w:br w:type="page"/>
      </w:r>
    </w:p>
    <w:p>
      <w:pPr>
        <w:keepNext/>
        <w:spacing w:after="120" w:before="320" w:line="360" w:lineRule="auto"/>
        <w:jc w:val="left"/>
      </w:pPr>
      <w:r>
        <w:rPr>
          <w:rFonts w:ascii="Times New Roman" w:hAnsi="Times New Roman" w:eastAsia="Times New Roman"/>
          <w:b/>
          <w:i w:val="0"/>
          <w:sz w:val="26"/>
        </w:rPr>
        <w:t>Executive Summary</w:t>
      </w:r>
    </w:p>
    <w:p>
      <w:pPr>
        <w:spacing w:after="120" w:before="0" w:line="360" w:lineRule="auto"/>
        <w:jc w:val="both"/>
      </w:pPr>
      <w:r>
        <w:rPr>
          <w:rFonts w:ascii="Times New Roman" w:hAnsi="Times New Roman" w:eastAsia="Times New Roman"/>
          <w:b w:val="0"/>
          <w:i w:val="0"/>
          <w:sz w:val="24"/>
        </w:rPr>
        <w:t>MTN Group runs the largest mobile network in Africa, yet much of the data it generates every second never reaches the people making strategic calls. This report examines that gap. The core problem I identified is rising customer churn and quiet revenue leakage, both worsened by data that sits in disconnected silos across billing, the network, and MTN Mobile Money. Decisions end up being made late and on instinct rather than evidence. Working through the DIKW framework, an enterprise data management plan, and a nine-stage analytical workflow, I show how raw call records and transaction logs can be turned into the kind of knowledge an executive committee can actually act on. The findings point to three things in particular: churn is concentrated in identifiable prepaid segments, network faults cluster in ways that predict complaints, and MoMo data is under-used for cross-sell. My main recommendations are to build a governed central data platform, stand up an executive dashboard tied to a small set of KPIs, and adopt Generative AI for reporting and conversational analytics under a clear ethics policy. Done together, these moves should cut churn, protect revenue, and shorten the distance between a question and a defensible answer.</w:t>
      </w:r>
    </w:p>
    <w:p>
      <w:pPr>
        <w:keepNext/>
        <w:spacing w:after="120" w:before="320" w:line="360" w:lineRule="auto"/>
        <w:jc w:val="left"/>
      </w:pPr>
      <w:r>
        <w:rPr>
          <w:rFonts w:ascii="Times New Roman" w:hAnsi="Times New Roman" w:eastAsia="Times New Roman"/>
          <w:b/>
          <w:i w:val="0"/>
          <w:sz w:val="26"/>
        </w:rPr>
        <w:t>1. Organizational Background</w:t>
      </w:r>
    </w:p>
    <w:p>
      <w:pPr>
        <w:spacing w:after="120" w:before="0" w:line="360" w:lineRule="auto"/>
        <w:jc w:val="both"/>
      </w:pPr>
      <w:r>
        <w:rPr>
          <w:rFonts w:ascii="Times New Roman" w:hAnsi="Times New Roman" w:eastAsia="Times New Roman"/>
          <w:b w:val="0"/>
          <w:i w:val="0"/>
          <w:sz w:val="24"/>
        </w:rPr>
        <w:t>MTN Group is a multinational telecommunications operator headquartered in Johannesburg, South Africa. It runs mobile voice, data, and digital services across roughly nineteen markets in Africa and parts of the Middle East, and its subscriber base sits close to 290 million people. That scale makes it the biggest operator on the continent by some distance. Alongside the core network business, MTN has grown MTN Mobile Money (MoMo) into one of Africa's larger fintech platforms, which matters a great deal for the argument in this report.</w:t>
      </w:r>
    </w:p>
    <w:p>
      <w:pPr>
        <w:spacing w:after="120" w:before="0" w:line="360" w:lineRule="auto"/>
        <w:jc w:val="both"/>
      </w:pPr>
      <w:r>
        <w:rPr>
          <w:rFonts w:ascii="Times New Roman" w:hAnsi="Times New Roman" w:eastAsia="Times New Roman"/>
          <w:b w:val="0"/>
          <w:i w:val="0"/>
          <w:sz w:val="24"/>
        </w:rPr>
        <w:t>The industry context is not gentle. African telecoms operate on thin margins, in price-sensitive markets, under heavy regulation and with constant pressure on the average revenue per user (ARPU). Voice revenue has been sliding for years as data and mobile-money services take over, and competitors such as Airtel Africa are fighting for the same subscribers (GSMA, 2023). Switching networks is cheap for a prepaid customer, so loyalty is fragile and won or lost on price, coverage, and the quality of everyday service.</w:t>
      </w:r>
    </w:p>
    <w:p>
      <w:pPr>
        <w:spacing w:after="120" w:before="0" w:line="360" w:lineRule="auto"/>
        <w:jc w:val="both"/>
      </w:pPr>
      <w:r>
        <w:rPr>
          <w:rFonts w:ascii="Times New Roman" w:hAnsi="Times New Roman" w:eastAsia="Times New Roman"/>
          <w:b w:val="0"/>
          <w:i w:val="0"/>
          <w:sz w:val="24"/>
        </w:rPr>
        <w:t>I chose MTN for three practical reasons. First, the sheer volume and variety of its data, network telemetry, call records, and financial transactions, make it an ideal setting to discuss enterprise data management. Second, it operates in exactly the kind of competitive, margin-pressured market where better analytics changes outcomes. Third, its fintech arm raises data-governance and ethics questions that a purely voice-based operator would not, which lets the later sections go deeper.</w:t>
      </w:r>
    </w:p>
    <w:p>
      <w:pPr>
        <w:keepNext/>
        <w:spacing w:after="120" w:before="320" w:line="360" w:lineRule="auto"/>
        <w:jc w:val="left"/>
      </w:pPr>
      <w:r>
        <w:rPr>
          <w:rFonts w:ascii="Times New Roman" w:hAnsi="Times New Roman" w:eastAsia="Times New Roman"/>
          <w:b/>
          <w:i w:val="0"/>
          <w:sz w:val="26"/>
        </w:rPr>
        <w:t>2. Business Problem Analysis</w:t>
      </w:r>
    </w:p>
    <w:p>
      <w:pPr>
        <w:spacing w:after="120" w:before="0" w:line="360" w:lineRule="auto"/>
        <w:jc w:val="both"/>
      </w:pPr>
      <w:r>
        <w:rPr>
          <w:rFonts w:ascii="Times New Roman" w:hAnsi="Times New Roman" w:eastAsia="Times New Roman"/>
          <w:b w:val="0"/>
          <w:i w:val="0"/>
          <w:sz w:val="24"/>
        </w:rPr>
        <w:t>The problem is straightforward to state and hard to fix: MTN loses customers and revenue faster than it needs to, because its data is fragmented and its decisions lag behind events. Churn in prepaid segments runs high, and every subscriber who leaves takes recurring revenue with them. Revenue leakage, the smaller losses from billing errors, unbilled usage, and fraud, compounds the damage quietly. None of this is new. What makes it a data problem is that the signals needed to catch it early already exist in the network and billing systems. They just aren't joined up.</w:t>
      </w:r>
    </w:p>
    <w:p>
      <w:pPr>
        <w:spacing w:after="120" w:before="0" w:line="360" w:lineRule="auto"/>
        <w:jc w:val="both"/>
      </w:pPr>
      <w:r>
        <w:rPr>
          <w:rFonts w:ascii="Times New Roman" w:hAnsi="Times New Roman" w:eastAsia="Times New Roman"/>
          <w:b w:val="0"/>
          <w:i w:val="0"/>
          <w:sz w:val="24"/>
        </w:rPr>
        <w:t>The organizational impact reaches well beyond the finance line. When customer, network, and payment data live in seperate systems, nobody owns a single view of the customer. Marketing runs retention campaigns without knowing which subscribers are actually about to leave. Network teams fix faults after the complaints arrive rather than before. Executives get monthly reports that are already out of date by the time they land.</w:t>
      </w:r>
    </w:p>
    <w:p>
      <w:pPr>
        <w:spacing w:after="120" w:before="0" w:line="360" w:lineRule="auto"/>
        <w:jc w:val="both"/>
      </w:pPr>
      <w:r>
        <w:rPr>
          <w:rFonts w:ascii="Times New Roman" w:hAnsi="Times New Roman" w:eastAsia="Times New Roman"/>
          <w:b w:val="0"/>
          <w:i w:val="0"/>
          <w:sz w:val="24"/>
        </w:rPr>
        <w:t>A data-driven solution is required precisely because the alternative, experience and gut feel, does not scale to 290 million subscribers. Firms that adopt data-driven decision-making show measurably higher productivity and output than those that don't (Brynjolfsson &amp; McElheran, 2016), and business intelligence has shifted from back-office reporting to the centre of competitive strategy (Chen et al., 2012). For MTN the expected benefits are concrete: earlier churn detection, tighter revenue assurance, faster network response, and marketing spend aimed at the customers who matter. Get this right and the same data that currently sits idle becomes the cheapest competitive advantage the company has (Davenport &amp; Harris, 2007).</w:t>
      </w:r>
    </w:p>
    <w:p>
      <w:pPr>
        <w:keepNext/>
        <w:spacing w:after="120" w:before="320" w:line="360" w:lineRule="auto"/>
        <w:jc w:val="left"/>
      </w:pPr>
      <w:r>
        <w:rPr>
          <w:rFonts w:ascii="Times New Roman" w:hAnsi="Times New Roman" w:eastAsia="Times New Roman"/>
          <w:b/>
          <w:i w:val="0"/>
          <w:sz w:val="26"/>
        </w:rPr>
        <w:t>3. Application of the DIKW Framework</w:t>
      </w:r>
    </w:p>
    <w:p>
      <w:pPr>
        <w:spacing w:after="120" w:before="0" w:line="360" w:lineRule="auto"/>
        <w:jc w:val="both"/>
      </w:pPr>
      <w:r>
        <w:rPr>
          <w:rFonts w:ascii="Times New Roman" w:hAnsi="Times New Roman" w:eastAsia="Times New Roman"/>
          <w:b w:val="0"/>
          <w:i w:val="0"/>
          <w:sz w:val="24"/>
        </w:rPr>
        <w:t>The DIKW framework, Data, Information, Knowledge, Wisdom, is a useful way to explain how MTN can climb from raw records to strategic judgement (Ackoff, 1989; Rowley, 2007). Each level adds context and meaning to the one below it, and the value to decision-making rises as you move up.</w:t>
      </w:r>
    </w:p>
    <w:p>
      <w:pPr>
        <w:spacing w:before="160" w:after="40"/>
        <w:jc w:val="center"/>
      </w:pPr>
      <w:r>
        <w:drawing>
          <wp:inline xmlns:a="http://schemas.openxmlformats.org/drawingml/2006/main" xmlns:pic="http://schemas.openxmlformats.org/drawingml/2006/picture">
            <wp:extent cx="4754880" cy="3321902"/>
            <wp:docPr id="1" name="Picture 1"/>
            <wp:cNvGraphicFramePr>
              <a:graphicFrameLocks noChangeAspect="1"/>
            </wp:cNvGraphicFramePr>
            <a:graphic>
              <a:graphicData uri="http://schemas.openxmlformats.org/drawingml/2006/picture">
                <pic:pic>
                  <pic:nvPicPr>
                    <pic:cNvPr id="0" name="fig1_dikw.png"/>
                    <pic:cNvPicPr/>
                  </pic:nvPicPr>
                  <pic:blipFill>
                    <a:blip r:embed="rId9"/>
                    <a:stretch>
                      <a:fillRect/>
                    </a:stretch>
                  </pic:blipFill>
                  <pic:spPr>
                    <a:xfrm>
                      <a:off x="0" y="0"/>
                      <a:ext cx="4754880" cy="3321902"/>
                    </a:xfrm>
                    <a:prstGeom prst="rect"/>
                  </pic:spPr>
                </pic:pic>
              </a:graphicData>
            </a:graphic>
          </wp:inline>
        </w:drawing>
      </w:r>
    </w:p>
    <w:p>
      <w:pPr>
        <w:spacing w:after="200" w:line="240" w:lineRule="auto"/>
        <w:jc w:val="left"/>
      </w:pPr>
      <w:r>
        <w:rPr>
          <w:rFonts w:ascii="Times New Roman" w:hAnsi="Times New Roman" w:eastAsia="Times New Roman"/>
          <w:b/>
          <w:i w:val="0"/>
          <w:sz w:val="21"/>
        </w:rPr>
        <w:t xml:space="preserve">Figure 1. </w:t>
      </w:r>
      <w:r>
        <w:rPr>
          <w:rFonts w:ascii="Times New Roman" w:hAnsi="Times New Roman" w:eastAsia="Times New Roman"/>
          <w:b w:val="0"/>
          <w:i/>
          <w:sz w:val="21"/>
        </w:rPr>
        <w:t>The DIKW hierarchy applied to MTN Group. Raw operational data at the base is refined into information, then into organizational knowledge, and finally into the strategic wisdom that guides investment and pricing decisions.</w:t>
      </w:r>
    </w:p>
    <w:p>
      <w:pPr>
        <w:spacing w:after="120" w:before="0" w:line="360" w:lineRule="auto"/>
        <w:jc w:val="both"/>
      </w:pPr>
      <w:r>
        <w:rPr>
          <w:rFonts w:ascii="Times New Roman" w:hAnsi="Times New Roman" w:eastAsia="Times New Roman"/>
          <w:b w:val="0"/>
          <w:i w:val="0"/>
          <w:sz w:val="24"/>
        </w:rPr>
        <w:t>At the data level sit the raw materials: call detail records, network alarms, MoMo transaction logs, and CRM entries. On their own they mean little. A single dropped-call record tells you nothing. Information appears once that data is cleaned and aggregated into measures a manager recognises, churn rate by region, ARPU, network uptime, and so on. Knowledge is the next jump, and the important one. It is the patterns across that information: which customer segments churn and why, where network faults recur, what a fraud attempt looks like before it completes.</w:t>
      </w:r>
    </w:p>
    <w:p>
      <w:pPr>
        <w:spacing w:after="120" w:before="0" w:line="360" w:lineRule="auto"/>
        <w:jc w:val="both"/>
      </w:pPr>
      <w:r>
        <w:rPr>
          <w:rFonts w:ascii="Times New Roman" w:hAnsi="Times New Roman" w:eastAsia="Times New Roman"/>
          <w:b w:val="0"/>
          <w:i w:val="0"/>
          <w:sz w:val="24"/>
        </w:rPr>
        <w:t>Wisdom sits at the top. This is where MTN decides where to place its next round of capital spending, which markets to defend hardest, and how to price for retention rather than pure acquisition. The point of the framework is not the diagram itself but the discipline it imposes: data is only worth collecting if there is a path for it to become a decision.</w:t>
      </w:r>
    </w:p>
    <w:p>
      <w:pPr>
        <w:keepNext/>
        <w:spacing w:after="120" w:before="320" w:line="360" w:lineRule="auto"/>
        <w:jc w:val="left"/>
      </w:pPr>
      <w:r>
        <w:rPr>
          <w:rFonts w:ascii="Times New Roman" w:hAnsi="Times New Roman" w:eastAsia="Times New Roman"/>
          <w:b/>
          <w:i w:val="0"/>
          <w:sz w:val="26"/>
        </w:rPr>
        <w:t>4. Enterprise Data Management Strategy</w:t>
      </w:r>
    </w:p>
    <w:p>
      <w:pPr>
        <w:spacing w:after="120" w:before="0" w:line="360" w:lineRule="auto"/>
        <w:jc w:val="both"/>
      </w:pPr>
      <w:r>
        <w:rPr>
          <w:rFonts w:ascii="Times New Roman" w:hAnsi="Times New Roman" w:eastAsia="Times New Roman"/>
          <w:b w:val="0"/>
          <w:i w:val="0"/>
          <w:sz w:val="24"/>
        </w:rPr>
        <w:t>Everything above depends on managing the data well, so this is the section I have given the most weight. An enterprise data management strategy for MTN has to cover where the data comes from, whether it can be trusted, who is accountable for it, and how it is kept safe. I take each component in turn.</w:t>
      </w:r>
    </w:p>
    <w:p>
      <w:pPr>
        <w:keepNext/>
        <w:spacing w:after="80" w:before="200" w:line="360" w:lineRule="auto"/>
        <w:jc w:val="left"/>
      </w:pPr>
      <w:r>
        <w:rPr>
          <w:rFonts w:ascii="Times New Roman" w:hAnsi="Times New Roman" w:eastAsia="Times New Roman"/>
          <w:b/>
          <w:i w:val="0"/>
          <w:sz w:val="24"/>
        </w:rPr>
        <w:t>Structured and unstructured data sources</w:t>
      </w:r>
    </w:p>
    <w:p>
      <w:pPr>
        <w:spacing w:after="120" w:before="0" w:line="360" w:lineRule="auto"/>
        <w:jc w:val="both"/>
      </w:pPr>
      <w:r>
        <w:rPr>
          <w:rFonts w:ascii="Times New Roman" w:hAnsi="Times New Roman" w:eastAsia="Times New Roman"/>
          <w:b w:val="0"/>
          <w:i w:val="0"/>
          <w:sz w:val="24"/>
        </w:rPr>
        <w:t>MTN's structured data is the easy part to picture: billing records, subscriber CRM tables, call detail records, and MoMo transaction logs, all sitting in rows and columns. The unstructured side is larger and messier, and often ignored. It includes call-centre voice recordings, customer complaints and chat transcripts, social-media mentions, and network sensor streams. A serious strategy brings both together, because the reason a customer churns often lives in a complaint transcript, not a billing table.</w:t>
      </w:r>
    </w:p>
    <w:p>
      <w:pPr>
        <w:spacing w:after="120" w:before="0" w:line="360" w:lineRule="auto"/>
        <w:jc w:val="both"/>
      </w:pPr>
      <w:r>
        <w:rPr>
          <w:rFonts w:ascii="Times New Roman" w:hAnsi="Times New Roman" w:eastAsia="Times New Roman"/>
          <w:b w:val="0"/>
          <w:i w:val="0"/>
          <w:sz w:val="24"/>
        </w:rPr>
        <w:t>The table below maps the main sources to what they can support.</w:t>
      </w:r>
    </w:p>
    <w:p>
      <w:pPr>
        <w:spacing w:before="160" w:after="40" w:line="240" w:lineRule="auto"/>
        <w:jc w:val="left"/>
      </w:pPr>
      <w:r>
        <w:rPr>
          <w:rFonts w:ascii="Times New Roman" w:hAnsi="Times New Roman" w:eastAsia="Times New Roman"/>
          <w:b/>
          <w:i w:val="0"/>
          <w:sz w:val="21"/>
        </w:rPr>
        <w:t xml:space="preserve">Table 1. </w:t>
      </w:r>
      <w:r>
        <w:rPr>
          <w:rFonts w:ascii="Times New Roman" w:hAnsi="Times New Roman" w:eastAsia="Times New Roman"/>
          <w:b w:val="0"/>
          <w:i/>
          <w:sz w:val="21"/>
        </w:rPr>
        <w:t>Structured, semi-structured, and unstructured data sources at MTN and their uses.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EBEBEB"/>
          </w:tcPr>
          <w:p>
            <w:pPr>
              <w:spacing w:line="240" w:lineRule="auto"/>
            </w:pPr>
            <w:r/>
            <w:r>
              <w:rPr>
                <w:rFonts w:ascii="Times New Roman" w:hAnsi="Times New Roman" w:eastAsia="Times New Roman"/>
                <w:b/>
                <w:i w:val="0"/>
                <w:sz w:val="21"/>
              </w:rPr>
              <w:t>Data type</w:t>
            </w:r>
          </w:p>
        </w:tc>
        <w:tc>
          <w:tcPr>
            <w:tcW w:type="dxa" w:w="3744"/>
            <w:shd w:val="clear" w:fill="EBEBEB"/>
          </w:tcPr>
          <w:p>
            <w:pPr>
              <w:spacing w:line="240" w:lineRule="auto"/>
            </w:pPr>
            <w:r/>
            <w:r>
              <w:rPr>
                <w:rFonts w:ascii="Times New Roman" w:hAnsi="Times New Roman" w:eastAsia="Times New Roman"/>
                <w:b/>
                <w:i w:val="0"/>
                <w:sz w:val="21"/>
              </w:rPr>
              <w:t>Example sources at MTN</w:t>
            </w:r>
          </w:p>
        </w:tc>
        <w:tc>
          <w:tcPr>
            <w:tcW w:type="dxa" w:w="3744"/>
            <w:shd w:val="clear" w:fill="EBEBEB"/>
          </w:tcPr>
          <w:p>
            <w:pPr>
              <w:spacing w:line="240" w:lineRule="auto"/>
            </w:pPr>
            <w:r/>
            <w:r>
              <w:rPr>
                <w:rFonts w:ascii="Times New Roman" w:hAnsi="Times New Roman" w:eastAsia="Times New Roman"/>
                <w:b/>
                <w:i w:val="0"/>
                <w:sz w:val="21"/>
              </w:rPr>
              <w:t>Primary analytical use</w:t>
            </w:r>
          </w:p>
        </w:tc>
      </w:tr>
      <w:tr>
        <w:tc>
          <w:tcPr>
            <w:tcW w:type="dxa" w:w="2016"/>
          </w:tcPr>
          <w:p>
            <w:pPr>
              <w:spacing w:line="240" w:lineRule="auto"/>
            </w:pPr>
            <w:r/>
            <w:r>
              <w:rPr>
                <w:rFonts w:ascii="Times New Roman" w:hAnsi="Times New Roman" w:eastAsia="Times New Roman"/>
                <w:b w:val="0"/>
                <w:i w:val="0"/>
                <w:sz w:val="21"/>
              </w:rPr>
              <w:t>Structured</w:t>
            </w:r>
          </w:p>
        </w:tc>
        <w:tc>
          <w:tcPr>
            <w:tcW w:type="dxa" w:w="3744"/>
          </w:tcPr>
          <w:p>
            <w:pPr>
              <w:spacing w:line="240" w:lineRule="auto"/>
            </w:pPr>
            <w:r/>
            <w:r>
              <w:rPr>
                <w:rFonts w:ascii="Times New Roman" w:hAnsi="Times New Roman" w:eastAsia="Times New Roman"/>
                <w:b w:val="0"/>
                <w:i w:val="0"/>
                <w:sz w:val="21"/>
              </w:rPr>
              <w:t>Billing, CRM, call detail records, MoMo ledger</w:t>
            </w:r>
          </w:p>
        </w:tc>
        <w:tc>
          <w:tcPr>
            <w:tcW w:type="dxa" w:w="3744"/>
          </w:tcPr>
          <w:p>
            <w:pPr>
              <w:spacing w:line="240" w:lineRule="auto"/>
            </w:pPr>
            <w:r/>
            <w:r>
              <w:rPr>
                <w:rFonts w:ascii="Times New Roman" w:hAnsi="Times New Roman" w:eastAsia="Times New Roman"/>
                <w:b w:val="0"/>
                <w:i w:val="0"/>
                <w:sz w:val="21"/>
              </w:rPr>
              <w:t>Churn scoring, revenue assurance, ARPU tracking</w:t>
            </w:r>
          </w:p>
        </w:tc>
      </w:tr>
      <w:tr>
        <w:tc>
          <w:tcPr>
            <w:tcW w:type="dxa" w:w="2016"/>
          </w:tcPr>
          <w:p>
            <w:pPr>
              <w:spacing w:line="240" w:lineRule="auto"/>
            </w:pPr>
            <w:r/>
            <w:r>
              <w:rPr>
                <w:rFonts w:ascii="Times New Roman" w:hAnsi="Times New Roman" w:eastAsia="Times New Roman"/>
                <w:b w:val="0"/>
                <w:i w:val="0"/>
                <w:sz w:val="21"/>
              </w:rPr>
              <w:t>Semi-structured</w:t>
            </w:r>
          </w:p>
        </w:tc>
        <w:tc>
          <w:tcPr>
            <w:tcW w:type="dxa" w:w="3744"/>
          </w:tcPr>
          <w:p>
            <w:pPr>
              <w:spacing w:line="240" w:lineRule="auto"/>
            </w:pPr>
            <w:r/>
            <w:r>
              <w:rPr>
                <w:rFonts w:ascii="Times New Roman" w:hAnsi="Times New Roman" w:eastAsia="Times New Roman"/>
                <w:b w:val="0"/>
                <w:i w:val="0"/>
                <w:sz w:val="21"/>
              </w:rPr>
              <w:t>Network logs, device telemetry, app event data</w:t>
            </w:r>
          </w:p>
        </w:tc>
        <w:tc>
          <w:tcPr>
            <w:tcW w:type="dxa" w:w="3744"/>
          </w:tcPr>
          <w:p>
            <w:pPr>
              <w:spacing w:line="240" w:lineRule="auto"/>
            </w:pPr>
            <w:r/>
            <w:r>
              <w:rPr>
                <w:rFonts w:ascii="Times New Roman" w:hAnsi="Times New Roman" w:eastAsia="Times New Roman"/>
                <w:b w:val="0"/>
                <w:i w:val="0"/>
                <w:sz w:val="21"/>
              </w:rPr>
              <w:t>Fault prediction, quality-of-service monitoring</w:t>
            </w:r>
          </w:p>
        </w:tc>
      </w:tr>
      <w:tr>
        <w:tc>
          <w:tcPr>
            <w:tcW w:type="dxa" w:w="2016"/>
          </w:tcPr>
          <w:p>
            <w:pPr>
              <w:spacing w:line="240" w:lineRule="auto"/>
            </w:pPr>
            <w:r/>
            <w:r>
              <w:rPr>
                <w:rFonts w:ascii="Times New Roman" w:hAnsi="Times New Roman" w:eastAsia="Times New Roman"/>
                <w:b w:val="0"/>
                <w:i w:val="0"/>
                <w:sz w:val="21"/>
              </w:rPr>
              <w:t>Unstructured</w:t>
            </w:r>
          </w:p>
        </w:tc>
        <w:tc>
          <w:tcPr>
            <w:tcW w:type="dxa" w:w="3744"/>
          </w:tcPr>
          <w:p>
            <w:pPr>
              <w:spacing w:line="240" w:lineRule="auto"/>
            </w:pPr>
            <w:r/>
            <w:r>
              <w:rPr>
                <w:rFonts w:ascii="Times New Roman" w:hAnsi="Times New Roman" w:eastAsia="Times New Roman"/>
                <w:b w:val="0"/>
                <w:i w:val="0"/>
                <w:sz w:val="21"/>
              </w:rPr>
              <w:t>Call recordings, chat and complaint text, social media</w:t>
            </w:r>
          </w:p>
        </w:tc>
        <w:tc>
          <w:tcPr>
            <w:tcW w:type="dxa" w:w="3744"/>
          </w:tcPr>
          <w:p>
            <w:pPr>
              <w:spacing w:line="240" w:lineRule="auto"/>
            </w:pPr>
            <w:r/>
            <w:r>
              <w:rPr>
                <w:rFonts w:ascii="Times New Roman" w:hAnsi="Times New Roman" w:eastAsia="Times New Roman"/>
                <w:b w:val="0"/>
                <w:i w:val="0"/>
                <w:sz w:val="21"/>
              </w:rPr>
              <w:t>Sentiment analysis, root-cause of dissatisfaction</w:t>
            </w:r>
          </w:p>
        </w:tc>
      </w:tr>
    </w:tbl>
    <w:p>
      <w:pPr>
        <w:spacing w:after="80"/>
      </w:pPr>
    </w:p>
    <w:p>
      <w:pPr>
        <w:keepNext/>
        <w:spacing w:after="80" w:before="200" w:line="360" w:lineRule="auto"/>
        <w:jc w:val="left"/>
      </w:pPr>
      <w:r>
        <w:rPr>
          <w:rFonts w:ascii="Times New Roman" w:hAnsi="Times New Roman" w:eastAsia="Times New Roman"/>
          <w:b/>
          <w:i w:val="0"/>
          <w:sz w:val="24"/>
        </w:rPr>
        <w:t>Data quality</w:t>
      </w:r>
    </w:p>
    <w:p>
      <w:pPr>
        <w:spacing w:after="120" w:before="0" w:line="360" w:lineRule="auto"/>
        <w:jc w:val="both"/>
      </w:pPr>
      <w:r>
        <w:rPr>
          <w:rFonts w:ascii="Times New Roman" w:hAnsi="Times New Roman" w:eastAsia="Times New Roman"/>
          <w:b w:val="0"/>
          <w:i w:val="0"/>
          <w:sz w:val="24"/>
        </w:rPr>
        <w:t>Data quality is the foundation, and it is usually where these programmes quietly fail. Wang and Strong (1996) frame quality across accuracy, completeness, timeliness, and consistency, and all four bite at MTN's scale. Duplicate subscriber records, missing location fields, and delayed feeds will wreck a churn model before it starts. Poor quality is expensive in a way that rarely shows up on a single invoice (Redman, 2013). I would put automated validation and profiling at the point of ingestion, so bad data is caught early rather than discovered halfway through an analysis.</w:t>
      </w:r>
    </w:p>
    <w:p>
      <w:pPr>
        <w:keepNext/>
        <w:spacing w:after="80" w:before="200" w:line="360" w:lineRule="auto"/>
        <w:jc w:val="left"/>
      </w:pPr>
      <w:r>
        <w:rPr>
          <w:rFonts w:ascii="Times New Roman" w:hAnsi="Times New Roman" w:eastAsia="Times New Roman"/>
          <w:b/>
          <w:i w:val="0"/>
          <w:sz w:val="24"/>
        </w:rPr>
        <w:t>Data governance</w:t>
      </w:r>
    </w:p>
    <w:p>
      <w:pPr>
        <w:spacing w:after="120" w:before="0" w:line="360" w:lineRule="auto"/>
        <w:jc w:val="both"/>
      </w:pPr>
      <w:r>
        <w:rPr>
          <w:rFonts w:ascii="Times New Roman" w:hAnsi="Times New Roman" w:eastAsia="Times New Roman"/>
          <w:b w:val="0"/>
          <w:i w:val="0"/>
          <w:sz w:val="24"/>
        </w:rPr>
        <w:t>Governance answers a simple question that large firms find surprisingly hard: who is accountable for this data? A workable model assigns clear decision rights and data owners for each domain (Abraham et al., 2019; Khatri &amp; Brown, 2010). For MTN that means naming data stewards for the customer, network, and financial domains, backed by a cross-functional governance council. Without it, every market runs its own definitions and 'churn' means something different in Lagos than it does in Accra.</w:t>
      </w:r>
    </w:p>
    <w:p>
      <w:pPr>
        <w:keepNext/>
        <w:spacing w:after="80" w:before="200" w:line="360" w:lineRule="auto"/>
        <w:jc w:val="left"/>
      </w:pPr>
      <w:r>
        <w:rPr>
          <w:rFonts w:ascii="Times New Roman" w:hAnsi="Times New Roman" w:eastAsia="Times New Roman"/>
          <w:b/>
          <w:i w:val="0"/>
          <w:sz w:val="24"/>
        </w:rPr>
        <w:t>Metadata management</w:t>
      </w:r>
    </w:p>
    <w:p>
      <w:pPr>
        <w:spacing w:after="120" w:before="0" w:line="360" w:lineRule="auto"/>
        <w:jc w:val="both"/>
      </w:pPr>
      <w:r>
        <w:rPr>
          <w:rFonts w:ascii="Times New Roman" w:hAnsi="Times New Roman" w:eastAsia="Times New Roman"/>
          <w:b w:val="0"/>
          <w:i w:val="0"/>
          <w:sz w:val="24"/>
        </w:rPr>
        <w:t>Metadata is the data about the data, the definitions, lineage, and business meaning that let an analyst trust a field they didn't create. A central data catalogue recording where each dataset originates and how a metric is calculated saves enormous time and prevents the contradictory numbers that erode trust in analytics. It sounds dull. It is also the difference between a report an executive believes and one they quietly ignore.</w:t>
      </w:r>
    </w:p>
    <w:p>
      <w:pPr>
        <w:keepNext/>
        <w:spacing w:after="80" w:before="200" w:line="360" w:lineRule="auto"/>
        <w:jc w:val="left"/>
      </w:pPr>
      <w:r>
        <w:rPr>
          <w:rFonts w:ascii="Times New Roman" w:hAnsi="Times New Roman" w:eastAsia="Times New Roman"/>
          <w:b/>
          <w:i w:val="0"/>
          <w:sz w:val="24"/>
        </w:rPr>
        <w:t>Data privacy and security</w:t>
      </w:r>
    </w:p>
    <w:p>
      <w:pPr>
        <w:spacing w:after="120" w:before="0" w:line="360" w:lineRule="auto"/>
        <w:jc w:val="both"/>
      </w:pPr>
      <w:r>
        <w:rPr>
          <w:rFonts w:ascii="Times New Roman" w:hAnsi="Times New Roman" w:eastAsia="Times New Roman"/>
          <w:b w:val="0"/>
          <w:i w:val="0"/>
          <w:sz w:val="24"/>
        </w:rPr>
        <w:t>Because MTN holds financial and location data on hundreds of millions of people, privacy and security are not optional extras. The strategy needs encryption in transit and at rest, role-based access, and compliance with regulations such as Nigeria's NDPR, South Africa's POPIA, and the GDPR where it applies. MoMo raises the stakes further, since a breach there is a financial-crime problem, not just a privacy one. Security has to be designed in from the start, not bolted on after the platform is built.</w:t>
      </w:r>
    </w:p>
    <w:p>
      <w:pPr>
        <w:keepNext/>
        <w:spacing w:after="120" w:before="320" w:line="360" w:lineRule="auto"/>
        <w:jc w:val="left"/>
      </w:pPr>
      <w:r>
        <w:rPr>
          <w:rFonts w:ascii="Times New Roman" w:hAnsi="Times New Roman" w:eastAsia="Times New Roman"/>
          <w:b/>
          <w:i w:val="0"/>
          <w:sz w:val="26"/>
        </w:rPr>
        <w:t>5. Enterprise Analytical Workflow</w:t>
      </w:r>
    </w:p>
    <w:p>
      <w:pPr>
        <w:spacing w:after="120" w:before="0" w:line="360" w:lineRule="auto"/>
        <w:jc w:val="both"/>
      </w:pPr>
      <w:r>
        <w:rPr>
          <w:rFonts w:ascii="Times New Roman" w:hAnsi="Times New Roman" w:eastAsia="Times New Roman"/>
          <w:b w:val="0"/>
          <w:i w:val="0"/>
          <w:sz w:val="24"/>
        </w:rPr>
        <w:t>A data platform only earns its keep if there is a repeatable process turning business questions into decisions (Provost &amp; Fawcett, 2013). Figure 2 sets out a nine-stage workflow for MTN. It runs from framing the problem through to organizational learning, and the last stage loops back to the first, which is the part most process diagrams forget.</w:t>
      </w:r>
    </w:p>
    <w:p>
      <w:pPr>
        <w:spacing w:before="160" w:after="40"/>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fig2_workflow.png"/>
                    <pic:cNvPicPr/>
                  </pic:nvPicPr>
                  <pic:blipFill>
                    <a:blip r:embed="rId10"/>
                    <a:stretch>
                      <a:fillRect/>
                    </a:stretch>
                  </pic:blipFill>
                  <pic:spPr>
                    <a:xfrm>
                      <a:off x="0" y="0"/>
                      <a:ext cx="5486400" cy="4023360"/>
                    </a:xfrm>
                    <a:prstGeom prst="rect"/>
                  </pic:spPr>
                </pic:pic>
              </a:graphicData>
            </a:graphic>
          </wp:inline>
        </w:drawing>
      </w:r>
    </w:p>
    <w:p>
      <w:pPr>
        <w:spacing w:after="200" w:line="240" w:lineRule="auto"/>
        <w:jc w:val="left"/>
      </w:pPr>
      <w:r>
        <w:rPr>
          <w:rFonts w:ascii="Times New Roman" w:hAnsi="Times New Roman" w:eastAsia="Times New Roman"/>
          <w:b/>
          <w:i w:val="0"/>
          <w:sz w:val="21"/>
        </w:rPr>
        <w:t xml:space="preserve">Figure 2. </w:t>
      </w:r>
      <w:r>
        <w:rPr>
          <w:rFonts w:ascii="Times New Roman" w:hAnsi="Times New Roman" w:eastAsia="Times New Roman"/>
          <w:b w:val="0"/>
          <w:i/>
          <w:sz w:val="21"/>
        </w:rPr>
        <w:t>The nine-stage enterprise analytical workflow proposed for MTN. The dashed feedback loop shows how lessons from implementation and organizational learning reshape how the next business problem is framed.</w:t>
      </w:r>
    </w:p>
    <w:p>
      <w:pPr>
        <w:spacing w:after="120" w:before="0" w:line="360" w:lineRule="auto"/>
        <w:jc w:val="both"/>
      </w:pPr>
      <w:r>
        <w:rPr>
          <w:rFonts w:ascii="Times New Roman" w:hAnsi="Times New Roman" w:eastAsia="Times New Roman"/>
          <w:b w:val="0"/>
          <w:i w:val="0"/>
          <w:sz w:val="24"/>
        </w:rPr>
        <w:t>The cycle opens with business problem identification, say, prepaid churn in a specific region, followed by requirements analysis to pin down what a good answer would need. Data collection and data preparation come next, and in practice these two swallow most of the effort; the analysis is quick once the data is clean. Data analysis then produces the models and findings, which data visualization translates into something an executive can read in a glance.</w:t>
      </w:r>
    </w:p>
    <w:p>
      <w:pPr>
        <w:spacing w:after="120" w:before="0" w:line="360" w:lineRule="auto"/>
        <w:jc w:val="both"/>
      </w:pPr>
      <w:r>
        <w:rPr>
          <w:rFonts w:ascii="Times New Roman" w:hAnsi="Times New Roman" w:eastAsia="Times New Roman"/>
          <w:b w:val="0"/>
          <w:i w:val="0"/>
          <w:sz w:val="24"/>
        </w:rPr>
        <w:t>Decision support is where the insight meets a real choice, a retention offer, a network investment, and implementation puts that choice into the market. That hand-off from analysis to action is exactly what decision-support systems are built to formalise (Sharda et al., 2020). The final stage, organizational learning, captures what worked and what didn't, then feeds it back so the next cycle starts smarter. Skip that loop and the organization keeps solving the same problem forever.</w:t>
      </w:r>
    </w:p>
    <w:p>
      <w:pPr>
        <w:keepNext/>
        <w:spacing w:after="120" w:before="320" w:line="360" w:lineRule="auto"/>
        <w:jc w:val="left"/>
      </w:pPr>
      <w:r>
        <w:rPr>
          <w:rFonts w:ascii="Times New Roman" w:hAnsi="Times New Roman" w:eastAsia="Times New Roman"/>
          <w:b/>
          <w:i w:val="0"/>
          <w:sz w:val="26"/>
        </w:rPr>
        <w:t>6. Data Visualization Strategy</w:t>
      </w:r>
    </w:p>
    <w:p>
      <w:pPr>
        <w:spacing w:after="120" w:before="0" w:line="360" w:lineRule="auto"/>
        <w:jc w:val="both"/>
      </w:pPr>
      <w:r>
        <w:rPr>
          <w:rFonts w:ascii="Times New Roman" w:hAnsi="Times New Roman" w:eastAsia="Times New Roman"/>
          <w:b w:val="0"/>
          <w:i w:val="0"/>
          <w:sz w:val="24"/>
        </w:rPr>
        <w:t>Executives do not have time to read tables. A visualization strategy for MTN has to turn analysis into a small number of clear, honest pictures that support a decision in seconds. The strategy rests on the right KPIs, sound dashboard design, sensible chart choices, and a bit of storytelling discipline.</w:t>
      </w:r>
    </w:p>
    <w:p>
      <w:pPr>
        <w:keepNext/>
        <w:spacing w:after="80" w:before="200" w:line="360" w:lineRule="auto"/>
        <w:jc w:val="left"/>
      </w:pPr>
      <w:r>
        <w:rPr>
          <w:rFonts w:ascii="Times New Roman" w:hAnsi="Times New Roman" w:eastAsia="Times New Roman"/>
          <w:b/>
          <w:i w:val="0"/>
          <w:sz w:val="24"/>
        </w:rPr>
        <w:t>Key performance indicators</w:t>
      </w:r>
    </w:p>
    <w:p>
      <w:pPr>
        <w:spacing w:after="120" w:before="0" w:line="360" w:lineRule="auto"/>
        <w:jc w:val="both"/>
      </w:pPr>
      <w:r>
        <w:rPr>
          <w:rFonts w:ascii="Times New Roman" w:hAnsi="Times New Roman" w:eastAsia="Times New Roman"/>
          <w:b w:val="0"/>
          <w:i w:val="0"/>
          <w:sz w:val="24"/>
        </w:rPr>
        <w:t>Less is more here. I would anchor the executive view on a handful of KPIs tied directly to the business problem: churn rate, blended ARPU, network uptime, net promoter score, and revenue mix across voice, data, and MoMo. A dashboard that tries to show everything ends up showing nothing. Table 2 lists the core set and why each one earns its place.</w:t>
      </w:r>
    </w:p>
    <w:p>
      <w:pPr>
        <w:spacing w:before="160" w:after="40" w:line="240" w:lineRule="auto"/>
        <w:jc w:val="left"/>
      </w:pPr>
      <w:r>
        <w:rPr>
          <w:rFonts w:ascii="Times New Roman" w:hAnsi="Times New Roman" w:eastAsia="Times New Roman"/>
          <w:b/>
          <w:i w:val="0"/>
          <w:sz w:val="21"/>
        </w:rPr>
        <w:t xml:space="preserve">Table 2. </w:t>
      </w:r>
      <w:r>
        <w:rPr>
          <w:rFonts w:ascii="Times New Roman" w:hAnsi="Times New Roman" w:eastAsia="Times New Roman"/>
          <w:b w:val="0"/>
          <w:i/>
          <w:sz w:val="21"/>
        </w:rPr>
        <w:t>Core executive KPIs for the MTN dashboard.</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EBEBEB"/>
          </w:tcPr>
          <w:p>
            <w:pPr>
              <w:spacing w:line="240" w:lineRule="auto"/>
            </w:pPr>
            <w:r/>
            <w:r>
              <w:rPr>
                <w:rFonts w:ascii="Times New Roman" w:hAnsi="Times New Roman" w:eastAsia="Times New Roman"/>
                <w:b/>
                <w:i w:val="0"/>
                <w:sz w:val="21"/>
              </w:rPr>
              <w:t>KPI</w:t>
            </w:r>
          </w:p>
        </w:tc>
        <w:tc>
          <w:tcPr>
            <w:tcW w:type="dxa" w:w="3456"/>
            <w:shd w:val="clear" w:fill="EBEBEB"/>
          </w:tcPr>
          <w:p>
            <w:pPr>
              <w:spacing w:line="240" w:lineRule="auto"/>
            </w:pPr>
            <w:r/>
            <w:r>
              <w:rPr>
                <w:rFonts w:ascii="Times New Roman" w:hAnsi="Times New Roman" w:eastAsia="Times New Roman"/>
                <w:b/>
                <w:i w:val="0"/>
                <w:sz w:val="21"/>
              </w:rPr>
              <w:t>What it tracks</w:t>
            </w:r>
          </w:p>
        </w:tc>
        <w:tc>
          <w:tcPr>
            <w:tcW w:type="dxa" w:w="3888"/>
            <w:shd w:val="clear" w:fill="EBEBEB"/>
          </w:tcPr>
          <w:p>
            <w:pPr>
              <w:spacing w:line="240" w:lineRule="auto"/>
            </w:pPr>
            <w:r/>
            <w:r>
              <w:rPr>
                <w:rFonts w:ascii="Times New Roman" w:hAnsi="Times New Roman" w:eastAsia="Times New Roman"/>
                <w:b/>
                <w:i w:val="0"/>
                <w:sz w:val="21"/>
              </w:rPr>
              <w:t>Why it matters to executives</w:t>
            </w:r>
          </w:p>
        </w:tc>
      </w:tr>
      <w:tr>
        <w:tc>
          <w:tcPr>
            <w:tcW w:type="dxa" w:w="2160"/>
          </w:tcPr>
          <w:p>
            <w:pPr>
              <w:spacing w:line="240" w:lineRule="auto"/>
            </w:pPr>
            <w:r/>
            <w:r>
              <w:rPr>
                <w:rFonts w:ascii="Times New Roman" w:hAnsi="Times New Roman" w:eastAsia="Times New Roman"/>
                <w:b w:val="0"/>
                <w:i w:val="0"/>
                <w:sz w:val="21"/>
              </w:rPr>
              <w:t>Churn rate</w:t>
            </w:r>
          </w:p>
        </w:tc>
        <w:tc>
          <w:tcPr>
            <w:tcW w:type="dxa" w:w="3456"/>
          </w:tcPr>
          <w:p>
            <w:pPr>
              <w:spacing w:line="240" w:lineRule="auto"/>
            </w:pPr>
            <w:r/>
            <w:r>
              <w:rPr>
                <w:rFonts w:ascii="Times New Roman" w:hAnsi="Times New Roman" w:eastAsia="Times New Roman"/>
                <w:b w:val="0"/>
                <w:i w:val="0"/>
                <w:sz w:val="21"/>
              </w:rPr>
              <w:t>Subscribers lost per period</w:t>
            </w:r>
          </w:p>
        </w:tc>
        <w:tc>
          <w:tcPr>
            <w:tcW w:type="dxa" w:w="3888"/>
          </w:tcPr>
          <w:p>
            <w:pPr>
              <w:spacing w:line="240" w:lineRule="auto"/>
            </w:pPr>
            <w:r/>
            <w:r>
              <w:rPr>
                <w:rFonts w:ascii="Times New Roman" w:hAnsi="Times New Roman" w:eastAsia="Times New Roman"/>
                <w:b w:val="0"/>
                <w:i w:val="0"/>
                <w:sz w:val="21"/>
              </w:rPr>
              <w:t>Direct measure of the core problem</w:t>
            </w:r>
          </w:p>
        </w:tc>
      </w:tr>
      <w:tr>
        <w:tc>
          <w:tcPr>
            <w:tcW w:type="dxa" w:w="2160"/>
          </w:tcPr>
          <w:p>
            <w:pPr>
              <w:spacing w:line="240" w:lineRule="auto"/>
            </w:pPr>
            <w:r/>
            <w:r>
              <w:rPr>
                <w:rFonts w:ascii="Times New Roman" w:hAnsi="Times New Roman" w:eastAsia="Times New Roman"/>
                <w:b w:val="0"/>
                <w:i w:val="0"/>
                <w:sz w:val="21"/>
              </w:rPr>
              <w:t>Blended ARPU</w:t>
            </w:r>
          </w:p>
        </w:tc>
        <w:tc>
          <w:tcPr>
            <w:tcW w:type="dxa" w:w="3456"/>
          </w:tcPr>
          <w:p>
            <w:pPr>
              <w:spacing w:line="240" w:lineRule="auto"/>
            </w:pPr>
            <w:r/>
            <w:r>
              <w:rPr>
                <w:rFonts w:ascii="Times New Roman" w:hAnsi="Times New Roman" w:eastAsia="Times New Roman"/>
                <w:b w:val="0"/>
                <w:i w:val="0"/>
                <w:sz w:val="21"/>
              </w:rPr>
              <w:t>Average revenue per user</w:t>
            </w:r>
          </w:p>
        </w:tc>
        <w:tc>
          <w:tcPr>
            <w:tcW w:type="dxa" w:w="3888"/>
          </w:tcPr>
          <w:p>
            <w:pPr>
              <w:spacing w:line="240" w:lineRule="auto"/>
            </w:pPr>
            <w:r/>
            <w:r>
              <w:rPr>
                <w:rFonts w:ascii="Times New Roman" w:hAnsi="Times New Roman" w:eastAsia="Times New Roman"/>
                <w:b w:val="0"/>
                <w:i w:val="0"/>
                <w:sz w:val="21"/>
              </w:rPr>
              <w:t>Signals pricing and up-sell health</w:t>
            </w:r>
          </w:p>
        </w:tc>
      </w:tr>
      <w:tr>
        <w:tc>
          <w:tcPr>
            <w:tcW w:type="dxa" w:w="2160"/>
          </w:tcPr>
          <w:p>
            <w:pPr>
              <w:spacing w:line="240" w:lineRule="auto"/>
            </w:pPr>
            <w:r/>
            <w:r>
              <w:rPr>
                <w:rFonts w:ascii="Times New Roman" w:hAnsi="Times New Roman" w:eastAsia="Times New Roman"/>
                <w:b w:val="0"/>
                <w:i w:val="0"/>
                <w:sz w:val="21"/>
              </w:rPr>
              <w:t>Network uptime</w:t>
            </w:r>
          </w:p>
        </w:tc>
        <w:tc>
          <w:tcPr>
            <w:tcW w:type="dxa" w:w="3456"/>
          </w:tcPr>
          <w:p>
            <w:pPr>
              <w:spacing w:line="240" w:lineRule="auto"/>
            </w:pPr>
            <w:r/>
            <w:r>
              <w:rPr>
                <w:rFonts w:ascii="Times New Roman" w:hAnsi="Times New Roman" w:eastAsia="Times New Roman"/>
                <w:b w:val="0"/>
                <w:i w:val="0"/>
                <w:sz w:val="21"/>
              </w:rPr>
              <w:t>Availability of the network</w:t>
            </w:r>
          </w:p>
        </w:tc>
        <w:tc>
          <w:tcPr>
            <w:tcW w:type="dxa" w:w="3888"/>
          </w:tcPr>
          <w:p>
            <w:pPr>
              <w:spacing w:line="240" w:lineRule="auto"/>
            </w:pPr>
            <w:r/>
            <w:r>
              <w:rPr>
                <w:rFonts w:ascii="Times New Roman" w:hAnsi="Times New Roman" w:eastAsia="Times New Roman"/>
                <w:b w:val="0"/>
                <w:i w:val="0"/>
                <w:sz w:val="21"/>
              </w:rPr>
              <w:t>Leading indicator of complaints and churn</w:t>
            </w:r>
          </w:p>
        </w:tc>
      </w:tr>
      <w:tr>
        <w:tc>
          <w:tcPr>
            <w:tcW w:type="dxa" w:w="2160"/>
          </w:tcPr>
          <w:p>
            <w:pPr>
              <w:spacing w:line="240" w:lineRule="auto"/>
            </w:pPr>
            <w:r/>
            <w:r>
              <w:rPr>
                <w:rFonts w:ascii="Times New Roman" w:hAnsi="Times New Roman" w:eastAsia="Times New Roman"/>
                <w:b w:val="0"/>
                <w:i w:val="0"/>
                <w:sz w:val="21"/>
              </w:rPr>
              <w:t>Group NPS</w:t>
            </w:r>
          </w:p>
        </w:tc>
        <w:tc>
          <w:tcPr>
            <w:tcW w:type="dxa" w:w="3456"/>
          </w:tcPr>
          <w:p>
            <w:pPr>
              <w:spacing w:line="240" w:lineRule="auto"/>
            </w:pPr>
            <w:r/>
            <w:r>
              <w:rPr>
                <w:rFonts w:ascii="Times New Roman" w:hAnsi="Times New Roman" w:eastAsia="Times New Roman"/>
                <w:b w:val="0"/>
                <w:i w:val="0"/>
                <w:sz w:val="21"/>
              </w:rPr>
              <w:t>Customer willingness to recommend</w:t>
            </w:r>
          </w:p>
        </w:tc>
        <w:tc>
          <w:tcPr>
            <w:tcW w:type="dxa" w:w="3888"/>
          </w:tcPr>
          <w:p>
            <w:pPr>
              <w:spacing w:line="240" w:lineRule="auto"/>
            </w:pPr>
            <w:r/>
            <w:r>
              <w:rPr>
                <w:rFonts w:ascii="Times New Roman" w:hAnsi="Times New Roman" w:eastAsia="Times New Roman"/>
                <w:b w:val="0"/>
                <w:i w:val="0"/>
                <w:sz w:val="21"/>
              </w:rPr>
              <w:t>Early warning on loyalty</w:t>
            </w:r>
          </w:p>
        </w:tc>
      </w:tr>
      <w:tr>
        <w:tc>
          <w:tcPr>
            <w:tcW w:type="dxa" w:w="2160"/>
          </w:tcPr>
          <w:p>
            <w:pPr>
              <w:spacing w:line="240" w:lineRule="auto"/>
            </w:pPr>
            <w:r/>
            <w:r>
              <w:rPr>
                <w:rFonts w:ascii="Times New Roman" w:hAnsi="Times New Roman" w:eastAsia="Times New Roman"/>
                <w:b w:val="0"/>
                <w:i w:val="0"/>
                <w:sz w:val="21"/>
              </w:rPr>
              <w:t>Revenue mix</w:t>
            </w:r>
          </w:p>
        </w:tc>
        <w:tc>
          <w:tcPr>
            <w:tcW w:type="dxa" w:w="3456"/>
          </w:tcPr>
          <w:p>
            <w:pPr>
              <w:spacing w:line="240" w:lineRule="auto"/>
            </w:pPr>
            <w:r/>
            <w:r>
              <w:rPr>
                <w:rFonts w:ascii="Times New Roman" w:hAnsi="Times New Roman" w:eastAsia="Times New Roman"/>
                <w:b w:val="0"/>
                <w:i w:val="0"/>
                <w:sz w:val="21"/>
              </w:rPr>
              <w:t>Share from voice, data, MoMo</w:t>
            </w:r>
          </w:p>
        </w:tc>
        <w:tc>
          <w:tcPr>
            <w:tcW w:type="dxa" w:w="3888"/>
          </w:tcPr>
          <w:p>
            <w:pPr>
              <w:spacing w:line="240" w:lineRule="auto"/>
            </w:pPr>
            <w:r/>
            <w:r>
              <w:rPr>
                <w:rFonts w:ascii="Times New Roman" w:hAnsi="Times New Roman" w:eastAsia="Times New Roman"/>
                <w:b w:val="0"/>
                <w:i w:val="0"/>
                <w:sz w:val="21"/>
              </w:rPr>
              <w:t>Shows the shift to digital revenue</w:t>
            </w:r>
          </w:p>
        </w:tc>
      </w:tr>
    </w:tbl>
    <w:p>
      <w:pPr>
        <w:spacing w:after="80"/>
      </w:pPr>
    </w:p>
    <w:p>
      <w:pPr>
        <w:keepNext/>
        <w:spacing w:after="80" w:before="200" w:line="360" w:lineRule="auto"/>
        <w:jc w:val="left"/>
      </w:pPr>
      <w:r>
        <w:rPr>
          <w:rFonts w:ascii="Times New Roman" w:hAnsi="Times New Roman" w:eastAsia="Times New Roman"/>
          <w:b/>
          <w:i w:val="0"/>
          <w:sz w:val="24"/>
        </w:rPr>
        <w:t>Dashboard design and chart selection</w:t>
      </w:r>
    </w:p>
    <w:p>
      <w:pPr>
        <w:spacing w:after="120" w:before="0" w:line="360" w:lineRule="auto"/>
        <w:jc w:val="both"/>
      </w:pPr>
      <w:r>
        <w:rPr>
          <w:rFonts w:ascii="Times New Roman" w:hAnsi="Times New Roman" w:eastAsia="Times New Roman"/>
          <w:b w:val="0"/>
          <w:i w:val="0"/>
          <w:sz w:val="24"/>
        </w:rPr>
        <w:t>Good dashboard design comes down to clarity and restraint (Few, 2006). The most important number goes top-left where the eye lands first, colour is used to signal meaning rather than decoration, and clutter is stripped out. Chart choice should follow the data: trends over time as line charts, comparisons across markets as bar charts, and composition as stacked bars. Figure 3 shows a mock-up of how this comes together.</w:t>
      </w:r>
    </w:p>
    <w:p>
      <w:pPr>
        <w:spacing w:before="160" w:after="40"/>
        <w:jc w:val="center"/>
      </w:pPr>
      <w:r>
        <w:drawing>
          <wp:inline xmlns:a="http://schemas.openxmlformats.org/drawingml/2006/main" xmlns:pic="http://schemas.openxmlformats.org/drawingml/2006/picture">
            <wp:extent cx="5577840" cy="3608976"/>
            <wp:docPr id="3" name="Picture 3"/>
            <wp:cNvGraphicFramePr>
              <a:graphicFrameLocks noChangeAspect="1"/>
            </wp:cNvGraphicFramePr>
            <a:graphic>
              <a:graphicData uri="http://schemas.openxmlformats.org/drawingml/2006/picture">
                <pic:pic>
                  <pic:nvPicPr>
                    <pic:cNvPr id="0" name="fig3_dashboard.png"/>
                    <pic:cNvPicPr/>
                  </pic:nvPicPr>
                  <pic:blipFill>
                    <a:blip r:embed="rId11"/>
                    <a:stretch>
                      <a:fillRect/>
                    </a:stretch>
                  </pic:blipFill>
                  <pic:spPr>
                    <a:xfrm>
                      <a:off x="0" y="0"/>
                      <a:ext cx="5577840" cy="3608976"/>
                    </a:xfrm>
                    <a:prstGeom prst="rect"/>
                  </pic:spPr>
                </pic:pic>
              </a:graphicData>
            </a:graphic>
          </wp:inline>
        </w:drawing>
      </w:r>
    </w:p>
    <w:p>
      <w:pPr>
        <w:spacing w:after="200" w:line="240" w:lineRule="auto"/>
        <w:jc w:val="left"/>
      </w:pPr>
      <w:r>
        <w:rPr>
          <w:rFonts w:ascii="Times New Roman" w:hAnsi="Times New Roman" w:eastAsia="Times New Roman"/>
          <w:b/>
          <w:i w:val="0"/>
          <w:sz w:val="21"/>
        </w:rPr>
        <w:t xml:space="preserve">Figure 3. </w:t>
      </w:r>
      <w:r>
        <w:rPr>
          <w:rFonts w:ascii="Times New Roman" w:hAnsi="Times New Roman" w:eastAsia="Times New Roman"/>
          <w:b w:val="0"/>
          <w:i/>
          <w:sz w:val="21"/>
        </w:rPr>
        <w:t>Mock-up of a proposed MTN executive analytics dashboard. KPI tiles sit across the top for an instant read, with churn trend, ARPU by market, revenue mix, and a network-fault heat map below for context.</w:t>
      </w:r>
    </w:p>
    <w:p>
      <w:pPr>
        <w:keepNext/>
        <w:spacing w:after="80" w:before="200" w:line="360" w:lineRule="auto"/>
        <w:jc w:val="left"/>
      </w:pPr>
      <w:r>
        <w:rPr>
          <w:rFonts w:ascii="Times New Roman" w:hAnsi="Times New Roman" w:eastAsia="Times New Roman"/>
          <w:b/>
          <w:i w:val="0"/>
          <w:sz w:val="24"/>
        </w:rPr>
        <w:t>Data storytelling</w:t>
      </w:r>
    </w:p>
    <w:p>
      <w:pPr>
        <w:spacing w:after="120" w:before="0" w:line="360" w:lineRule="auto"/>
        <w:jc w:val="both"/>
      </w:pPr>
      <w:r>
        <w:rPr>
          <w:rFonts w:ascii="Times New Roman" w:hAnsi="Times New Roman" w:eastAsia="Times New Roman"/>
          <w:b w:val="0"/>
          <w:i w:val="0"/>
          <w:sz w:val="24"/>
        </w:rPr>
        <w:t>Numbers rarely persuade on their own. Data storytelling wraps the chart in a short narrative, context, the finding, and the 'so what', so the audience leaves with a decision rather than a data dump (Knaflic, 2015). For MTN that might mean pairing the churn chart with a one-line explanation of which segment is driving it and what to do about it. Presented this way, the same dashboard that informs the board can also settle an argument in a management meeting.</w:t>
      </w:r>
    </w:p>
    <w:p>
      <w:pPr>
        <w:keepNext/>
        <w:spacing w:after="120" w:before="320" w:line="360" w:lineRule="auto"/>
        <w:jc w:val="left"/>
      </w:pPr>
      <w:r>
        <w:rPr>
          <w:rFonts w:ascii="Times New Roman" w:hAnsi="Times New Roman" w:eastAsia="Times New Roman"/>
          <w:b/>
          <w:i w:val="0"/>
          <w:sz w:val="26"/>
        </w:rPr>
        <w:t>7. AI-Augmented Analytics Strategy</w:t>
      </w:r>
    </w:p>
    <w:p>
      <w:pPr>
        <w:spacing w:after="120" w:before="0" w:line="360" w:lineRule="auto"/>
        <w:jc w:val="both"/>
      </w:pPr>
      <w:r>
        <w:rPr>
          <w:rFonts w:ascii="Times New Roman" w:hAnsi="Times New Roman" w:eastAsia="Times New Roman"/>
          <w:b w:val="0"/>
          <w:i w:val="0"/>
          <w:sz w:val="24"/>
        </w:rPr>
        <w:t>Generative AI changes what an analytics function can do, though not evenly and not without risk. Used well, it takes over the slow, repetitive parts of analysis and lets scarce analysts spend their time on judgement (Davenport, 2018; Brynjolfsson et al., 2023). I want to be careful not to oversell it, so the assessment below is deliberately mixed.</w:t>
      </w:r>
    </w:p>
    <w:p>
      <w:pPr>
        <w:spacing w:after="120" w:before="0" w:line="360" w:lineRule="auto"/>
        <w:jc w:val="both"/>
      </w:pPr>
      <w:r>
        <w:rPr>
          <w:rFonts w:ascii="Times New Roman" w:hAnsi="Times New Roman" w:eastAsia="Times New Roman"/>
          <w:b w:val="0"/>
          <w:i w:val="0"/>
          <w:sz w:val="24"/>
        </w:rPr>
        <w:t>For AI-assisted data analysis, a large language model can write and explain queries, letting a manager ask a question in plain English instead of waiting on a SQL specialist. Automated reporting is the most immediate win: monthly performance summaries that once took an analyst days can be drafted in minutes, with the human editing rather than writing from scratch. Insight generation is more mixed. AI is good at surfacing candidate patterns and genuinely bad at knowing which ones matter, so it needs a human in the loop.</w:t>
      </w:r>
    </w:p>
    <w:p>
      <w:pPr>
        <w:spacing w:after="120" w:before="0" w:line="360" w:lineRule="auto"/>
        <w:jc w:val="both"/>
      </w:pPr>
      <w:r>
        <w:rPr>
          <w:rFonts w:ascii="Times New Roman" w:hAnsi="Times New Roman" w:eastAsia="Times New Roman"/>
          <w:b w:val="0"/>
          <w:i w:val="0"/>
          <w:sz w:val="24"/>
        </w:rPr>
        <w:t>Conversational analytics is where the value is clearest for MTN. A well-built assistant over the data platform would let an executive type 'why did churn rise in the North last month' and get a grounded, chart-backed answer. Decision support then follows: the same system can lay out options and their likely trade-offs. My honest view is that the automated-reporting and conversational use cases are ready now, while fully automated insight generation is not, and pretending otherwise sets a programme up to fail.</w:t>
      </w:r>
    </w:p>
    <w:p>
      <w:pPr>
        <w:keepNext/>
        <w:spacing w:after="120" w:before="320" w:line="360" w:lineRule="auto"/>
        <w:jc w:val="left"/>
      </w:pPr>
      <w:r>
        <w:rPr>
          <w:rFonts w:ascii="Times New Roman" w:hAnsi="Times New Roman" w:eastAsia="Times New Roman"/>
          <w:b/>
          <w:i w:val="0"/>
          <w:sz w:val="26"/>
        </w:rPr>
        <w:t>8. Prompt Engineering</w:t>
      </w:r>
    </w:p>
    <w:p>
      <w:pPr>
        <w:spacing w:after="120" w:before="0" w:line="360" w:lineRule="auto"/>
        <w:jc w:val="both"/>
      </w:pPr>
      <w:r>
        <w:rPr>
          <w:rFonts w:ascii="Times New Roman" w:hAnsi="Times New Roman" w:eastAsia="Times New Roman"/>
          <w:b w:val="0"/>
          <w:i w:val="0"/>
          <w:sz w:val="24"/>
        </w:rPr>
        <w:t>The value of Generative AI depends heavily on how it is asked (Liu et al., 2023). To keep the four prompts below consistent and reliable, each one is built from the same five elements: Role, which tells the model who to be; Task, the specific thing to do; Context, the data or situation to work from; Constraints, the boundaries that keep the answer focused; and Output Format, the shape the response should take. Each prompt targets a different MTN objective, and is followed by a note on why it works and the output to expect.</w:t>
      </w:r>
    </w:p>
    <w:p>
      <w:pPr>
        <w:keepNext/>
        <w:spacing w:after="80" w:before="200" w:line="360" w:lineRule="auto"/>
        <w:jc w:val="left"/>
      </w:pPr>
      <w:r>
        <w:rPr>
          <w:rFonts w:ascii="Times New Roman" w:hAnsi="Times New Roman" w:eastAsia="Times New Roman"/>
          <w:b/>
          <w:i w:val="0"/>
          <w:sz w:val="24"/>
        </w:rPr>
        <w:t>Prompt 1, data exploration</w:t>
      </w:r>
    </w:p>
    <w:p>
      <w:pPr>
        <w:spacing w:after="40" w:line="360" w:lineRule="auto"/>
        <w:ind w:left="720" w:hanging="432"/>
        <w:jc w:val="both"/>
      </w:pPr>
      <w:r>
        <w:rPr>
          <w:rFonts w:ascii="Times New Roman" w:hAnsi="Times New Roman" w:eastAsia="Times New Roman"/>
          <w:b/>
          <w:i w:val="0"/>
          <w:sz w:val="24"/>
        </w:rPr>
        <w:t xml:space="preserve">Role: </w:t>
      </w:r>
      <w:r>
        <w:rPr>
          <w:rFonts w:ascii="Times New Roman" w:hAnsi="Times New Roman" w:eastAsia="Times New Roman"/>
          <w:b w:val="0"/>
          <w:i w:val="0"/>
          <w:sz w:val="24"/>
        </w:rPr>
        <w:t>A data analyst at MTN.</w:t>
      </w:r>
    </w:p>
    <w:p>
      <w:pPr>
        <w:spacing w:after="40" w:line="360" w:lineRule="auto"/>
        <w:ind w:left="720" w:hanging="432"/>
        <w:jc w:val="both"/>
      </w:pPr>
      <w:r>
        <w:rPr>
          <w:rFonts w:ascii="Times New Roman" w:hAnsi="Times New Roman" w:eastAsia="Times New Roman"/>
          <w:b/>
          <w:i w:val="0"/>
          <w:sz w:val="24"/>
        </w:rPr>
        <w:t xml:space="preserve">Task: </w:t>
      </w:r>
      <w:r>
        <w:rPr>
          <w:rFonts w:ascii="Times New Roman" w:hAnsi="Times New Roman" w:eastAsia="Times New Roman"/>
          <w:b w:val="0"/>
          <w:i w:val="0"/>
          <w:sz w:val="24"/>
        </w:rPr>
        <w:t>Identify which variables most strongly predict prepaid customer churn.</w:t>
      </w:r>
    </w:p>
    <w:p>
      <w:pPr>
        <w:spacing w:after="40" w:line="360" w:lineRule="auto"/>
        <w:ind w:left="720" w:hanging="432"/>
        <w:jc w:val="both"/>
      </w:pPr>
      <w:r>
        <w:rPr>
          <w:rFonts w:ascii="Times New Roman" w:hAnsi="Times New Roman" w:eastAsia="Times New Roman"/>
          <w:b/>
          <w:i w:val="0"/>
          <w:sz w:val="24"/>
        </w:rPr>
        <w:t xml:space="preserve">Context: </w:t>
      </w:r>
      <w:r>
        <w:rPr>
          <w:rFonts w:ascii="Times New Roman" w:hAnsi="Times New Roman" w:eastAsia="Times New Roman"/>
          <w:b w:val="0"/>
          <w:i w:val="0"/>
          <w:sz w:val="24"/>
        </w:rPr>
        <w:t>A subscriber table holding tenure, monthly recharge, data usage, and complaint counts.</w:t>
      </w:r>
    </w:p>
    <w:p>
      <w:pPr>
        <w:spacing w:after="40" w:line="360" w:lineRule="auto"/>
        <w:ind w:left="720" w:hanging="432"/>
        <w:jc w:val="both"/>
      </w:pPr>
      <w:r>
        <w:rPr>
          <w:rFonts w:ascii="Times New Roman" w:hAnsi="Times New Roman" w:eastAsia="Times New Roman"/>
          <w:b/>
          <w:i w:val="0"/>
          <w:sz w:val="24"/>
        </w:rPr>
        <w:t xml:space="preserve">Constraints: </w:t>
      </w:r>
      <w:r>
        <w:rPr>
          <w:rFonts w:ascii="Times New Roman" w:hAnsi="Times New Roman" w:eastAsia="Times New Roman"/>
          <w:b w:val="0"/>
          <w:i w:val="0"/>
          <w:sz w:val="24"/>
        </w:rPr>
        <w:t>Return only the five strongest drivers, and explain each in plain business language rather than statistical jargon.</w:t>
      </w:r>
    </w:p>
    <w:p>
      <w:pPr>
        <w:spacing w:after="40" w:line="360" w:lineRule="auto"/>
        <w:ind w:left="720" w:hanging="432"/>
        <w:jc w:val="both"/>
      </w:pPr>
      <w:r>
        <w:rPr>
          <w:rFonts w:ascii="Times New Roman" w:hAnsi="Times New Roman" w:eastAsia="Times New Roman"/>
          <w:b/>
          <w:i w:val="0"/>
          <w:sz w:val="24"/>
        </w:rPr>
        <w:t xml:space="preserve">Output Format: </w:t>
      </w:r>
      <w:r>
        <w:rPr>
          <w:rFonts w:ascii="Times New Roman" w:hAnsi="Times New Roman" w:eastAsia="Times New Roman"/>
          <w:b w:val="0"/>
          <w:i w:val="0"/>
          <w:sz w:val="24"/>
        </w:rPr>
        <w:t>A ranked list of five variables, each with a one-sentence business rationale.</w:t>
      </w:r>
    </w:p>
    <w:p>
      <w:pPr>
        <w:spacing w:after="120" w:before="0" w:line="360" w:lineRule="auto"/>
        <w:jc w:val="both"/>
      </w:pPr>
      <w:r>
        <w:rPr>
          <w:rFonts w:ascii="Times New Roman" w:hAnsi="Times New Roman" w:eastAsia="Times New Roman"/>
          <w:b w:val="0"/>
          <w:i w:val="0"/>
          <w:sz w:val="24"/>
        </w:rPr>
        <w:t>Why it works: naming the role, the exact fields, and a hard limit of five stops the model rambling and keeps the answer usable. Expected output: a short ranked list of churn drivers an analyst can take straight into feature selection.</w:t>
      </w:r>
    </w:p>
    <w:p>
      <w:pPr>
        <w:keepNext/>
        <w:spacing w:after="80" w:before="200" w:line="360" w:lineRule="auto"/>
        <w:jc w:val="left"/>
      </w:pPr>
      <w:r>
        <w:rPr>
          <w:rFonts w:ascii="Times New Roman" w:hAnsi="Times New Roman" w:eastAsia="Times New Roman"/>
          <w:b/>
          <w:i w:val="0"/>
          <w:sz w:val="24"/>
        </w:rPr>
        <w:t>Prompt 2, dashboard interpretation</w:t>
      </w:r>
    </w:p>
    <w:p>
      <w:pPr>
        <w:spacing w:after="40" w:line="360" w:lineRule="auto"/>
        <w:ind w:left="720" w:hanging="432"/>
        <w:jc w:val="both"/>
      </w:pPr>
      <w:r>
        <w:rPr>
          <w:rFonts w:ascii="Times New Roman" w:hAnsi="Times New Roman" w:eastAsia="Times New Roman"/>
          <w:b/>
          <w:i w:val="0"/>
          <w:sz w:val="24"/>
        </w:rPr>
        <w:t xml:space="preserve">Role: </w:t>
      </w:r>
      <w:r>
        <w:rPr>
          <w:rFonts w:ascii="Times New Roman" w:hAnsi="Times New Roman" w:eastAsia="Times New Roman"/>
          <w:b w:val="0"/>
          <w:i w:val="0"/>
          <w:sz w:val="24"/>
        </w:rPr>
        <w:t>A business intelligence advisor to MTN's executives.</w:t>
      </w:r>
    </w:p>
    <w:p>
      <w:pPr>
        <w:spacing w:after="40" w:line="360" w:lineRule="auto"/>
        <w:ind w:left="720" w:hanging="432"/>
        <w:jc w:val="both"/>
      </w:pPr>
      <w:r>
        <w:rPr>
          <w:rFonts w:ascii="Times New Roman" w:hAnsi="Times New Roman" w:eastAsia="Times New Roman"/>
          <w:b/>
          <w:i w:val="0"/>
          <w:sz w:val="24"/>
        </w:rPr>
        <w:t xml:space="preserve">Task: </w:t>
      </w:r>
      <w:r>
        <w:rPr>
          <w:rFonts w:ascii="Times New Roman" w:hAnsi="Times New Roman" w:eastAsia="Times New Roman"/>
          <w:b w:val="0"/>
          <w:i w:val="0"/>
          <w:sz w:val="24"/>
        </w:rPr>
        <w:t>Interpret this month's dashboard and flag the metric that most needs attention.</w:t>
      </w:r>
    </w:p>
    <w:p>
      <w:pPr>
        <w:spacing w:after="40" w:line="360" w:lineRule="auto"/>
        <w:ind w:left="720" w:hanging="432"/>
        <w:jc w:val="both"/>
      </w:pPr>
      <w:r>
        <w:rPr>
          <w:rFonts w:ascii="Times New Roman" w:hAnsi="Times New Roman" w:eastAsia="Times New Roman"/>
          <w:b/>
          <w:i w:val="0"/>
          <w:sz w:val="24"/>
        </w:rPr>
        <w:t xml:space="preserve">Context: </w:t>
      </w:r>
      <w:r>
        <w:rPr>
          <w:rFonts w:ascii="Times New Roman" w:hAnsi="Times New Roman" w:eastAsia="Times New Roman"/>
          <w:b w:val="0"/>
          <w:i w:val="0"/>
          <w:sz w:val="24"/>
        </w:rPr>
        <w:t>Churn 2.1%, ARPU up 3.1%, network uptime 99.2%, and NPS at +34.</w:t>
      </w:r>
    </w:p>
    <w:p>
      <w:pPr>
        <w:spacing w:after="40" w:line="360" w:lineRule="auto"/>
        <w:ind w:left="720" w:hanging="432"/>
        <w:jc w:val="both"/>
      </w:pPr>
      <w:r>
        <w:rPr>
          <w:rFonts w:ascii="Times New Roman" w:hAnsi="Times New Roman" w:eastAsia="Times New Roman"/>
          <w:b/>
          <w:i w:val="0"/>
          <w:sz w:val="24"/>
        </w:rPr>
        <w:t xml:space="preserve">Constraints: </w:t>
      </w:r>
      <w:r>
        <w:rPr>
          <w:rFonts w:ascii="Times New Roman" w:hAnsi="Times New Roman" w:eastAsia="Times New Roman"/>
          <w:b w:val="0"/>
          <w:i w:val="0"/>
          <w:sz w:val="24"/>
        </w:rPr>
        <w:t>Answer in no more than three sentences, and single out one priority metric.</w:t>
      </w:r>
    </w:p>
    <w:p>
      <w:pPr>
        <w:spacing w:after="40" w:line="360" w:lineRule="auto"/>
        <w:ind w:left="720" w:hanging="432"/>
        <w:jc w:val="both"/>
      </w:pPr>
      <w:r>
        <w:rPr>
          <w:rFonts w:ascii="Times New Roman" w:hAnsi="Times New Roman" w:eastAsia="Times New Roman"/>
          <w:b/>
          <w:i w:val="0"/>
          <w:sz w:val="24"/>
        </w:rPr>
        <w:t xml:space="preserve">Output Format: </w:t>
      </w:r>
      <w:r>
        <w:rPr>
          <w:rFonts w:ascii="Times New Roman" w:hAnsi="Times New Roman" w:eastAsia="Times New Roman"/>
          <w:b w:val="0"/>
          <w:i w:val="0"/>
          <w:sz w:val="24"/>
        </w:rPr>
        <w:t>A three-sentence executive read that ends with the one metric to watch.</w:t>
      </w:r>
    </w:p>
    <w:p>
      <w:pPr>
        <w:spacing w:after="120" w:before="0" w:line="360" w:lineRule="auto"/>
        <w:jc w:val="both"/>
      </w:pPr>
      <w:r>
        <w:rPr>
          <w:rFonts w:ascii="Times New Roman" w:hAnsi="Times New Roman" w:eastAsia="Times New Roman"/>
          <w:b w:val="0"/>
          <w:i w:val="0"/>
          <w:sz w:val="24"/>
        </w:rPr>
        <w:t>Why it works: feeding the model the real figures and capping the length forces prioritisation instead of generic commentary. Expected output: a tight, plain-language summary of the month with one clear priority called out.</w:t>
      </w:r>
    </w:p>
    <w:p>
      <w:pPr>
        <w:keepNext/>
        <w:spacing w:after="80" w:before="200" w:line="360" w:lineRule="auto"/>
        <w:jc w:val="left"/>
      </w:pPr>
      <w:r>
        <w:rPr>
          <w:rFonts w:ascii="Times New Roman" w:hAnsi="Times New Roman" w:eastAsia="Times New Roman"/>
          <w:b/>
          <w:i w:val="0"/>
          <w:sz w:val="24"/>
        </w:rPr>
        <w:t>Prompt 3, insight generation</w:t>
      </w:r>
    </w:p>
    <w:p>
      <w:pPr>
        <w:spacing w:after="40" w:line="360" w:lineRule="auto"/>
        <w:ind w:left="720" w:hanging="432"/>
        <w:jc w:val="both"/>
      </w:pPr>
      <w:r>
        <w:rPr>
          <w:rFonts w:ascii="Times New Roman" w:hAnsi="Times New Roman" w:eastAsia="Times New Roman"/>
          <w:b/>
          <w:i w:val="0"/>
          <w:sz w:val="24"/>
        </w:rPr>
        <w:t xml:space="preserve">Role: </w:t>
      </w:r>
      <w:r>
        <w:rPr>
          <w:rFonts w:ascii="Times New Roman" w:hAnsi="Times New Roman" w:eastAsia="Times New Roman"/>
          <w:b w:val="0"/>
          <w:i w:val="0"/>
          <w:sz w:val="24"/>
        </w:rPr>
        <w:t>A telecom strategy consultant.</w:t>
      </w:r>
    </w:p>
    <w:p>
      <w:pPr>
        <w:spacing w:after="40" w:line="360" w:lineRule="auto"/>
        <w:ind w:left="720" w:hanging="432"/>
        <w:jc w:val="both"/>
      </w:pPr>
      <w:r>
        <w:rPr>
          <w:rFonts w:ascii="Times New Roman" w:hAnsi="Times New Roman" w:eastAsia="Times New Roman"/>
          <w:b/>
          <w:i w:val="0"/>
          <w:sz w:val="24"/>
        </w:rPr>
        <w:t xml:space="preserve">Task: </w:t>
      </w:r>
      <w:r>
        <w:rPr>
          <w:rFonts w:ascii="Times New Roman" w:hAnsi="Times New Roman" w:eastAsia="Times New Roman"/>
          <w:b w:val="0"/>
          <w:i w:val="0"/>
          <w:sz w:val="24"/>
        </w:rPr>
        <w:t>Propose testable causes for a spike in network faults.</w:t>
      </w:r>
    </w:p>
    <w:p>
      <w:pPr>
        <w:spacing w:after="40" w:line="360" w:lineRule="auto"/>
        <w:ind w:left="720" w:hanging="432"/>
        <w:jc w:val="both"/>
      </w:pPr>
      <w:r>
        <w:rPr>
          <w:rFonts w:ascii="Times New Roman" w:hAnsi="Times New Roman" w:eastAsia="Times New Roman"/>
          <w:b/>
          <w:i w:val="0"/>
          <w:sz w:val="24"/>
        </w:rPr>
        <w:t xml:space="preserve">Context: </w:t>
      </w:r>
      <w:r>
        <w:rPr>
          <w:rFonts w:ascii="Times New Roman" w:hAnsi="Times New Roman" w:eastAsia="Times New Roman"/>
          <w:b w:val="0"/>
          <w:i w:val="0"/>
          <w:sz w:val="24"/>
        </w:rPr>
        <w:t>Faults in the North region rose 40% in the week before a surge in customer complaints.</w:t>
      </w:r>
    </w:p>
    <w:p>
      <w:pPr>
        <w:spacing w:after="40" w:line="360" w:lineRule="auto"/>
        <w:ind w:left="720" w:hanging="432"/>
        <w:jc w:val="both"/>
      </w:pPr>
      <w:r>
        <w:rPr>
          <w:rFonts w:ascii="Times New Roman" w:hAnsi="Times New Roman" w:eastAsia="Times New Roman"/>
          <w:b/>
          <w:i w:val="0"/>
          <w:sz w:val="24"/>
        </w:rPr>
        <w:t xml:space="preserve">Constraints: </w:t>
      </w:r>
      <w:r>
        <w:rPr>
          <w:rFonts w:ascii="Times New Roman" w:hAnsi="Times New Roman" w:eastAsia="Times New Roman"/>
          <w:b w:val="0"/>
          <w:i w:val="0"/>
          <w:sz w:val="24"/>
        </w:rPr>
        <w:t>Give exactly three hypotheses, and pair each with the data needed to test it.</w:t>
      </w:r>
    </w:p>
    <w:p>
      <w:pPr>
        <w:spacing w:after="40" w:line="360" w:lineRule="auto"/>
        <w:ind w:left="720" w:hanging="432"/>
        <w:jc w:val="both"/>
      </w:pPr>
      <w:r>
        <w:rPr>
          <w:rFonts w:ascii="Times New Roman" w:hAnsi="Times New Roman" w:eastAsia="Times New Roman"/>
          <w:b/>
          <w:i w:val="0"/>
          <w:sz w:val="24"/>
        </w:rPr>
        <w:t xml:space="preserve">Output Format: </w:t>
      </w:r>
      <w:r>
        <w:rPr>
          <w:rFonts w:ascii="Times New Roman" w:hAnsi="Times New Roman" w:eastAsia="Times New Roman"/>
          <w:b w:val="0"/>
          <w:i w:val="0"/>
          <w:sz w:val="24"/>
        </w:rPr>
        <w:t>Three hypotheses, each with its verifying data source.</w:t>
      </w:r>
    </w:p>
    <w:p>
      <w:pPr>
        <w:spacing w:after="120" w:before="0" w:line="360" w:lineRule="auto"/>
        <w:jc w:val="both"/>
      </w:pPr>
      <w:r>
        <w:rPr>
          <w:rFonts w:ascii="Times New Roman" w:hAnsi="Times New Roman" w:eastAsia="Times New Roman"/>
          <w:b w:val="0"/>
          <w:i w:val="0"/>
          <w:sz w:val="24"/>
        </w:rPr>
        <w:t>Why it works: anchoring on a concrete finding and demanding testable hypotheses keeps the model grounded and moves it from pattern to action. Expected output: three plausible causes, each paired with the evidence that would confirm or rule it out. A sample response is shown in Appendix A.</w:t>
      </w:r>
    </w:p>
    <w:p>
      <w:pPr>
        <w:keepNext/>
        <w:spacing w:after="80" w:before="200" w:line="360" w:lineRule="auto"/>
        <w:jc w:val="left"/>
      </w:pPr>
      <w:r>
        <w:rPr>
          <w:rFonts w:ascii="Times New Roman" w:hAnsi="Times New Roman" w:eastAsia="Times New Roman"/>
          <w:b/>
          <w:i w:val="0"/>
          <w:sz w:val="24"/>
        </w:rPr>
        <w:t>Prompt 4, strategic decision support</w:t>
      </w:r>
    </w:p>
    <w:p>
      <w:pPr>
        <w:spacing w:after="40" w:line="360" w:lineRule="auto"/>
        <w:ind w:left="720" w:hanging="432"/>
        <w:jc w:val="both"/>
      </w:pPr>
      <w:r>
        <w:rPr>
          <w:rFonts w:ascii="Times New Roman" w:hAnsi="Times New Roman" w:eastAsia="Times New Roman"/>
          <w:b/>
          <w:i w:val="0"/>
          <w:sz w:val="24"/>
        </w:rPr>
        <w:t xml:space="preserve">Role: </w:t>
      </w:r>
      <w:r>
        <w:rPr>
          <w:rFonts w:ascii="Times New Roman" w:hAnsi="Times New Roman" w:eastAsia="Times New Roman"/>
          <w:b w:val="0"/>
          <w:i w:val="0"/>
          <w:sz w:val="24"/>
        </w:rPr>
        <w:t>An advisor to MTN's executive committee.</w:t>
      </w:r>
    </w:p>
    <w:p>
      <w:pPr>
        <w:spacing w:after="40" w:line="360" w:lineRule="auto"/>
        <w:ind w:left="720" w:hanging="432"/>
        <w:jc w:val="both"/>
      </w:pPr>
      <w:r>
        <w:rPr>
          <w:rFonts w:ascii="Times New Roman" w:hAnsi="Times New Roman" w:eastAsia="Times New Roman"/>
          <w:b/>
          <w:i w:val="0"/>
          <w:sz w:val="24"/>
        </w:rPr>
        <w:t xml:space="preserve">Task: </w:t>
      </w:r>
      <w:r>
        <w:rPr>
          <w:rFonts w:ascii="Times New Roman" w:hAnsi="Times New Roman" w:eastAsia="Times New Roman"/>
          <w:b w:val="0"/>
          <w:i w:val="0"/>
          <w:sz w:val="24"/>
        </w:rPr>
        <w:t>Weigh a $50m network-investment choice and recommend an option.</w:t>
      </w:r>
    </w:p>
    <w:p>
      <w:pPr>
        <w:spacing w:after="40" w:line="360" w:lineRule="auto"/>
        <w:ind w:left="720" w:hanging="432"/>
        <w:jc w:val="both"/>
      </w:pPr>
      <w:r>
        <w:rPr>
          <w:rFonts w:ascii="Times New Roman" w:hAnsi="Times New Roman" w:eastAsia="Times New Roman"/>
          <w:b/>
          <w:i w:val="0"/>
          <w:sz w:val="24"/>
        </w:rPr>
        <w:t xml:space="preserve">Context: </w:t>
      </w:r>
      <w:r>
        <w:rPr>
          <w:rFonts w:ascii="Times New Roman" w:hAnsi="Times New Roman" w:eastAsia="Times New Roman"/>
          <w:b w:val="0"/>
          <w:i w:val="0"/>
          <w:sz w:val="24"/>
        </w:rPr>
        <w:t>The choice is between concentrating the spend in one high-churn market or spreading it across three.</w:t>
      </w:r>
    </w:p>
    <w:p>
      <w:pPr>
        <w:spacing w:after="40" w:line="360" w:lineRule="auto"/>
        <w:ind w:left="720" w:hanging="432"/>
        <w:jc w:val="both"/>
      </w:pPr>
      <w:r>
        <w:rPr>
          <w:rFonts w:ascii="Times New Roman" w:hAnsi="Times New Roman" w:eastAsia="Times New Roman"/>
          <w:b/>
          <w:i w:val="0"/>
          <w:sz w:val="24"/>
        </w:rPr>
        <w:t xml:space="preserve">Constraints: </w:t>
      </w:r>
      <w:r>
        <w:rPr>
          <w:rFonts w:ascii="Times New Roman" w:hAnsi="Times New Roman" w:eastAsia="Times New Roman"/>
          <w:b w:val="0"/>
          <w:i w:val="0"/>
          <w:sz w:val="24"/>
        </w:rPr>
        <w:t>Consider churn, ARPU, and coverage, and end with a single recommendation and its reasoning.</w:t>
      </w:r>
    </w:p>
    <w:p>
      <w:pPr>
        <w:spacing w:after="40" w:line="360" w:lineRule="auto"/>
        <w:ind w:left="720" w:hanging="432"/>
        <w:jc w:val="both"/>
      </w:pPr>
      <w:r>
        <w:rPr>
          <w:rFonts w:ascii="Times New Roman" w:hAnsi="Times New Roman" w:eastAsia="Times New Roman"/>
          <w:b/>
          <w:i w:val="0"/>
          <w:sz w:val="24"/>
        </w:rPr>
        <w:t xml:space="preserve">Output Format: </w:t>
      </w:r>
      <w:r>
        <w:rPr>
          <w:rFonts w:ascii="Times New Roman" w:hAnsi="Times New Roman" w:eastAsia="Times New Roman"/>
          <w:b w:val="0"/>
          <w:i w:val="0"/>
          <w:sz w:val="24"/>
        </w:rPr>
        <w:t>A short comparison of the two options, followed by a clear recommendation.</w:t>
      </w:r>
    </w:p>
    <w:p>
      <w:pPr>
        <w:spacing w:after="120" w:before="0" w:line="360" w:lineRule="auto"/>
        <w:jc w:val="both"/>
      </w:pPr>
      <w:r>
        <w:rPr>
          <w:rFonts w:ascii="Times New Roman" w:hAnsi="Times New Roman" w:eastAsia="Times New Roman"/>
          <w:b w:val="0"/>
          <w:i w:val="0"/>
          <w:sz w:val="24"/>
        </w:rPr>
        <w:t>Why it works: framing a real decision with named constraints and forcing a recommendation yields something the committee can debate, not a bland summary. Expected output: a reasoned two-option comparison ending in a defensible recommendation.</w:t>
      </w:r>
    </w:p>
    <w:p>
      <w:pPr>
        <w:keepNext/>
        <w:spacing w:after="120" w:before="320" w:line="360" w:lineRule="auto"/>
        <w:jc w:val="left"/>
      </w:pPr>
      <w:r>
        <w:rPr>
          <w:rFonts w:ascii="Times New Roman" w:hAnsi="Times New Roman" w:eastAsia="Times New Roman"/>
          <w:b/>
          <w:i w:val="0"/>
          <w:sz w:val="26"/>
        </w:rPr>
        <w:t>9. Ethical and Governance Considerations</w:t>
      </w:r>
    </w:p>
    <w:p>
      <w:pPr>
        <w:spacing w:after="120" w:before="0" w:line="360" w:lineRule="auto"/>
        <w:jc w:val="both"/>
      </w:pPr>
      <w:r>
        <w:rPr>
          <w:rFonts w:ascii="Times New Roman" w:hAnsi="Times New Roman" w:eastAsia="Times New Roman"/>
          <w:b w:val="0"/>
          <w:i w:val="0"/>
          <w:sz w:val="24"/>
        </w:rPr>
        <w:t>AI-enabled analytics brings real ethical weight, and for a company holding financial and location data on hundreds of millions of people the stakes are high. The concerns cluster around a few areas (Floridi &amp; Cowls, 2019; Jobin et al., 2019).</w:t>
      </w:r>
    </w:p>
    <w:p>
      <w:pPr>
        <w:spacing w:after="120" w:before="0" w:line="360" w:lineRule="auto"/>
        <w:jc w:val="both"/>
      </w:pPr>
      <w:r>
        <w:rPr>
          <w:rFonts w:ascii="Times New Roman" w:hAnsi="Times New Roman" w:eastAsia="Times New Roman"/>
          <w:b w:val="0"/>
          <w:i w:val="0"/>
          <w:sz w:val="24"/>
        </w:rPr>
        <w:t>Data privacy comes first. MoMo and CRM data are deeply personal, and using them to train models has to respect consent and the regulations noted earlier. Data governance overlaps here: the same stewardship model that keeps data clean also keeps its use accountable. Algorithmic bias is a quieter danger. A churn or credit model trained on skewed history can quietly disadvantage a region or income group, and at MTN's scale a small bias affects millions (Mehrabi et al., 2021). This is not a hypothetical to wave away. It is the single risk I would watch most closely.</w:t>
      </w:r>
    </w:p>
    <w:p>
      <w:pPr>
        <w:spacing w:after="120" w:before="0" w:line="360" w:lineRule="auto"/>
        <w:jc w:val="both"/>
      </w:pPr>
      <w:r>
        <w:rPr>
          <w:rFonts w:ascii="Times New Roman" w:hAnsi="Times New Roman" w:eastAsia="Times New Roman"/>
          <w:b w:val="0"/>
          <w:i w:val="0"/>
          <w:sz w:val="24"/>
        </w:rPr>
        <w:t>Transparency and responsible AI go together. Executives should not act on a recommendation nobody can explain, so models that drive real decisions need to be interpretable and documented. Regulatory compliance ties it all off: NDPR, POPIA, GDPR where relevant, and the financial-services rules that govern MoMo. The sensible posture is a standing AI ethics policy with human oversight on any decision that materially affects a customer.</w:t>
      </w:r>
    </w:p>
    <w:p>
      <w:pPr>
        <w:keepNext/>
        <w:spacing w:after="120" w:before="320" w:line="360" w:lineRule="auto"/>
        <w:jc w:val="left"/>
      </w:pPr>
      <w:r>
        <w:rPr>
          <w:rFonts w:ascii="Times New Roman" w:hAnsi="Times New Roman" w:eastAsia="Times New Roman"/>
          <w:b/>
          <w:i w:val="0"/>
          <w:sz w:val="26"/>
        </w:rPr>
        <w:t>10. Strategic Recommendations</w:t>
      </w:r>
    </w:p>
    <w:p>
      <w:pPr>
        <w:spacing w:after="120" w:before="0" w:line="360" w:lineRule="auto"/>
        <w:jc w:val="both"/>
      </w:pPr>
      <w:r>
        <w:rPr>
          <w:rFonts w:ascii="Times New Roman" w:hAnsi="Times New Roman" w:eastAsia="Times New Roman"/>
          <w:b w:val="0"/>
          <w:i w:val="0"/>
          <w:sz w:val="24"/>
        </w:rPr>
        <w:t>Pulling the analysis together, I put forward four recommendations. Each names the action, the reason behind it, and the impact MTN should expect.</w:t>
      </w:r>
    </w:p>
    <w:p>
      <w:pPr>
        <w:spacing w:after="120" w:before="0" w:line="360" w:lineRule="auto"/>
        <w:jc w:val="both"/>
      </w:pPr>
      <w:r>
        <w:rPr>
          <w:rFonts w:ascii="Times New Roman" w:hAnsi="Times New Roman" w:eastAsia="Times New Roman"/>
          <w:b w:val="0"/>
          <w:i w:val="0"/>
          <w:sz w:val="24"/>
        </w:rPr>
        <w:t>1. Build a governed central data platform. Justification: the fragmented, siloed data is the root cause of nearly every problem in this report, and no analytics effort will hold without a single trusted source (Abraham et al., 2019). Expected impact: a unified customer view, faster and more reliable analysis, and far less time wasted reconciling numbers.</w:t>
      </w:r>
    </w:p>
    <w:p>
      <w:pPr>
        <w:spacing w:after="120" w:before="0" w:line="360" w:lineRule="auto"/>
        <w:jc w:val="both"/>
      </w:pPr>
      <w:r>
        <w:rPr>
          <w:rFonts w:ascii="Times New Roman" w:hAnsi="Times New Roman" w:eastAsia="Times New Roman"/>
          <w:b w:val="0"/>
          <w:i w:val="0"/>
          <w:sz w:val="24"/>
        </w:rPr>
        <w:t>2. Deploy an executive dashboard on the KPIs in Section 6. Justification: decisions are slow because leaders lack a current, shared picture of performance. Expected impact: quicker reaction to churn and network issues, and a common set of facts for the executive committee.</w:t>
      </w:r>
    </w:p>
    <w:p>
      <w:pPr>
        <w:spacing w:after="120" w:before="0" w:line="360" w:lineRule="auto"/>
        <w:jc w:val="both"/>
      </w:pPr>
      <w:r>
        <w:rPr>
          <w:rFonts w:ascii="Times New Roman" w:hAnsi="Times New Roman" w:eastAsia="Times New Roman"/>
          <w:b w:val="0"/>
          <w:i w:val="0"/>
          <w:sz w:val="24"/>
        </w:rPr>
        <w:t>3. Build a churn-prediction and revenue-assurance capability. Justification: catching at-risk customers and billing leakage early is the most direct route to protecting revenue. Expected impact: lower churn, recovered leakage, and retention spend aimed where it counts.</w:t>
      </w:r>
    </w:p>
    <w:p>
      <w:pPr>
        <w:spacing w:after="120" w:before="0" w:line="360" w:lineRule="auto"/>
        <w:jc w:val="both"/>
      </w:pPr>
      <w:r>
        <w:rPr>
          <w:rFonts w:ascii="Times New Roman" w:hAnsi="Times New Roman" w:eastAsia="Times New Roman"/>
          <w:b w:val="0"/>
          <w:i w:val="0"/>
          <w:sz w:val="24"/>
        </w:rPr>
        <w:t>4. Adopt Generative AI for reporting and conversational analytics, under a clear ethics policy. Justification: it frees analysts from routine reporting and puts answers within reach of non-technical leaders (Davenport, 2018). Expected impact: faster reporting cycles, wider access to insight, and AI used responsibly rather than recklessly.</w:t>
      </w:r>
    </w:p>
    <w:p>
      <w:pPr>
        <w:keepNext/>
        <w:spacing w:after="120" w:before="320" w:line="360" w:lineRule="auto"/>
        <w:jc w:val="left"/>
      </w:pPr>
      <w:r>
        <w:rPr>
          <w:rFonts w:ascii="Times New Roman" w:hAnsi="Times New Roman" w:eastAsia="Times New Roman"/>
          <w:b/>
          <w:i w:val="0"/>
          <w:sz w:val="26"/>
        </w:rPr>
        <w:t>11. Conclusion</w:t>
      </w:r>
    </w:p>
    <w:p>
      <w:pPr>
        <w:spacing w:after="120" w:before="0" w:line="360" w:lineRule="auto"/>
        <w:jc w:val="both"/>
      </w:pPr>
      <w:r>
        <w:rPr>
          <w:rFonts w:ascii="Times New Roman" w:hAnsi="Times New Roman" w:eastAsia="Times New Roman"/>
          <w:b w:val="0"/>
          <w:i w:val="0"/>
          <w:sz w:val="24"/>
        </w:rPr>
        <w:t>MTN's difficulty was never a shortage of data. It was that the data never became a decision. This report traced a path from that fragmented starting point to an integrated strategy: the DIKW framework to climb from records to judgement, a governed data platform and analytical workflow to make it repeatable, an executive visualization layer, and Generative AI to speed the whole thing up. The through-line is simple. Manage the data well, show it clearly, and use AI with care, and the same information that sits idle today becomes the basis for sharper, faster, and more defensible decisions. For a company competing on thin margins across nearly 290 million subscribers, that shift is not a luxury. It is how MTN stays ahead.</w:t>
      </w:r>
    </w:p>
    <w:p>
      <w:r>
        <w:br w:type="page"/>
      </w:r>
    </w:p>
    <w:p>
      <w:pPr>
        <w:keepNext/>
        <w:spacing w:after="120" w:before="320" w:line="360" w:lineRule="auto"/>
        <w:jc w:val="left"/>
      </w:pPr>
      <w:r>
        <w:rPr>
          <w:rFonts w:ascii="Times New Roman" w:hAnsi="Times New Roman" w:eastAsia="Times New Roman"/>
          <w:b/>
          <w:i w:val="0"/>
          <w:sz w:val="26"/>
        </w:rPr>
        <w:t>References</w:t>
      </w:r>
    </w:p>
    <w:p>
      <w:pPr>
        <w:spacing w:line="360" w:lineRule="auto" w:after="120"/>
        <w:ind w:left="720" w:hanging="720"/>
        <w:jc w:val="left"/>
      </w:pPr>
      <w:r>
        <w:rPr>
          <w:rFonts w:ascii="Times New Roman" w:hAnsi="Times New Roman" w:eastAsia="Times New Roman"/>
          <w:b w:val="0"/>
          <w:i w:val="0"/>
          <w:sz w:val="24"/>
        </w:rPr>
        <w:t>Abraham, R., Schneider, J., &amp; vom Brocke, J. (2019). Data governance: A conceptual framework, structured review, and research agenda. International Journal of Information Management, 49, 424-438. https://doi.org/10.1016/j.ijinfomgt.2019.07.008</w:t>
      </w:r>
    </w:p>
    <w:p>
      <w:pPr>
        <w:spacing w:line="360" w:lineRule="auto" w:after="120"/>
        <w:ind w:left="720" w:hanging="720"/>
        <w:jc w:val="left"/>
      </w:pPr>
      <w:r>
        <w:rPr>
          <w:rFonts w:ascii="Times New Roman" w:hAnsi="Times New Roman" w:eastAsia="Times New Roman"/>
          <w:b w:val="0"/>
          <w:i w:val="0"/>
          <w:sz w:val="24"/>
        </w:rPr>
        <w:t>Ackoff, R. L. (1989). From data to wisdom. Journal of Applied Systems Analysis, 16, 3-9.</w:t>
      </w:r>
    </w:p>
    <w:p>
      <w:pPr>
        <w:spacing w:line="360" w:lineRule="auto" w:after="120"/>
        <w:ind w:left="720" w:hanging="720"/>
        <w:jc w:val="left"/>
      </w:pPr>
      <w:r>
        <w:rPr>
          <w:rFonts w:ascii="Times New Roman" w:hAnsi="Times New Roman" w:eastAsia="Times New Roman"/>
          <w:b w:val="0"/>
          <w:i w:val="0"/>
          <w:sz w:val="24"/>
        </w:rPr>
        <w:t>Brynjolfsson, E., &amp; McElheran, K. (2016). The rapid adoption of data-driven decision-making. American Economic Review, 106(5), 133-139. https://doi.org/10.1257/aer.p20161016</w:t>
      </w:r>
    </w:p>
    <w:p>
      <w:pPr>
        <w:spacing w:line="360" w:lineRule="auto" w:after="120"/>
        <w:ind w:left="720" w:hanging="720"/>
        <w:jc w:val="left"/>
      </w:pPr>
      <w:r>
        <w:rPr>
          <w:rFonts w:ascii="Times New Roman" w:hAnsi="Times New Roman" w:eastAsia="Times New Roman"/>
          <w:b w:val="0"/>
          <w:i w:val="0"/>
          <w:sz w:val="24"/>
        </w:rPr>
        <w:t>Brynjolfsson, E., Li, D., &amp; Raymond, L. R. (2023). Generative AI at work (NBER Working Paper No. 31161). National Bureau of Economic Research. https://doi.org/10.3386/w31161</w:t>
      </w:r>
    </w:p>
    <w:p>
      <w:pPr>
        <w:spacing w:line="360" w:lineRule="auto" w:after="120"/>
        <w:ind w:left="720" w:hanging="720"/>
        <w:jc w:val="left"/>
      </w:pPr>
      <w:r>
        <w:rPr>
          <w:rFonts w:ascii="Times New Roman" w:hAnsi="Times New Roman" w:eastAsia="Times New Roman"/>
          <w:b w:val="0"/>
          <w:i w:val="0"/>
          <w:sz w:val="24"/>
        </w:rPr>
        <w:t>Chen, H., Chiang, R. H. L., &amp; Storey, V. C. (2012). Business intelligence and analytics: From big data to big impact. MIS Quarterly, 36(4), 1165-1188. https://doi.org/10.2307/41703503</w:t>
      </w:r>
    </w:p>
    <w:p>
      <w:pPr>
        <w:spacing w:line="360" w:lineRule="auto" w:after="120"/>
        <w:ind w:left="720" w:hanging="720"/>
        <w:jc w:val="left"/>
      </w:pPr>
      <w:r>
        <w:rPr>
          <w:rFonts w:ascii="Times New Roman" w:hAnsi="Times New Roman" w:eastAsia="Times New Roman"/>
          <w:b w:val="0"/>
          <w:i w:val="0"/>
          <w:sz w:val="24"/>
        </w:rPr>
        <w:t>Davenport, T. H. (2018). From analytics to artificial intelligence. Journal of Business Analytics, 1(2), 73-80. https://doi.org/10.1080/2573234X.2018.1543535</w:t>
      </w:r>
    </w:p>
    <w:p>
      <w:pPr>
        <w:spacing w:line="360" w:lineRule="auto" w:after="120"/>
        <w:ind w:left="720" w:hanging="720"/>
        <w:jc w:val="left"/>
      </w:pPr>
      <w:r>
        <w:rPr>
          <w:rFonts w:ascii="Times New Roman" w:hAnsi="Times New Roman" w:eastAsia="Times New Roman"/>
          <w:b w:val="0"/>
          <w:i w:val="0"/>
          <w:sz w:val="24"/>
        </w:rPr>
        <w:t>Davenport, T. H., &amp; Harris, J. G. (2007). Competing on analytics: The new science of winning. Harvard Business School Press.</w:t>
      </w:r>
    </w:p>
    <w:p>
      <w:pPr>
        <w:spacing w:line="360" w:lineRule="auto" w:after="120"/>
        <w:ind w:left="720" w:hanging="720"/>
        <w:jc w:val="left"/>
      </w:pPr>
      <w:r>
        <w:rPr>
          <w:rFonts w:ascii="Times New Roman" w:hAnsi="Times New Roman" w:eastAsia="Times New Roman"/>
          <w:b w:val="0"/>
          <w:i w:val="0"/>
          <w:sz w:val="24"/>
        </w:rPr>
        <w:t>Few, S. (2006). Information dashboard design: The effective visual communication of data. O'Reilly Media.</w:t>
      </w:r>
    </w:p>
    <w:p>
      <w:pPr>
        <w:spacing w:line="360" w:lineRule="auto" w:after="120"/>
        <w:ind w:left="720" w:hanging="720"/>
        <w:jc w:val="left"/>
      </w:pPr>
      <w:r>
        <w:rPr>
          <w:rFonts w:ascii="Times New Roman" w:hAnsi="Times New Roman" w:eastAsia="Times New Roman"/>
          <w:b w:val="0"/>
          <w:i w:val="0"/>
          <w:sz w:val="24"/>
        </w:rPr>
        <w:t>Floridi, L., &amp; Cowls, J. (2019). A unified framework of five principles for AI in society. Harvard Data Science Review, 1(1). https://doi.org/10.1162/99608f92.8cd550d1</w:t>
      </w:r>
    </w:p>
    <w:p>
      <w:pPr>
        <w:spacing w:line="360" w:lineRule="auto" w:after="120"/>
        <w:ind w:left="720" w:hanging="720"/>
        <w:jc w:val="left"/>
      </w:pPr>
      <w:r>
        <w:rPr>
          <w:rFonts w:ascii="Times New Roman" w:hAnsi="Times New Roman" w:eastAsia="Times New Roman"/>
          <w:b w:val="0"/>
          <w:i w:val="0"/>
          <w:sz w:val="24"/>
        </w:rPr>
        <w:t>GSMA. (2023). The mobile economy Sub-Saharan Africa 2023. GSMA Intelligence.</w:t>
      </w:r>
    </w:p>
    <w:p>
      <w:pPr>
        <w:spacing w:line="360" w:lineRule="auto" w:after="120"/>
        <w:ind w:left="720" w:hanging="720"/>
        <w:jc w:val="left"/>
      </w:pPr>
      <w:r>
        <w:rPr>
          <w:rFonts w:ascii="Times New Roman" w:hAnsi="Times New Roman" w:eastAsia="Times New Roman"/>
          <w:b w:val="0"/>
          <w:i w:val="0"/>
          <w:sz w:val="24"/>
        </w:rPr>
        <w:t>Jobin, A., Ienca, M., &amp; Vayena, E. (2019). The global landscape of AI ethics guidelines. Nature Machine Intelligence, 1(9), 389-399. https://doi.org/10.1038/s42256-019-0088-2</w:t>
      </w:r>
    </w:p>
    <w:p>
      <w:pPr>
        <w:spacing w:line="360" w:lineRule="auto" w:after="120"/>
        <w:ind w:left="720" w:hanging="720"/>
        <w:jc w:val="left"/>
      </w:pPr>
      <w:r>
        <w:rPr>
          <w:rFonts w:ascii="Times New Roman" w:hAnsi="Times New Roman" w:eastAsia="Times New Roman"/>
          <w:b w:val="0"/>
          <w:i w:val="0"/>
          <w:sz w:val="24"/>
        </w:rPr>
        <w:t>Khatri, V., &amp; Brown, C. V. (2010). Designing data governance. Communications of the ACM, 53(1), 148-152. https://doi.org/10.1145/1629175.1629210</w:t>
      </w:r>
    </w:p>
    <w:p>
      <w:pPr>
        <w:spacing w:line="360" w:lineRule="auto" w:after="120"/>
        <w:ind w:left="720" w:hanging="720"/>
        <w:jc w:val="left"/>
      </w:pPr>
      <w:r>
        <w:rPr>
          <w:rFonts w:ascii="Times New Roman" w:hAnsi="Times New Roman" w:eastAsia="Times New Roman"/>
          <w:b w:val="0"/>
          <w:i w:val="0"/>
          <w:sz w:val="24"/>
        </w:rPr>
        <w:t>Knaflic, C. N. (2015). Storytelling with data: A data visualization guide for business professionals. Wiley.</w:t>
      </w:r>
    </w:p>
    <w:p>
      <w:pPr>
        <w:spacing w:line="360" w:lineRule="auto" w:after="120"/>
        <w:ind w:left="720" w:hanging="720"/>
        <w:jc w:val="left"/>
      </w:pPr>
      <w:r>
        <w:rPr>
          <w:rFonts w:ascii="Times New Roman" w:hAnsi="Times New Roman" w:eastAsia="Times New Roman"/>
          <w:b w:val="0"/>
          <w:i w:val="0"/>
          <w:sz w:val="24"/>
        </w:rPr>
        <w:t>Liu, P., Yuan, W., Fu, J., Jiang, Z., Hayashi, H., &amp; Neubig, G. (2023). Pre-train, prompt, and predict: A systematic survey of prompting methods in natural language processing. ACM Computing Surveys, 55(9), 1-35. https://doi.org/10.1145/3560815</w:t>
      </w:r>
    </w:p>
    <w:p>
      <w:pPr>
        <w:spacing w:line="360" w:lineRule="auto" w:after="120"/>
        <w:ind w:left="720" w:hanging="720"/>
        <w:jc w:val="left"/>
      </w:pPr>
      <w:r>
        <w:rPr>
          <w:rFonts w:ascii="Times New Roman" w:hAnsi="Times New Roman" w:eastAsia="Times New Roman"/>
          <w:b w:val="0"/>
          <w:i w:val="0"/>
          <w:sz w:val="24"/>
        </w:rPr>
        <w:t>Mehrabi, N., Morstatter, F., Saxena, N., Lerman, K., &amp; Galstyan, A. (2021). A survey on bias and fairness in machine learning. ACM Computing Surveys, 54(6), 1-35. https://doi.org/10.1145/3457607</w:t>
      </w:r>
    </w:p>
    <w:p>
      <w:pPr>
        <w:spacing w:line="360" w:lineRule="auto" w:after="120"/>
        <w:ind w:left="720" w:hanging="720"/>
        <w:jc w:val="left"/>
      </w:pPr>
      <w:r>
        <w:rPr>
          <w:rFonts w:ascii="Times New Roman" w:hAnsi="Times New Roman" w:eastAsia="Times New Roman"/>
          <w:b w:val="0"/>
          <w:i w:val="0"/>
          <w:sz w:val="24"/>
        </w:rPr>
        <w:t>Provost, F., &amp; Fawcett, T. (2013). Data science for business: What you need to know about data mining and data-analytic thinking. O'Reilly Media.</w:t>
      </w:r>
    </w:p>
    <w:p>
      <w:pPr>
        <w:spacing w:line="360" w:lineRule="auto" w:after="120"/>
        <w:ind w:left="720" w:hanging="720"/>
        <w:jc w:val="left"/>
      </w:pPr>
      <w:r>
        <w:rPr>
          <w:rFonts w:ascii="Times New Roman" w:hAnsi="Times New Roman" w:eastAsia="Times New Roman"/>
          <w:b w:val="0"/>
          <w:i w:val="0"/>
          <w:sz w:val="24"/>
        </w:rPr>
        <w:t>Redman, T. C. (2013). Data's credibility problem. Harvard Business Review, 91(12), 84-88.</w:t>
      </w:r>
    </w:p>
    <w:p>
      <w:pPr>
        <w:spacing w:line="360" w:lineRule="auto" w:after="120"/>
        <w:ind w:left="720" w:hanging="720"/>
        <w:jc w:val="left"/>
      </w:pPr>
      <w:r>
        <w:rPr>
          <w:rFonts w:ascii="Times New Roman" w:hAnsi="Times New Roman" w:eastAsia="Times New Roman"/>
          <w:b w:val="0"/>
          <w:i w:val="0"/>
          <w:sz w:val="24"/>
        </w:rPr>
        <w:t>Rowley, J. (2007). The wisdom hierarchy: Representations of the DIKW hierarchy. Journal of Information Science, 33(2), 163-180. https://doi.org/10.1177/0165551506070706</w:t>
      </w:r>
    </w:p>
    <w:p>
      <w:pPr>
        <w:spacing w:line="360" w:lineRule="auto" w:after="120"/>
        <w:ind w:left="720" w:hanging="720"/>
        <w:jc w:val="left"/>
      </w:pPr>
      <w:r>
        <w:rPr>
          <w:rFonts w:ascii="Times New Roman" w:hAnsi="Times New Roman" w:eastAsia="Times New Roman"/>
          <w:b w:val="0"/>
          <w:i w:val="0"/>
          <w:sz w:val="24"/>
        </w:rPr>
        <w:t>Sharda, R., Delen, D., &amp; Turban, E. (2020). Analytics, data science, and artificial intelligence: Systems for decision support (11th ed.). Pearson.</w:t>
      </w:r>
    </w:p>
    <w:p>
      <w:pPr>
        <w:spacing w:line="360" w:lineRule="auto" w:after="120"/>
        <w:ind w:left="720" w:hanging="720"/>
        <w:jc w:val="left"/>
      </w:pPr>
      <w:r>
        <w:rPr>
          <w:rFonts w:ascii="Times New Roman" w:hAnsi="Times New Roman" w:eastAsia="Times New Roman"/>
          <w:b w:val="0"/>
          <w:i w:val="0"/>
          <w:sz w:val="24"/>
        </w:rPr>
        <w:t>Wang, R. Y., &amp; Strong, D. M. (1996). Beyond accuracy: What data quality means to data consumers. Journal of Management Information Systems, 12(4), 5-33. https://doi.org/10.1080/07421222.1996.11518099</w:t>
      </w:r>
    </w:p>
    <w:p>
      <w:r>
        <w:br w:type="page"/>
      </w:r>
    </w:p>
    <w:p>
      <w:pPr>
        <w:keepNext/>
        <w:spacing w:after="120" w:before="320" w:line="360" w:lineRule="auto"/>
        <w:jc w:val="left"/>
      </w:pPr>
      <w:r>
        <w:rPr>
          <w:rFonts w:ascii="Times New Roman" w:hAnsi="Times New Roman" w:eastAsia="Times New Roman"/>
          <w:b/>
          <w:i w:val="0"/>
          <w:sz w:val="26"/>
        </w:rPr>
        <w:t>Appendix A. Sample AI Prompt Output</w:t>
      </w:r>
    </w:p>
    <w:p>
      <w:pPr>
        <w:spacing w:after="120" w:before="0" w:line="360" w:lineRule="auto"/>
        <w:jc w:val="both"/>
      </w:pPr>
      <w:r>
        <w:rPr>
          <w:rFonts w:ascii="Times New Roman" w:hAnsi="Times New Roman" w:eastAsia="Times New Roman"/>
          <w:b w:val="0"/>
          <w:i w:val="0"/>
          <w:sz w:val="22"/>
        </w:rPr>
        <w:t>The following is an illustrative response to Prompt 3 (insight generation) from Section 8, showing the kind of grounded, testable output the proposed system would return.</w:t>
      </w:r>
    </w:p>
    <w:p>
      <w:pPr>
        <w:spacing w:after="120" w:before="0" w:line="360" w:lineRule="auto"/>
        <w:ind w:left="432"/>
        <w:jc w:val="both"/>
      </w:pPr>
      <w:r>
        <w:rPr>
          <w:rFonts w:ascii="Times New Roman" w:hAnsi="Times New Roman" w:eastAsia="Times New Roman"/>
          <w:b w:val="0"/>
          <w:i w:val="0"/>
          <w:sz w:val="22"/>
        </w:rPr>
        <w:t>Hypothesis 1: A batch of ageing cell sites in the North passed a failure threshold. Data needed: site age and hardware maintenance logs against fault timestamps.</w:t>
      </w:r>
    </w:p>
    <w:p>
      <w:pPr>
        <w:spacing w:after="120" w:before="0" w:line="360" w:lineRule="auto"/>
        <w:ind w:left="432"/>
        <w:jc w:val="both"/>
      </w:pPr>
      <w:r>
        <w:rPr>
          <w:rFonts w:ascii="Times New Roman" w:hAnsi="Times New Roman" w:eastAsia="Times New Roman"/>
          <w:b w:val="0"/>
          <w:i w:val="0"/>
          <w:sz w:val="22"/>
        </w:rPr>
        <w:t>Hypothesis 2: A power-supply or grid instability issue drove outages. Data needed: generator and mains power logs correlated with the fault windows.</w:t>
      </w:r>
    </w:p>
    <w:p>
      <w:pPr>
        <w:spacing w:after="120" w:before="0" w:line="360" w:lineRule="auto"/>
        <w:ind w:left="432"/>
        <w:jc w:val="both"/>
      </w:pPr>
      <w:r>
        <w:rPr>
          <w:rFonts w:ascii="Times New Roman" w:hAnsi="Times New Roman" w:eastAsia="Times New Roman"/>
          <w:b w:val="0"/>
          <w:i w:val="0"/>
          <w:sz w:val="22"/>
        </w:rPr>
        <w:t>Hypothesis 3: A software or configuration change was rolled out regionally just before the spike. Data needed: change-management records and deployment dates by region.</w:t>
      </w:r>
    </w:p>
    <w:p>
      <w:r>
        <w:br w:type="page"/>
      </w:r>
    </w:p>
    <w:p>
      <w:pPr>
        <w:keepNext/>
        <w:spacing w:after="120" w:before="320" w:line="360" w:lineRule="auto"/>
        <w:jc w:val="left"/>
      </w:pPr>
      <w:r>
        <w:rPr>
          <w:rFonts w:ascii="Times New Roman" w:hAnsi="Times New Roman" w:eastAsia="Times New Roman"/>
          <w:b/>
          <w:i w:val="0"/>
          <w:sz w:val="26"/>
        </w:rPr>
        <w:t>Appendix B. Annotated Bibliography</w:t>
      </w:r>
    </w:p>
    <w:p>
      <w:pPr>
        <w:spacing w:after="120" w:before="0" w:line="360" w:lineRule="auto"/>
        <w:jc w:val="both"/>
      </w:pPr>
      <w:r>
        <w:rPr>
          <w:rFonts w:ascii="Times New Roman" w:hAnsi="Times New Roman" w:eastAsia="Times New Roman"/>
          <w:b w:val="0"/>
          <w:i w:val="0"/>
          <w:sz w:val="22"/>
        </w:rPr>
        <w:t>Each reference below is paired with a short supporting quotation and a note on its source, showing how the cited work relates to the point it supports in the report. Where a work sits behind a publisher paywall with no open copy, the entry gives the author's established formulation and says so.</w:t>
      </w:r>
    </w:p>
    <w:p>
      <w:pPr>
        <w:spacing w:after="160" w:line="360" w:lineRule="auto"/>
        <w:ind w:left="432" w:hanging="432"/>
        <w:jc w:val="both"/>
      </w:pPr>
      <w:r>
        <w:rPr>
          <w:rFonts w:ascii="Times New Roman" w:hAnsi="Times New Roman" w:eastAsia="Times New Roman"/>
          <w:b/>
          <w:i w:val="0"/>
          <w:sz w:val="22"/>
        </w:rPr>
        <w:t xml:space="preserve">Abraham, Schneider &amp; vom Brocke (2019), data governance (Section 4). </w:t>
      </w:r>
      <w:r>
        <w:rPr>
          <w:rFonts w:ascii="Times New Roman" w:hAnsi="Times New Roman" w:eastAsia="Times New Roman"/>
          <w:b w:val="0"/>
          <w:i w:val="0"/>
          <w:sz w:val="22"/>
        </w:rPr>
        <w:t xml:space="preserve">“Data governance refers to the exercise of authority and control over the management of data. The purpose of data governance is to increase the value of data and minimize data-related cost and risk.”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Ackoff (1989), DIKW framework (Section 3). </w:t>
      </w:r>
      <w:r>
        <w:rPr>
          <w:rFonts w:ascii="Times New Roman" w:hAnsi="Times New Roman" w:eastAsia="Times New Roman"/>
          <w:b w:val="0"/>
          <w:i w:val="0"/>
          <w:sz w:val="22"/>
        </w:rPr>
        <w:t xml:space="preserve">“Data are symbols that represent the properties of objects and events. Information consists of processed data, the processing directed at increasing its usefulness.”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Brynjolfsson &amp; McElheran (2016), data-driven decisions (Section 2). </w:t>
      </w:r>
      <w:r>
        <w:rPr>
          <w:rFonts w:ascii="Times New Roman" w:hAnsi="Times New Roman" w:eastAsia="Times New Roman"/>
          <w:b w:val="0"/>
          <w:i w:val="0"/>
          <w:sz w:val="22"/>
        </w:rPr>
        <w:t xml:space="preserve">“New opportunities to collect and leverage data have led many managers to change how they make decisions, relying less on intuition and more on data.”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Brynjolfsson, Li &amp; Raymond (2023), Generative AI at work (Section 7). </w:t>
      </w:r>
      <w:r>
        <w:rPr>
          <w:rFonts w:ascii="Times New Roman" w:hAnsi="Times New Roman" w:eastAsia="Times New Roman"/>
          <w:b w:val="0"/>
          <w:i w:val="0"/>
          <w:sz w:val="22"/>
        </w:rPr>
        <w:t xml:space="preserve">“Access to AI assistance increases worker productivity, as measured by issues resolved per hour, by 15% on average, with substantial heterogeneity across workers. Less experienced and lower-skilled workers improve both the speed and quality of their output.”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Chen, Chiang &amp; Storey (2012), business intelligence (Section 2). </w:t>
      </w:r>
      <w:r>
        <w:rPr>
          <w:rFonts w:ascii="Times New Roman" w:hAnsi="Times New Roman" w:eastAsia="Times New Roman"/>
          <w:b w:val="0"/>
          <w:i w:val="0"/>
          <w:sz w:val="22"/>
        </w:rPr>
        <w:t xml:space="preserve">“Business intelligence and analytics (BI&amp;A) has emerged as an important area of study for both practitioners and researchers, reflecting the magnitude and impact of data-related problems to be solved in contemporary business organizations.”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Davenport (2018), analytics to AI (Section 7). </w:t>
      </w:r>
      <w:r>
        <w:rPr>
          <w:rFonts w:ascii="Times New Roman" w:hAnsi="Times New Roman" w:eastAsia="Times New Roman"/>
          <w:b w:val="0"/>
          <w:i w:val="0"/>
          <w:sz w:val="22"/>
        </w:rPr>
        <w:t xml:space="preserve">“Many AI systems, however, are based on statistics and other forms of analytics.”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Davenport &amp; Harris (2007), competing on analytics (Section 2). </w:t>
      </w:r>
      <w:r>
        <w:rPr>
          <w:rFonts w:ascii="Times New Roman" w:hAnsi="Times New Roman" w:eastAsia="Times New Roman"/>
          <w:b w:val="0"/>
          <w:i w:val="0"/>
          <w:sz w:val="22"/>
        </w:rPr>
        <w:t xml:space="preserve">“Some companies have built their very businesses on their ability to collect, analyze, and act on data.” </w:t>
      </w:r>
      <w:r>
        <w:rPr>
          <w:rFonts w:ascii="Times New Roman" w:hAnsi="Times New Roman" w:eastAsia="Times New Roman"/>
          <w:b w:val="0"/>
          <w:i/>
          <w:sz w:val="20"/>
        </w:rPr>
        <w:t>(Verbatim from Davenport's HBR article 'Competing on Analytics', which the 2007 book expands)</w:t>
      </w:r>
    </w:p>
    <w:p>
      <w:pPr>
        <w:spacing w:after="160" w:line="360" w:lineRule="auto"/>
        <w:ind w:left="432" w:hanging="432"/>
        <w:jc w:val="both"/>
      </w:pPr>
      <w:r>
        <w:rPr>
          <w:rFonts w:ascii="Times New Roman" w:hAnsi="Times New Roman" w:eastAsia="Times New Roman"/>
          <w:b/>
          <w:i w:val="0"/>
          <w:sz w:val="22"/>
        </w:rPr>
        <w:t xml:space="preserve">Few (2006), dashboard design (Section 6). </w:t>
      </w:r>
      <w:r>
        <w:rPr>
          <w:rFonts w:ascii="Times New Roman" w:hAnsi="Times New Roman" w:eastAsia="Times New Roman"/>
          <w:b w:val="0"/>
          <w:i w:val="0"/>
          <w:sz w:val="22"/>
        </w:rPr>
        <w:t xml:space="preserve">“A dashboard is a visual display of the most important information needed to achieve one or more objectives; consolidated and arranged on a single screen so the information can be monitored at a glance.” </w:t>
      </w:r>
      <w:r>
        <w:rPr>
          <w:rFonts w:ascii="Times New Roman" w:hAnsi="Times New Roman" w:eastAsia="Times New Roman"/>
          <w:b w:val="0"/>
          <w:i/>
          <w:sz w:val="20"/>
        </w:rPr>
        <w:t>(Verbatim from the author's Perceptual Edge whitepaper, the same definition used in the 2006 book)</w:t>
      </w:r>
    </w:p>
    <w:p>
      <w:pPr>
        <w:spacing w:after="160" w:line="360" w:lineRule="auto"/>
        <w:ind w:left="432" w:hanging="432"/>
        <w:jc w:val="both"/>
      </w:pPr>
      <w:r>
        <w:rPr>
          <w:rFonts w:ascii="Times New Roman" w:hAnsi="Times New Roman" w:eastAsia="Times New Roman"/>
          <w:b/>
          <w:i w:val="0"/>
          <w:sz w:val="22"/>
        </w:rPr>
        <w:t xml:space="preserve">Floridi &amp; Cowls (2019), responsible AI (Section 9). </w:t>
      </w:r>
      <w:r>
        <w:rPr>
          <w:rFonts w:ascii="Times New Roman" w:hAnsi="Times New Roman" w:eastAsia="Times New Roman"/>
          <w:b w:val="0"/>
          <w:i w:val="0"/>
          <w:sz w:val="22"/>
        </w:rPr>
        <w:t xml:space="preserve">“Four of them are core principles commonly used in bioethics: beneficence, non-maleficence, autonomy, and justice. On the basis of our comparative analysis, we argue that a new principle is needed in addition: explicability.”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GSMA (2023), telecom industry context (Section 1). </w:t>
      </w:r>
      <w:r>
        <w:rPr>
          <w:rFonts w:ascii="Times New Roman" w:hAnsi="Times New Roman" w:eastAsia="Times New Roman"/>
          <w:b w:val="0"/>
          <w:i w:val="0"/>
          <w:sz w:val="22"/>
        </w:rPr>
        <w:t xml:space="preserve">“In 2022, mobile technologies and services generated 8.1% of GDP across Sub-Saharan Africa, a contribution that amounted to around $170 billion of economic value added.” </w:t>
      </w:r>
      <w:r>
        <w:rPr>
          <w:rFonts w:ascii="Times New Roman" w:hAnsi="Times New Roman" w:eastAsia="Times New Roman"/>
          <w:b w:val="0"/>
          <w:i/>
          <w:sz w:val="20"/>
        </w:rPr>
        <w:t>(Verbatim from the report)</w:t>
      </w:r>
    </w:p>
    <w:p>
      <w:pPr>
        <w:spacing w:after="160" w:line="360" w:lineRule="auto"/>
        <w:ind w:left="432" w:hanging="432"/>
        <w:jc w:val="both"/>
      </w:pPr>
      <w:r>
        <w:rPr>
          <w:rFonts w:ascii="Times New Roman" w:hAnsi="Times New Roman" w:eastAsia="Times New Roman"/>
          <w:b/>
          <w:i w:val="0"/>
          <w:sz w:val="22"/>
        </w:rPr>
        <w:t xml:space="preserve">Jobin, Ienca &amp; Vayena (2019), AI ethics (Section 9). </w:t>
      </w:r>
      <w:r>
        <w:rPr>
          <w:rFonts w:ascii="Times New Roman" w:hAnsi="Times New Roman" w:eastAsia="Times New Roman"/>
          <w:b w:val="0"/>
          <w:i w:val="0"/>
          <w:sz w:val="22"/>
        </w:rPr>
        <w:t xml:space="preserve">“Our results reveal a global convergence emerging around five ethical principles (transparency, justice and fairness, non-maleficence, responsibility and privacy).”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Khatri &amp; Brown (2010), data governance domains (Section 4). </w:t>
      </w:r>
      <w:r>
        <w:rPr>
          <w:rFonts w:ascii="Times New Roman" w:hAnsi="Times New Roman" w:eastAsia="Times New Roman"/>
          <w:b w:val="0"/>
          <w:i w:val="0"/>
          <w:sz w:val="22"/>
        </w:rPr>
        <w:t xml:space="preserve">“Governance is framed as the decision rights and locus of accountability over data, organised into five decision domains: data principles, data quality, metadata, data access, and data lifecycle.” </w:t>
      </w:r>
      <w:r>
        <w:rPr>
          <w:rFonts w:ascii="Times New Roman" w:hAnsi="Times New Roman" w:eastAsia="Times New Roman"/>
          <w:b w:val="0"/>
          <w:i/>
          <w:sz w:val="20"/>
        </w:rPr>
        <w:t>(Authors' established framework; ACM article paywalled, no open copy available)</w:t>
      </w:r>
    </w:p>
    <w:p>
      <w:pPr>
        <w:spacing w:after="160" w:line="360" w:lineRule="auto"/>
        <w:ind w:left="432" w:hanging="432"/>
        <w:jc w:val="both"/>
      </w:pPr>
      <w:r>
        <w:rPr>
          <w:rFonts w:ascii="Times New Roman" w:hAnsi="Times New Roman" w:eastAsia="Times New Roman"/>
          <w:b/>
          <w:i w:val="0"/>
          <w:sz w:val="22"/>
        </w:rPr>
        <w:t xml:space="preserve">Knaflic (2015), data storytelling (Section 6). </w:t>
      </w:r>
      <w:r>
        <w:rPr>
          <w:rFonts w:ascii="Times New Roman" w:hAnsi="Times New Roman" w:eastAsia="Times New Roman"/>
          <w:b w:val="0"/>
          <w:i w:val="0"/>
          <w:sz w:val="22"/>
        </w:rPr>
        <w:t xml:space="preserve">“Teaches the fundamentals of data visualization and how to communicate effectively with data, through context, decluttering, and focusing the audience's attention.” </w:t>
      </w:r>
      <w:r>
        <w:rPr>
          <w:rFonts w:ascii="Times New Roman" w:hAnsi="Times New Roman" w:eastAsia="Times New Roman"/>
          <w:b w:val="0"/>
          <w:i/>
          <w:sz w:val="20"/>
        </w:rPr>
        <w:t>(Publisher (Wiley) description)</w:t>
      </w:r>
    </w:p>
    <w:p>
      <w:pPr>
        <w:spacing w:after="160" w:line="360" w:lineRule="auto"/>
        <w:ind w:left="432" w:hanging="432"/>
        <w:jc w:val="both"/>
      </w:pPr>
      <w:r>
        <w:rPr>
          <w:rFonts w:ascii="Times New Roman" w:hAnsi="Times New Roman" w:eastAsia="Times New Roman"/>
          <w:b/>
          <w:i w:val="0"/>
          <w:sz w:val="22"/>
        </w:rPr>
        <w:t xml:space="preserve">Liu et al. (2023), prompt engineering (Section 8). </w:t>
      </w:r>
      <w:r>
        <w:rPr>
          <w:rFonts w:ascii="Times New Roman" w:hAnsi="Times New Roman" w:eastAsia="Times New Roman"/>
          <w:b w:val="0"/>
          <w:i w:val="0"/>
          <w:sz w:val="22"/>
        </w:rPr>
        <w:t xml:space="preserve">“Unlike traditional supervised learning, which trains a model to take in an input x and predict an output y as P(y|x), prompt-based learning is based on language models that model the probability of text directly.”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Mehrabi et al. (2021), algorithmic bias (Section 9). </w:t>
      </w:r>
      <w:r>
        <w:rPr>
          <w:rFonts w:ascii="Times New Roman" w:hAnsi="Times New Roman" w:eastAsia="Times New Roman"/>
          <w:b w:val="0"/>
          <w:i w:val="0"/>
          <w:sz w:val="22"/>
        </w:rPr>
        <w:t xml:space="preserve">“Such systems can be used in many sensitive environments to make important and life-changing decisions; thus, it is crucial to ensure that the decisions do not reflect discriminatory behavior toward certain groups or populations.”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Provost &amp; Fawcett (2013), analytical workflow (Section 5). </w:t>
      </w:r>
      <w:r>
        <w:rPr>
          <w:rFonts w:ascii="Times New Roman" w:hAnsi="Times New Roman" w:eastAsia="Times New Roman"/>
          <w:b w:val="0"/>
          <w:i w:val="0"/>
          <w:sz w:val="22"/>
        </w:rPr>
        <w:t xml:space="preserve">“Introduces the fundamental principles of data science and the data-analytic thinking necessary for extracting useful knowledge and business value from the data you collect.” </w:t>
      </w:r>
      <w:r>
        <w:rPr>
          <w:rFonts w:ascii="Times New Roman" w:hAnsi="Times New Roman" w:eastAsia="Times New Roman"/>
          <w:b w:val="0"/>
          <w:i/>
          <w:sz w:val="20"/>
        </w:rPr>
        <w:t>(Publisher (O'Reilly) description)</w:t>
      </w:r>
    </w:p>
    <w:p>
      <w:pPr>
        <w:spacing w:after="160" w:line="360" w:lineRule="auto"/>
        <w:ind w:left="432" w:hanging="432"/>
        <w:jc w:val="both"/>
      </w:pPr>
      <w:r>
        <w:rPr>
          <w:rFonts w:ascii="Times New Roman" w:hAnsi="Times New Roman" w:eastAsia="Times New Roman"/>
          <w:b/>
          <w:i w:val="0"/>
          <w:sz w:val="22"/>
        </w:rPr>
        <w:t xml:space="preserve">Redman (2013), cost of poor data quality (Section 4). </w:t>
      </w:r>
      <w:r>
        <w:rPr>
          <w:rFonts w:ascii="Times New Roman" w:hAnsi="Times New Roman" w:eastAsia="Times New Roman"/>
          <w:b w:val="0"/>
          <w:i w:val="0"/>
          <w:sz w:val="22"/>
        </w:rPr>
        <w:t xml:space="preserve">“When data are unreliable, managers quickly lose faith in them and fall back on their intuition to make decisions.” </w:t>
      </w:r>
      <w:r>
        <w:rPr>
          <w:rFonts w:ascii="Times New Roman" w:hAnsi="Times New Roman" w:eastAsia="Times New Roman"/>
          <w:b w:val="0"/>
          <w:i/>
          <w:sz w:val="20"/>
        </w:rPr>
        <w:t>(From the Harvard Business Review summary; article paywalled)</w:t>
      </w:r>
    </w:p>
    <w:p>
      <w:pPr>
        <w:spacing w:after="160" w:line="360" w:lineRule="auto"/>
        <w:ind w:left="432" w:hanging="432"/>
        <w:jc w:val="both"/>
      </w:pPr>
      <w:r>
        <w:rPr>
          <w:rFonts w:ascii="Times New Roman" w:hAnsi="Times New Roman" w:eastAsia="Times New Roman"/>
          <w:b/>
          <w:i w:val="0"/>
          <w:sz w:val="22"/>
        </w:rPr>
        <w:t xml:space="preserve">Rowley (2007), DIKW hierarchy (Section 3). </w:t>
      </w:r>
      <w:r>
        <w:rPr>
          <w:rFonts w:ascii="Times New Roman" w:hAnsi="Times New Roman" w:eastAsia="Times New Roman"/>
          <w:b w:val="0"/>
          <w:i w:val="0"/>
          <w:sz w:val="22"/>
        </w:rPr>
        <w:t xml:space="preserve">“This paper revisits the data, information, knowledge, wisdom (DIKW) hierarchy by examining the articulation of the hierarchy in a number of widely read textbooks, and analysing their statements about the nature of data, information, knowledge, and wisdom.” </w:t>
      </w:r>
      <w:r>
        <w:rPr>
          <w:rFonts w:ascii="Times New Roman" w:hAnsi="Times New Roman" w:eastAsia="Times New Roman"/>
          <w:b w:val="0"/>
          <w:i/>
          <w:sz w:val="20"/>
        </w:rPr>
        <w:t>(Verbatim from source)</w:t>
      </w:r>
    </w:p>
    <w:p>
      <w:pPr>
        <w:spacing w:after="160" w:line="360" w:lineRule="auto"/>
        <w:ind w:left="432" w:hanging="432"/>
        <w:jc w:val="both"/>
      </w:pPr>
      <w:r>
        <w:rPr>
          <w:rFonts w:ascii="Times New Roman" w:hAnsi="Times New Roman" w:eastAsia="Times New Roman"/>
          <w:b/>
          <w:i w:val="0"/>
          <w:sz w:val="22"/>
        </w:rPr>
        <w:t xml:space="preserve">Sharda, Delen &amp; Turban (2020), decision support (Section 5). </w:t>
      </w:r>
      <w:r>
        <w:rPr>
          <w:rFonts w:ascii="Times New Roman" w:hAnsi="Times New Roman" w:eastAsia="Times New Roman"/>
          <w:b w:val="0"/>
          <w:i w:val="0"/>
          <w:sz w:val="22"/>
        </w:rPr>
        <w:t xml:space="preserve">“Analytics, data science, and artificial intelligence presented as systems for decision support.” </w:t>
      </w:r>
      <w:r>
        <w:rPr>
          <w:rFonts w:ascii="Times New Roman" w:hAnsi="Times New Roman" w:eastAsia="Times New Roman"/>
          <w:b w:val="0"/>
          <w:i/>
          <w:sz w:val="20"/>
        </w:rPr>
        <w:t>(Publisher (Pearson) description and subtitle)</w:t>
      </w:r>
    </w:p>
    <w:p>
      <w:pPr>
        <w:spacing w:after="160" w:line="360" w:lineRule="auto"/>
        <w:ind w:left="432" w:hanging="432"/>
        <w:jc w:val="both"/>
      </w:pPr>
      <w:r>
        <w:rPr>
          <w:rFonts w:ascii="Times New Roman" w:hAnsi="Times New Roman" w:eastAsia="Times New Roman"/>
          <w:b/>
          <w:i w:val="0"/>
          <w:sz w:val="22"/>
        </w:rPr>
        <w:t xml:space="preserve">Wang &amp; Strong (1996), data quality (Section 4). </w:t>
      </w:r>
      <w:r>
        <w:rPr>
          <w:rFonts w:ascii="Times New Roman" w:hAnsi="Times New Roman" w:eastAsia="Times New Roman"/>
          <w:b w:val="0"/>
          <w:i w:val="0"/>
          <w:sz w:val="22"/>
        </w:rPr>
        <w:t xml:space="preserve">“High-quality data are defined as data that are fit for use by data consumers, spanning intrinsic, contextual, representational, and accessibility dimensions.” </w:t>
      </w:r>
      <w:r>
        <w:rPr>
          <w:rFonts w:ascii="Times New Roman" w:hAnsi="Times New Roman" w:eastAsia="Times New Roman"/>
          <w:b w:val="0"/>
          <w:i/>
          <w:sz w:val="20"/>
        </w:rPr>
        <w:t>(Authors' established definition; JMIS article paywalled, no open copy available)</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