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Pr="006535EE" w:rsidRDefault="007379BA" w:rsidP="002618DC">
      <w:pPr>
        <w:pStyle w:val="Heading1"/>
        <w:jc w:val="center"/>
      </w:pPr>
      <w:r w:rsidRPr="006535EE">
        <w:t>Nice theatre, but didn’t they kill Caesar here?</w:t>
      </w:r>
      <w:r w:rsidRPr="00943D30">
        <w:br/>
      </w:r>
    </w:p>
    <w:p w:rsidR="0062731F" w:rsidRPr="004156FE" w:rsidRDefault="0062731F" w:rsidP="007379BA">
      <w:pPr>
        <w:rPr>
          <w:i/>
        </w:rPr>
      </w:pPr>
      <w:r w:rsidRPr="004156FE">
        <w:rPr>
          <w:i/>
        </w:rPr>
        <w:t>This week, Ewan C. examines the form and function of Rome’s first permanent theatre and its related complex. The site is home to arguably the most infamous betrayal in political history</w:t>
      </w:r>
      <w:r w:rsidR="00FA6794" w:rsidRPr="004156FE">
        <w:rPr>
          <w:i/>
        </w:rPr>
        <w:t>, as well as other, less perilous dramas, yet was also a centre of arts and horticulture.</w:t>
      </w:r>
      <w:r w:rsidRPr="004156FE">
        <w:rPr>
          <w:i/>
        </w:rPr>
        <w:t xml:space="preserve"> </w:t>
      </w:r>
      <w:r w:rsidR="00FA6794" w:rsidRPr="004156FE">
        <w:rPr>
          <w:i/>
        </w:rPr>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2F4EB4">
        <w:t>[</w:t>
      </w:r>
      <w:r w:rsidR="00E80EFC" w:rsidRPr="00ED64FB">
        <w:t>@</w:t>
      </w:r>
      <w:proofErr w:type="spellStart"/>
      <w:r w:rsidR="00ED64FB">
        <w:t>Gagliardo</w:t>
      </w:r>
      <w:r w:rsidRPr="00ED64FB">
        <w:t>Packer</w:t>
      </w:r>
      <w:proofErr w:type="spellEnd"/>
      <w:r w:rsidR="00857EAF">
        <w:t>: 95</w:t>
      </w:r>
      <w:r w:rsidR="005C18CF">
        <w:t>]</w:t>
      </w:r>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r w:rsidRPr="00BB15EC">
        <w:t xml:space="preserve">Dio </w:t>
      </w:r>
      <w:r w:rsidRPr="00ED64FB">
        <w:t xml:space="preserve">Cassius </w:t>
      </w:r>
      <w:hyperlink r:id="rId8" w:anchor="38" w:history="1">
        <w:r w:rsidR="00ED64FB" w:rsidRPr="0007364A">
          <w:rPr>
            <w:rStyle w:val="Hyperlink"/>
          </w:rPr>
          <w:t>(Cass. Dio. 39.38)</w:t>
        </w:r>
      </w:hyperlink>
      <w:r w:rsidRPr="00ED64FB">
        <w:t xml:space="preserve"> and Plutarch </w:t>
      </w:r>
      <w:hyperlink r:id="rId9"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050A96">
        <w:t>[</w:t>
      </w:r>
      <w:r w:rsidR="008F7D41" w:rsidRPr="00ED64FB">
        <w:t>@</w:t>
      </w:r>
      <w:proofErr w:type="spellStart"/>
      <w:r w:rsidR="008F7D41">
        <w:t>Gagliardo</w:t>
      </w:r>
      <w:r w:rsidR="008F7D41" w:rsidRPr="00ED64FB">
        <w:t>Packer</w:t>
      </w:r>
      <w:proofErr w:type="spellEnd"/>
      <w:r w:rsidR="00857EAF">
        <w:t>: 93</w:t>
      </w:r>
      <w:r w:rsidR="005C18CF">
        <w:t>]</w:t>
      </w:r>
      <w:bookmarkStart w:id="0" w:name="_GoBack"/>
      <w:bookmarkEnd w:id="0"/>
      <w:r>
        <w:t>.</w:t>
      </w:r>
    </w:p>
    <w:p w:rsidR="007379BA" w:rsidRPr="00BB15EC" w:rsidRDefault="007E4E76" w:rsidP="007379BA">
      <w:r>
        <w:t xml:space="preserve">Through </w:t>
      </w:r>
      <w:proofErr w:type="gramStart"/>
      <w:r>
        <w:t>a number of</w:t>
      </w:r>
      <w:proofErr w:type="gramEnd"/>
      <w:r>
        <w:t xml:space="preserve"> different sources, w</w:t>
      </w:r>
      <w:r w:rsidRPr="00BB15EC">
        <w:t>e know exactly where it was located</w:t>
      </w:r>
      <w:r>
        <w:t xml:space="preserve"> (</w:t>
      </w:r>
      <w:r>
        <w:rPr>
          <w:i/>
        </w:rPr>
        <w:t>fig. 3</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050A96">
        <w:t>[</w:t>
      </w:r>
      <w:r w:rsidR="00E80EFC" w:rsidRPr="00ED64FB">
        <w:t>@</w:t>
      </w:r>
      <w:r w:rsidR="007379BA" w:rsidRPr="00ED64FB">
        <w:t>Temelini</w:t>
      </w:r>
      <w:r w:rsidR="00857EAF">
        <w:t>: 40</w:t>
      </w:r>
      <w:r w:rsidR="00050A96">
        <w:t>]</w:t>
      </w:r>
      <w:r w:rsidR="00E80EFC" w:rsidRPr="00ED64FB">
        <w:t>;</w:t>
      </w:r>
      <w:r w:rsidR="007379BA" w:rsidRPr="00ED64FB">
        <w:t xml:space="preserve"> These were a temple, a theatre, and a </w:t>
      </w:r>
      <w:r w:rsidR="007379BA" w:rsidRPr="00ED64FB">
        <w:rPr>
          <w:i/>
          <w:iCs/>
        </w:rPr>
        <w:t>quadriportico</w:t>
      </w:r>
      <w:r w:rsidR="004156FE" w:rsidRPr="004156FE">
        <w:rPr>
          <w:iCs/>
        </w:rPr>
        <w:t>.</w:t>
      </w:r>
      <w:r w:rsidR="0034156A" w:rsidRPr="004156FE">
        <w:rPr>
          <w:rStyle w:val="FootnoteReference"/>
          <w:iCs/>
        </w:rPr>
        <w:footnoteReference w:id="1"/>
      </w:r>
      <w:r w:rsidR="007379BA" w:rsidRPr="004156FE">
        <w:t xml:space="preserve"> </w:t>
      </w:r>
      <w:r w:rsidR="004156FE">
        <w:t xml:space="preserve"> </w:t>
      </w:r>
      <w:r w:rsidR="007379BA" w:rsidRPr="00ED64FB">
        <w:t xml:space="preserve">The structure was also home to a garden and a </w:t>
      </w:r>
      <w:r w:rsidR="007379BA" w:rsidRPr="00ED64FB">
        <w:rPr>
          <w:i/>
          <w:iCs/>
        </w:rPr>
        <w:t>curia</w:t>
      </w:r>
      <w:r w:rsidR="004156FE" w:rsidRPr="004156FE">
        <w:rPr>
          <w:iCs/>
        </w:rPr>
        <w:t>.</w:t>
      </w:r>
      <w:r w:rsidR="0034156A" w:rsidRPr="004156FE">
        <w:rPr>
          <w:rStyle w:val="FootnoteReference"/>
          <w:iCs/>
        </w:rPr>
        <w:footnoteReference w:id="2"/>
      </w:r>
      <w:r w:rsidR="004156FE" w:rsidRPr="004156FE">
        <w:t xml:space="preserve"> </w:t>
      </w:r>
      <w:r w:rsidR="007379BA" w:rsidRPr="004156FE">
        <w:t xml:space="preserve"> The</w:t>
      </w:r>
      <w:r w:rsidR="007379BA" w:rsidRPr="00ED64FB">
        <w:t xml:space="preserve"> structure faced east; something Vitruvius </w:t>
      </w:r>
      <w:hyperlink r:id="rId11" w:history="1">
        <w:r w:rsidR="007379BA" w:rsidRPr="0007364A">
          <w:rPr>
            <w:rStyle w:val="Hyperlink"/>
          </w:rPr>
          <w:t>(</w:t>
        </w:r>
        <w:proofErr w:type="spellStart"/>
        <w:r w:rsidR="004156FE">
          <w:rPr>
            <w:rStyle w:val="Hyperlink"/>
          </w:rPr>
          <w:t>Vitr</w:t>
        </w:r>
        <w:proofErr w:type="spellEnd"/>
        <w:r w:rsidR="004156FE">
          <w:rPr>
            <w:rStyle w:val="Hyperlink"/>
          </w:rPr>
          <w:t xml:space="preserve">. </w:t>
        </w:r>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sidRPr="004156FE">
        <w:t>.</w:t>
      </w:r>
      <w:r w:rsidR="002168E9" w:rsidRPr="004156FE">
        <w:rPr>
          <w:rStyle w:val="FootnoteReference"/>
        </w:rPr>
        <w:footnoteReference w:id="3"/>
      </w:r>
      <w:r w:rsidRPr="004156FE">
        <w:t xml:space="preserve"> </w:t>
      </w:r>
      <w:r w:rsidR="004156FE">
        <w:t xml:space="preserve"> </w:t>
      </w:r>
      <w:r>
        <w:t xml:space="preserve">According to </w:t>
      </w:r>
      <w:r w:rsidRPr="00ED64FB">
        <w:t xml:space="preserve">Plutarch </w:t>
      </w:r>
      <w:hyperlink r:id="rId19"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050A96">
        <w:t>[</w:t>
      </w:r>
      <w:r w:rsidR="00E80EFC" w:rsidRPr="00ED64FB">
        <w:t>@</w:t>
      </w:r>
      <w:r w:rsidRPr="00ED64FB">
        <w:t>Temelini</w:t>
      </w:r>
      <w:r w:rsidR="00857EAF">
        <w:t>: 42</w:t>
      </w:r>
      <w:r w:rsidR="00050A96">
        <w:t>]</w:t>
      </w:r>
      <w:r w:rsidRPr="00ED64FB">
        <w:t>.</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lastRenderedPageBreak/>
        <w:t xml:space="preserve">The </w:t>
      </w:r>
      <w:proofErr w:type="spellStart"/>
      <w:r w:rsidRPr="00326D7B">
        <w:rPr>
          <w:i/>
          <w:iCs/>
        </w:rPr>
        <w:t>cavea</w:t>
      </w:r>
      <w:proofErr w:type="spellEnd"/>
      <w:r>
        <w:t xml:space="preserve"> is thought to have seated at least 20,000 </w:t>
      </w:r>
      <w:r w:rsidRPr="00ED64FB">
        <w:t xml:space="preserve">people </w:t>
      </w:r>
      <w:r w:rsidR="00050A96">
        <w:t>[</w:t>
      </w:r>
      <w:r w:rsidR="00E80EFC" w:rsidRPr="00ED64FB">
        <w:t>@</w:t>
      </w:r>
      <w:r w:rsidRPr="00ED64FB">
        <w:t>Temelini</w:t>
      </w:r>
      <w:r w:rsidR="00857EAF">
        <w:t>: 42</w:t>
      </w:r>
      <w:r w:rsidR="00050A96">
        <w:t>]</w:t>
      </w:r>
      <w:r w:rsidRPr="00ED64FB">
        <w:t>.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5493C">
        <w:rPr>
          <w:i/>
          <w:iCs/>
        </w:rPr>
        <w:t>7</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050A96">
        <w:t>[</w:t>
      </w:r>
      <w:r w:rsidR="00E80EFC" w:rsidRPr="00ED64FB">
        <w:t>@</w:t>
      </w:r>
      <w:r w:rsidRPr="00ED64FB">
        <w:t>Gleason</w:t>
      </w:r>
      <w:r w:rsidR="00857EAF">
        <w:t>: 24</w:t>
      </w:r>
      <w:r w:rsidR="00050A96">
        <w:t>]</w:t>
      </w:r>
      <w:r w:rsidRPr="00ED64FB">
        <w:t>.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050A96">
        <w:t>[</w:t>
      </w:r>
      <w:r w:rsidR="00E80EFC" w:rsidRPr="00ED64FB">
        <w:t>@</w:t>
      </w:r>
      <w:r w:rsidRPr="00ED64FB">
        <w:t>Sear</w:t>
      </w:r>
      <w:r w:rsidR="00050A96">
        <w:t>]</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5493C">
        <w:rPr>
          <w:i/>
          <w:iCs/>
        </w:rPr>
        <w:t>7</w:t>
      </w:r>
      <w:r>
        <w:t>)</w:t>
      </w:r>
      <w:r w:rsidRPr="00BB15EC">
        <w:t xml:space="preserve">. However, </w:t>
      </w:r>
      <w:hyperlink r:id="rId23" w:anchor="Richardson198" w:history="1">
        <w:r w:rsidRPr="00B20D08">
          <w:rPr>
            <w:rStyle w:val="Hyperlink"/>
          </w:rPr>
          <w:t>Richardson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050A96">
        <w:t>[</w:t>
      </w:r>
      <w:r w:rsidR="00E80EFC" w:rsidRPr="00ED64FB">
        <w:t>@</w:t>
      </w:r>
      <w:r w:rsidRPr="00ED64FB">
        <w:t>Richardson</w:t>
      </w:r>
      <w:r w:rsidR="00857EAF">
        <w:t>: 124-6</w:t>
      </w:r>
      <w:r w:rsidR="00050A96">
        <w:t>]</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050A96">
        <w:rPr>
          <w:iCs/>
        </w:rPr>
        <w:t>[</w:t>
      </w:r>
      <w:r w:rsidR="00E80EFC" w:rsidRPr="00ED64FB">
        <w:rPr>
          <w:iCs/>
        </w:rPr>
        <w:t>@</w:t>
      </w:r>
      <w:r w:rsidRPr="00ED64FB">
        <w:rPr>
          <w:iCs/>
        </w:rPr>
        <w:t>Richardson</w:t>
      </w:r>
      <w:r w:rsidR="00857EAF">
        <w:rPr>
          <w:iCs/>
        </w:rPr>
        <w:t>: 124-6</w:t>
      </w:r>
      <w:r w:rsidR="00050A96">
        <w:rPr>
          <w:iCs/>
        </w:rPr>
        <w:t>]</w:t>
      </w:r>
      <w:r w:rsidRPr="00922069">
        <w:rPr>
          <w:iCs/>
        </w:rPr>
        <w:t>.</w:t>
      </w:r>
      <w:r w:rsidRPr="00922069">
        <w:t xml:space="preserve"> T</w:t>
      </w:r>
      <w:r w:rsidRPr="00ED64FB">
        <w:t>his</w:t>
      </w:r>
      <w:r>
        <w:t xml:space="preserve"> disagreement in modern scholarship illustrates the need for caution when using modern reconstructions.</w:t>
      </w:r>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w:t>
      </w:r>
      <w:r w:rsidRPr="006535EE">
        <w:rPr>
          <w:i/>
          <w:iCs/>
        </w:rPr>
        <w:t>quadriportico</w:t>
      </w:r>
      <w:r w:rsidRPr="3566B54A">
        <w:t xml:space="preserve"> (</w:t>
      </w:r>
      <w:r w:rsidRPr="006535EE">
        <w:rPr>
          <w:i/>
          <w:iCs/>
        </w:rPr>
        <w:t>figs.</w:t>
      </w:r>
      <w:r w:rsidRPr="3566B54A">
        <w:t xml:space="preserve"> </w:t>
      </w:r>
      <w:r w:rsidR="00FD42B1">
        <w:rPr>
          <w:i/>
          <w:iCs/>
        </w:rPr>
        <w:t>2</w:t>
      </w:r>
      <w:r w:rsidRPr="3566B54A">
        <w:t xml:space="preserve"> &amp; </w:t>
      </w:r>
      <w:r w:rsidR="00F5493C">
        <w:rPr>
          <w:i/>
          <w:iCs/>
        </w:rPr>
        <w:t>8</w:t>
      </w:r>
      <w:r w:rsidRPr="3566B54A">
        <w:t xml:space="preserve">). </w:t>
      </w:r>
      <w:r w:rsidRPr="00652770">
        <w:t>It is thought that the space would have been able to accom</w:t>
      </w:r>
      <w:r>
        <w:t>modate 600 senators as well as visitors. Plutarch tell</w:t>
      </w:r>
      <w:r w:rsidR="00B50A7E">
        <w:t xml:space="preserve">s </w:t>
      </w:r>
      <w:r>
        <w:t>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4"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lastRenderedPageBreak/>
        <w:t xml:space="preserve">After the </w:t>
      </w:r>
      <w:r w:rsidRPr="006535EE">
        <w:rPr>
          <w:i/>
          <w:iCs/>
        </w:rPr>
        <w:t>curia</w:t>
      </w:r>
      <w:r w:rsidR="00B50A7E">
        <w:rPr>
          <w:i/>
          <w:iCs/>
        </w:rPr>
        <w:t xml:space="preserve"> </w:t>
      </w:r>
      <w:r>
        <w:t xml:space="preserve">in the </w:t>
      </w:r>
      <w:r w:rsidRPr="006535EE">
        <w:rPr>
          <w:i/>
          <w:iCs/>
        </w:rPr>
        <w:t>forum</w:t>
      </w:r>
      <w:r w:rsidR="00B50A7E" w:rsidRPr="004156FE">
        <w:rPr>
          <w:rStyle w:val="FootnoteReference"/>
          <w:iCs/>
        </w:rPr>
        <w:footnoteReference w:id="4"/>
      </w:r>
      <w:r w:rsidR="00B50A7E" w:rsidRPr="004156FE">
        <w:t xml:space="preserve"> </w:t>
      </w:r>
      <w:r>
        <w:t xml:space="preserve">was </w:t>
      </w:r>
      <w:r w:rsidRPr="00ED64FB">
        <w:t xml:space="preserve">destroyed by a fire in 52 BC, the Curia of Pompey became a place for the senate to hold meetings </w:t>
      </w:r>
      <w:r w:rsidR="00050A96">
        <w:t>[</w:t>
      </w:r>
      <w:r w:rsidR="00E80EFC" w:rsidRPr="00ED64FB">
        <w:t>@</w:t>
      </w:r>
      <w:r w:rsidRPr="00ED64FB">
        <w:t>Temelini</w:t>
      </w:r>
      <w:r w:rsidR="00857EAF">
        <w:t>: 74</w:t>
      </w:r>
      <w:r w:rsidR="00050A96">
        <w:t>]</w:t>
      </w:r>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8"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sidRPr="0096051A">
        <w:br/>
        <w:t>T</w:t>
      </w:r>
      <w:r w:rsidRPr="006535EE">
        <w:t xml:space="preserve">he </w:t>
      </w:r>
      <w:r w:rsidRPr="00B50A7E">
        <w:rPr>
          <w:i/>
        </w:rPr>
        <w:t>quadriportico</w:t>
      </w:r>
    </w:p>
    <w:p w:rsidR="00B50A7E" w:rsidRDefault="007379BA" w:rsidP="007379BA">
      <w:r>
        <w:t xml:space="preserve">The </w:t>
      </w:r>
      <w:r w:rsidRPr="00ED64FB">
        <w:rPr>
          <w:i/>
          <w:iCs/>
        </w:rPr>
        <w:t>quadriportico</w:t>
      </w:r>
      <w:r w:rsidRPr="00ED64FB">
        <w:t xml:space="preserve"> (</w:t>
      </w:r>
      <w:r w:rsidR="00FD42B1">
        <w:rPr>
          <w:i/>
          <w:iCs/>
        </w:rPr>
        <w:t>figs. 2</w:t>
      </w:r>
      <w:r w:rsidRPr="00ED64FB">
        <w:rPr>
          <w:i/>
          <w:iCs/>
        </w:rPr>
        <w:t xml:space="preserve"> &amp; </w:t>
      </w:r>
      <w:r w:rsidR="00F5493C">
        <w:rPr>
          <w:i/>
          <w:iCs/>
        </w:rPr>
        <w:t>8</w:t>
      </w:r>
      <w:r w:rsidRPr="00ED64FB">
        <w:t xml:space="preserve">) was an immense enclosed space, approximately 180 m long and 135 m wide </w:t>
      </w:r>
      <w:r w:rsidR="00050A96">
        <w:t>[</w:t>
      </w:r>
      <w:r w:rsidR="00E80EFC" w:rsidRPr="00ED64FB">
        <w:t>@</w:t>
      </w:r>
      <w:r w:rsidRPr="00ED64FB">
        <w:t>Temelini</w:t>
      </w:r>
      <w:r w:rsidR="00857EAF">
        <w:t>: 44</w:t>
      </w:r>
      <w:r w:rsidR="00050A96">
        <w:t>]</w:t>
      </w:r>
      <w:r w:rsidRPr="00ED64FB">
        <w:t>. The</w:t>
      </w:r>
      <w:r>
        <w:t xml:space="preserve"> </w:t>
      </w:r>
      <w:r w:rsidRPr="006535EE">
        <w:rPr>
          <w:i/>
          <w:iCs/>
        </w:rPr>
        <w:t xml:space="preserve">quadriportico </w:t>
      </w:r>
      <w:r>
        <w:t xml:space="preserve">consisted of a double colonnade outlining a large open </w:t>
      </w:r>
      <w:r w:rsidR="00B50A7E">
        <w:t>public space, which was most likely a park</w:t>
      </w:r>
      <w:r>
        <w:t xml:space="preserve"> consisting of </w:t>
      </w:r>
      <w:proofErr w:type="gramStart"/>
      <w:r>
        <w:t>a number of</w:t>
      </w:r>
      <w:proofErr w:type="gramEnd"/>
      <w:r>
        <w:t xml:space="preserve"> </w:t>
      </w:r>
      <w:r w:rsidRPr="00ED64FB">
        <w:t xml:space="preserve">gardens </w:t>
      </w:r>
      <w:r w:rsidR="00050A96">
        <w:t>[</w:t>
      </w:r>
      <w:r w:rsidR="00E80EFC" w:rsidRPr="00ED64FB">
        <w:t>@</w:t>
      </w:r>
      <w:r w:rsidRPr="00ED64FB">
        <w:t>Temelini</w:t>
      </w:r>
      <w:r w:rsidR="00857EAF">
        <w:t>: 45</w:t>
      </w:r>
      <w:r w:rsidR="00050A96">
        <w:t>]</w:t>
      </w:r>
      <w:r w:rsidRPr="00ED64FB">
        <w:t xml:space="preserve">. </w:t>
      </w:r>
    </w:p>
    <w:p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050A96">
        <w:t>[</w:t>
      </w:r>
      <w:r w:rsidR="00E80EFC" w:rsidRPr="00ED64FB">
        <w:t>@</w:t>
      </w:r>
      <w:r w:rsidRPr="00ED64FB">
        <w:t>Temelini</w:t>
      </w:r>
      <w:r w:rsidR="00857EAF">
        <w:t>: 33</w:t>
      </w:r>
      <w:r w:rsidR="00050A96">
        <w:t>]</w:t>
      </w:r>
      <w:r w:rsidRPr="00ED64FB">
        <w:t>.</w:t>
      </w:r>
      <w:r>
        <w:t xml:space="preserve"> </w:t>
      </w:r>
    </w:p>
    <w:p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050A96">
        <w:t>[</w:t>
      </w:r>
      <w:r w:rsidR="00E80EFC" w:rsidRPr="00ED64FB">
        <w:t>@</w:t>
      </w:r>
      <w:r w:rsidRPr="00ED64FB">
        <w:t>Gleason</w:t>
      </w:r>
      <w:r w:rsidR="007D0D5B">
        <w:t>: 19</w:t>
      </w:r>
      <w:r w:rsidR="00FD42B1">
        <w:t xml:space="preserve">; </w:t>
      </w:r>
      <w:r w:rsidR="00E80EFC" w:rsidRPr="00ED64FB">
        <w:t>@</w:t>
      </w:r>
      <w:r w:rsidRPr="00ED64FB">
        <w:t>Russel</w:t>
      </w:r>
      <w:r w:rsidR="0040545A">
        <w:t>l</w:t>
      </w:r>
      <w:r w:rsidR="007D0D5B">
        <w:t>: 131</w:t>
      </w:r>
      <w:r w:rsidR="00050A96">
        <w:t>]</w:t>
      </w:r>
      <w:r w:rsidRPr="00ED64FB">
        <w:t>, as well as a gilded bronze statue of Hercules (</w:t>
      </w:r>
      <w:r w:rsidRPr="00ED64FB">
        <w:rPr>
          <w:i/>
          <w:iCs/>
        </w:rPr>
        <w:t>fig.</w:t>
      </w:r>
      <w:r w:rsidR="00F5493C">
        <w:rPr>
          <w:i/>
          <w:iCs/>
        </w:rPr>
        <w:t>9</w:t>
      </w:r>
      <w:r w:rsidRPr="00ED64FB">
        <w:t>).</w:t>
      </w:r>
    </w:p>
    <w:p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00F5493C">
        <w:rPr>
          <w:i/>
          <w:iCs/>
        </w:rPr>
        <w:t>f</w:t>
      </w:r>
      <w:r w:rsidRPr="00ED64FB">
        <w:rPr>
          <w:i/>
          <w:iCs/>
        </w:rPr>
        <w:t>igure</w:t>
      </w:r>
      <w:r w:rsidRPr="00ED64FB">
        <w:t xml:space="preserve"> </w:t>
      </w:r>
      <w:r w:rsidR="00F5493C">
        <w:rPr>
          <w:i/>
          <w:iCs/>
        </w:rPr>
        <w:t>8</w:t>
      </w:r>
      <w:r w:rsidRPr="00ED64FB">
        <w:t xml:space="preserve">. The Garden was also the </w:t>
      </w:r>
      <w:r w:rsidR="00F72622">
        <w:t>first</w:t>
      </w:r>
      <w:r w:rsidRPr="00ED64FB">
        <w:t xml:space="preserve"> garden outside the religious boundary of Rome which was opened to the 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050A96">
        <w:rPr>
          <w:color w:val="000000" w:themeColor="text1"/>
        </w:rPr>
        <w:t>[</w:t>
      </w:r>
      <w:r w:rsidR="00FD42B1">
        <w:t>@Russel</w:t>
      </w:r>
      <w:r w:rsidR="0040545A">
        <w:t>l</w:t>
      </w:r>
      <w:r w:rsidR="00857EAF">
        <w:t>: 130</w:t>
      </w:r>
      <w:r w:rsidR="00050A96">
        <w:t>]</w:t>
      </w:r>
      <w:r w:rsidRPr="00ED64FB">
        <w:t xml:space="preserve">.  </w:t>
      </w:r>
      <w:r w:rsidR="00F72622">
        <w:t>Peristyle</w:t>
      </w:r>
      <w:r w:rsidRPr="00ED64FB">
        <w:t xml:space="preserve"> gardens were a very common feature of private </w:t>
      </w:r>
      <w:r w:rsidRPr="00ED64FB">
        <w:lastRenderedPageBreak/>
        <w:t>villas and mansions</w:t>
      </w:r>
      <w:r w:rsidR="00F72622">
        <w:t xml:space="preserve"> of the period</w:t>
      </w:r>
      <w:r w:rsidRPr="00ED64FB">
        <w:t xml:space="preserve">. As such, this public peristyle would have provided the average Roman with a glimpse into the private villas of the elite </w:t>
      </w:r>
      <w:r w:rsidR="00050A96">
        <w:t>[</w:t>
      </w:r>
      <w:r w:rsidR="00E80EFC" w:rsidRPr="00ED64FB">
        <w:t>@</w:t>
      </w:r>
      <w:r w:rsidRPr="00ED64FB">
        <w:t>Russel</w:t>
      </w:r>
      <w:r w:rsidR="0040545A">
        <w:t>l</w:t>
      </w:r>
      <w:r w:rsidR="00857EAF">
        <w:t>: 132</w:t>
      </w:r>
      <w:r w:rsidR="00050A96">
        <w:t>]</w:t>
      </w:r>
      <w:r w:rsidRPr="00ED64FB">
        <w:t>.</w:t>
      </w:r>
    </w:p>
    <w:p w:rsidR="007379BA" w:rsidRPr="00350190" w:rsidRDefault="007379BA" w:rsidP="007379BA">
      <w:pPr>
        <w:rPr>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050A96">
        <w:t>Temelini [</w:t>
      </w:r>
      <w:r w:rsidR="00FD42B1">
        <w:t>@Temelini</w:t>
      </w:r>
      <w:r w:rsidR="00857EAF">
        <w:t>: 54</w:t>
      </w:r>
      <w:r w:rsidR="00050A96">
        <w:t>]</w:t>
      </w:r>
      <w:r w:rsidRPr="00ED64FB">
        <w:t xml:space="preserve"> effectively</w:t>
      </w:r>
      <w:r>
        <w:t xml:space="preserve"> summarises, “</w:t>
      </w:r>
      <w:r w:rsidRPr="006535EE">
        <w:rPr>
          <w:i/>
          <w:iCs/>
        </w:rPr>
        <w:t>The porticus-garden was intended to provide the Roman community with a formal setting for rest, relaxation, and quiet contemplation.”</w:t>
      </w:r>
      <w:r>
        <w:rPr>
          <w:i/>
        </w:rPr>
        <w:t xml:space="preserve"> </w:t>
      </w:r>
      <w:r w:rsidRPr="00350190">
        <w:br/>
      </w:r>
    </w:p>
    <w:p w:rsidR="007379BA" w:rsidRPr="006535EE" w:rsidRDefault="007379BA" w:rsidP="00ED64FB">
      <w:pPr>
        <w:pStyle w:val="Heading1"/>
      </w:pPr>
      <w:r w:rsidRPr="00350190">
        <w:t>R</w:t>
      </w:r>
      <w:r w:rsidRPr="006535EE">
        <w:t>estorations and alterations</w:t>
      </w:r>
    </w:p>
    <w:p w:rsidR="007379BA" w:rsidRPr="00CC0E31" w:rsidRDefault="007379BA" w:rsidP="007379BA">
      <w:r w:rsidRPr="00350190">
        <w:t>The complex underwent numerous restorations and alterations during its life. For instance, we are told that Augustus</w:t>
      </w:r>
      <w:r w:rsidRPr="00ED64FB">
        <w:t xml:space="preserve">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7"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B12988">
        <w:t xml:space="preserve">. In typical Nero fashion, these curtains </w:t>
      </w:r>
      <w:r w:rsidR="00F72622">
        <w:t>depicted him upon a chariot</w:t>
      </w:r>
      <w:r>
        <w:t xml:space="preserve">. While </w:t>
      </w:r>
      <w:r w:rsidR="009A429C">
        <w:t>Cassius Dio may be reporting events with a level of</w:t>
      </w:r>
      <w:r>
        <w:t xml:space="preserve"> exaggeration, </w:t>
      </w:r>
      <w:r w:rsidR="009A429C">
        <w:t>his account</w:t>
      </w:r>
      <w:r>
        <w:t xml:space="preserve"> illustrates that the theatre was sometimes shaded</w:t>
      </w:r>
      <w:r w:rsidR="0029315D">
        <w:t>. This was</w:t>
      </w:r>
      <w:r w:rsidR="00667782">
        <w:t xml:space="preserve"> </w:t>
      </w:r>
      <w:r w:rsidR="0029315D">
        <w:t xml:space="preserve">not always the case, as evidenced by Martial </w:t>
      </w:r>
      <w:hyperlink r:id="rId38" w:history="1">
        <w:r w:rsidR="0029315D" w:rsidRPr="0029315D">
          <w:rPr>
            <w:rStyle w:val="Hyperlink"/>
          </w:rPr>
          <w:t>(Mart. xiv.29.1.)</w:t>
        </w:r>
      </w:hyperlink>
      <w:r w:rsidR="00785F73">
        <w:t xml:space="preserve">, writing </w:t>
      </w:r>
      <w:r w:rsidR="0029315D">
        <w:t xml:space="preserve">that, when windy, awnings could not be drawn up, and people had to </w:t>
      </w:r>
      <w:r w:rsidR="002A40E2">
        <w:t xml:space="preserve">wear broad-brimmed </w:t>
      </w:r>
      <w:r w:rsidR="0029315D">
        <w:t xml:space="preserve">hats to shade themselves. </w:t>
      </w:r>
      <w:r w:rsidRPr="00B249A8">
        <w:br/>
      </w:r>
    </w:p>
    <w:p w:rsidR="007379BA" w:rsidRPr="006535EE" w:rsidRDefault="007379BA" w:rsidP="00ED64FB">
      <w:pPr>
        <w:pStyle w:val="Heading1"/>
      </w:pPr>
      <w:r w:rsidRPr="006535EE">
        <w:t>The Theatre of Pompey: Home of the performing arts, religion, leisure, politics and murder</w:t>
      </w:r>
      <w:r w:rsidR="007F0417">
        <w:t>.</w:t>
      </w:r>
    </w:p>
    <w:p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F72622" w:rsidRPr="00F72622" w:rsidRDefault="00F72622" w:rsidP="00F72622">
      <w:pPr>
        <w:rPr>
          <w:color w:val="000000" w:themeColor="text1"/>
        </w:rPr>
      </w:pPr>
    </w:p>
    <w:p w:rsidR="00601892" w:rsidRPr="007F0417" w:rsidRDefault="00601892" w:rsidP="00ED64FB">
      <w:pPr>
        <w:pStyle w:val="Heading1"/>
      </w:pPr>
      <w:r w:rsidRPr="007F0417">
        <w:t>Further Reading</w:t>
      </w:r>
    </w:p>
    <w:p w:rsidR="007F0417" w:rsidRDefault="00601892" w:rsidP="007F0417">
      <w:r>
        <w:t>A good amount of information used in this blog has been sourced from:</w:t>
      </w:r>
    </w:p>
    <w:p w:rsidR="00F013FC" w:rsidRDefault="00601892" w:rsidP="007F0417">
      <w:pPr>
        <w:ind w:left="720" w:hanging="720"/>
      </w:pPr>
      <w:r w:rsidRPr="00BB15EC">
        <w:lastRenderedPageBreak/>
        <w:t xml:space="preserve">Temelini, M. A. (1993), </w:t>
      </w:r>
      <w:hyperlink r:id="rId39"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577158" w:rsidP="007F0417">
      <w:pPr>
        <w:ind w:left="720" w:hanging="720"/>
      </w:pPr>
      <w:hyperlink r:id="rId40"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F0417">
      <w:pPr>
        <w:ind w:left="720" w:hanging="720"/>
      </w:pPr>
      <w:r>
        <w:t xml:space="preserve">The </w:t>
      </w:r>
      <w:hyperlink r:id="rId41"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F0417" w:rsidRDefault="007F0417" w:rsidP="007379BA"/>
    <w:p w:rsidR="007379BA" w:rsidRDefault="007F0417" w:rsidP="007F0417">
      <w:pPr>
        <w:pStyle w:val="Heading1"/>
      </w:pPr>
      <w:r>
        <w:t>Bibliography</w:t>
      </w:r>
    </w:p>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158" w:rsidRDefault="00577158" w:rsidP="00F013FC">
      <w:pPr>
        <w:spacing w:after="0" w:line="240" w:lineRule="auto"/>
      </w:pPr>
      <w:r>
        <w:separator/>
      </w:r>
    </w:p>
  </w:endnote>
  <w:endnote w:type="continuationSeparator" w:id="0">
    <w:p w:rsidR="00577158" w:rsidRDefault="00577158"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158" w:rsidRDefault="00577158" w:rsidP="00F013FC">
      <w:pPr>
        <w:spacing w:after="0" w:line="240" w:lineRule="auto"/>
      </w:pPr>
      <w:r>
        <w:separator/>
      </w:r>
    </w:p>
  </w:footnote>
  <w:footnote w:type="continuationSeparator" w:id="0">
    <w:p w:rsidR="00577158" w:rsidRDefault="00577158"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rsidR="00B50A7E" w:rsidRPr="00B50A7E" w:rsidRDefault="00B50A7E">
      <w:pPr>
        <w:pStyle w:val="FootnoteText"/>
        <w:rPr>
          <w:lang w:val="en-AU"/>
        </w:rPr>
      </w:pPr>
      <w:r>
        <w:rPr>
          <w:rStyle w:val="FootnoteReference"/>
        </w:rPr>
        <w:footnoteRef/>
      </w:r>
      <w:r>
        <w:t xml:space="preserve"> 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50A96"/>
    <w:rsid w:val="00062FEB"/>
    <w:rsid w:val="0007364A"/>
    <w:rsid w:val="00093A7E"/>
    <w:rsid w:val="000B669B"/>
    <w:rsid w:val="000F5CF1"/>
    <w:rsid w:val="001048AA"/>
    <w:rsid w:val="001D6C61"/>
    <w:rsid w:val="00211870"/>
    <w:rsid w:val="002168E9"/>
    <w:rsid w:val="002618DC"/>
    <w:rsid w:val="00285379"/>
    <w:rsid w:val="0029315D"/>
    <w:rsid w:val="00294FC3"/>
    <w:rsid w:val="002A40E2"/>
    <w:rsid w:val="002E53B7"/>
    <w:rsid w:val="002E5864"/>
    <w:rsid w:val="002F4EB4"/>
    <w:rsid w:val="00326D7B"/>
    <w:rsid w:val="00341035"/>
    <w:rsid w:val="0034156A"/>
    <w:rsid w:val="00350190"/>
    <w:rsid w:val="003C53F0"/>
    <w:rsid w:val="003E2AAD"/>
    <w:rsid w:val="00404708"/>
    <w:rsid w:val="0040545A"/>
    <w:rsid w:val="004156FE"/>
    <w:rsid w:val="00577158"/>
    <w:rsid w:val="005921FB"/>
    <w:rsid w:val="005C18CF"/>
    <w:rsid w:val="00601892"/>
    <w:rsid w:val="0062731F"/>
    <w:rsid w:val="00654121"/>
    <w:rsid w:val="00667782"/>
    <w:rsid w:val="007379BA"/>
    <w:rsid w:val="00785F73"/>
    <w:rsid w:val="007953C6"/>
    <w:rsid w:val="007D0D5B"/>
    <w:rsid w:val="007E4E76"/>
    <w:rsid w:val="007F0417"/>
    <w:rsid w:val="00857EAF"/>
    <w:rsid w:val="008F7D41"/>
    <w:rsid w:val="00922069"/>
    <w:rsid w:val="0096051A"/>
    <w:rsid w:val="009736A6"/>
    <w:rsid w:val="009A429C"/>
    <w:rsid w:val="009E2FEE"/>
    <w:rsid w:val="00A14D1C"/>
    <w:rsid w:val="00A66672"/>
    <w:rsid w:val="00AD7051"/>
    <w:rsid w:val="00B12988"/>
    <w:rsid w:val="00B20D08"/>
    <w:rsid w:val="00B446C8"/>
    <w:rsid w:val="00B470A2"/>
    <w:rsid w:val="00B50A7E"/>
    <w:rsid w:val="00B717A3"/>
    <w:rsid w:val="00B74022"/>
    <w:rsid w:val="00BD7D1C"/>
    <w:rsid w:val="00C20774"/>
    <w:rsid w:val="00CA7025"/>
    <w:rsid w:val="00D50612"/>
    <w:rsid w:val="00D827EB"/>
    <w:rsid w:val="00E80EFC"/>
    <w:rsid w:val="00EC42ED"/>
    <w:rsid w:val="00ED64FB"/>
    <w:rsid w:val="00F013FC"/>
    <w:rsid w:val="00F5493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3955"/>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elope.uchicago.edu/Thayer/E/Roman/Texts/Cassius_Dio/39*.html" TargetMode="External"/><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dx.doi.org/10.20381/ruor-11398" TargetMode="External"/><Relationship Id="rId3" Type="http://schemas.openxmlformats.org/officeDocument/2006/relationships/styles" Target="styles.xm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www.tertullian.org/fathers/martial_epigrams_book14.htm" TargetMode="Externa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hyperlink" Target="https://formaurbis.stanford.ed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www.pompey.cch.kcl.ac.uk/index.htm"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E9B2-32CA-4696-B345-A1C2A30F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56</cp:revision>
  <dcterms:created xsi:type="dcterms:W3CDTF">2018-08-27T05:54:00Z</dcterms:created>
  <dcterms:modified xsi:type="dcterms:W3CDTF">2018-10-13T12:13:00Z</dcterms:modified>
</cp:coreProperties>
</file>