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89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Transformations based on new requirements (see ERD below):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Added a Material entity to allow company to track list of materials.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Added a WorkOrdMaterial Entity for the M-N relationship since each Work Order uses collection of materials and materials could conceivably be used in multiple work orders (requirements does not specify one way or the other)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Moved estimated hours from Task entity to WorkOrdTask entity since estimated hours depends on both task and work order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58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2</Pages>
  <Words>77</Words>
  <Characters>403</Characters>
  <CharactersWithSpaces>473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2020-08-16T11:33:53Z</dcterms:created>
  <dc:creator/>
  <dc:description/>
  <dc:language>en-US</dc:language>
  <cp:lastModifiedBy/>
  <dcterms:modified xsi:type="dcterms:W3CDTF">2020-08-16T11:44:48Z</dcterms:modified>
  <cp:revision>1</cp:revision>
  <dc:subject/>
  <dc:title/>
</cp:coreProperties>
</file>