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LeadsBookROI | Current Engineering Baseline</w:t>
      </w:r>
    </w:p>
    <w:p>
      <w:r>
        <w:rPr>
          <w:i/>
          <w:color w:val="505B6A"/>
          <w:sz w:val="18"/>
        </w:rPr>
        <w:t>Transition snapshot  •  As reported and verified through October 29, 2026</w:t>
      </w:r>
    </w:p>
    <w:p>
      <w:r>
        <w:t>Purpose: an attachable point-in-time engineering reference for the next LeadsBook Project chat. This snapshot does not replace current repository evidence or authorize operations.</w:t>
      </w:r>
    </w:p>
    <w:p>
      <w:pPr>
        <w:pStyle w:val="Heading1"/>
      </w:pPr>
      <w:r>
        <w:t>1. Repository and Git state</w:t>
      </w:r>
    </w:p>
    <w:p>
      <w:r>
        <w:rPr>
          <w:b/>
        </w:rPr>
        <w:t xml:space="preserve">WSL repository: </w:t>
      </w:r>
      <w:r>
        <w:t>~/projects/leadsbook/assessment-platform</w:t>
      </w:r>
    </w:p>
    <w:p>
      <w:r>
        <w:rPr>
          <w:b/>
        </w:rPr>
        <w:t xml:space="preserve">Replit repository: </w:t>
      </w:r>
      <w:r>
        <w:t>/home/runner/workspace</w:t>
      </w:r>
    </w:p>
    <w:p>
      <w:r>
        <w:rPr>
          <w:b/>
        </w:rPr>
        <w:t xml:space="preserve">Branch: </w:t>
      </w:r>
      <w:r>
        <w:t>work/sf2-5a-schema</w:t>
      </w:r>
    </w:p>
    <w:p>
      <w:r>
        <w:rPr>
          <w:b/>
        </w:rPr>
        <w:t xml:space="preserve">Local WSL HEAD: </w:t>
      </w:r>
      <w:r>
        <w:t>19d0a135ca4e63934d6e5be8ce110cf71cba9f8d</w:t>
      </w:r>
    </w:p>
    <w:p>
      <w:r>
        <w:rPr>
          <w:b/>
        </w:rPr>
        <w:t xml:space="preserve">GitHub / Replit HEAD: </w:t>
      </w:r>
      <w:r>
        <w:t>0ed0c30401f9ef372c19fdd01581ec6efca9ead7</w:t>
      </w:r>
    </w:p>
    <w:p>
      <w:r>
        <w:rPr>
          <w:b/>
        </w:rPr>
        <w:t xml:space="preserve">Git difference: </w:t>
      </w:r>
      <w:r>
        <w:t>One local-only validation-documentation commit ahead of GitHub/Replit; WSL tree and index clean at last check.</w:t>
      </w:r>
    </w:p>
    <w:p>
      <w:pPr>
        <w:pStyle w:val="Heading1"/>
      </w:pPr>
      <w:r>
        <w:t>2. Completed milestones</w:t>
      </w:r>
    </w:p>
    <w:p>
      <w:pPr>
        <w:ind w:left="259"/>
      </w:pPr>
      <w:r>
        <w:t>•  G7 Replit Development restoration formally accepted and closed at commit 45686afcd82e8867bf34df8f11b2ee227459e57d.</w:t>
      </w:r>
    </w:p>
    <w:p>
      <w:pPr>
        <w:ind w:left="259"/>
      </w:pPr>
      <w:r>
        <w:t>•  SF2-5a identity schema: Development migration 0027 completed and accepted; five platform identity tables established. Do not rerun it.</w:t>
      </w:r>
    </w:p>
    <w:p>
      <w:pPr>
        <w:ind w:left="259"/>
      </w:pPr>
      <w:r>
        <w:t>•  SF2-5b Increment 1 implementation committed at 0ed0c30401f9ef372c19fdd01581ec6efca9ead7.</w:t>
      </w:r>
    </w:p>
    <w:p>
      <w:pPr>
        <w:ind w:left="259"/>
      </w:pPr>
      <w:r>
        <w:t>•  Increment 1 Replit validation: 107/107 focused database-free tests passed, TypeScript typecheck passed, API build passed.</w:t>
      </w:r>
    </w:p>
    <w:p>
      <w:pPr>
        <w:ind w:left="259"/>
      </w:pPr>
      <w:r>
        <w:t>•  Post-validation Replit Git status clean; lockfile and installed dependency fingerprints unchanged.</w:t>
      </w:r>
    </w:p>
    <w:p>
      <w:pPr>
        <w:ind w:left="259"/>
      </w:pPr>
      <w:r>
        <w:t>•  Security test plan §5.7 updated and locally committed at 19d0a135ca4e63934d6e5be8ce110cf71cba9f8d.</w:t>
      </w:r>
    </w:p>
    <w:p>
      <w:pPr>
        <w:pStyle w:val="Heading1"/>
      </w:pPr>
      <w:r>
        <w:t>3. SF2-5b Increment 1 behavior</w:t>
      </w:r>
    </w:p>
    <w:p>
      <w:r>
        <w:t>OIDC adapter accepts a provider-neutral consumption hook. A validated sealed transaction and conforming transaction ID must be consumed before code exchange. Consumed permits exchange; already_consumed maps to HTTP 401; hook/storage failure or missing hook maps to HTTP 503. Test consumers were in-memory; persistent database enforcement is not yet wired.</w:t>
      </w:r>
    </w:p>
    <w:p>
      <w:pPr>
        <w:pStyle w:val="Heading1"/>
      </w:pPr>
      <w:r>
        <w:t>4. Immediate next target: SF2-5b Increment 2</w:t>
      </w:r>
    </w:p>
    <w:p>
      <w:pPr>
        <w:ind w:left="259"/>
      </w:pPr>
      <w:r>
        <w:t>•  Inspect current SaaS Foundation contracts §42.1.5–§42.1.6, implementation code, existing schema and test plan before authorizing writes.</w:t>
      </w:r>
    </w:p>
    <w:p>
      <w:pPr>
        <w:ind w:left="259"/>
      </w:pPr>
      <w:r>
        <w:t>•  Implement database-backed single-use transaction consumption and wire the hook in application composition.</w:t>
      </w:r>
    </w:p>
    <w:p>
      <w:pPr>
        <w:ind w:left="259"/>
      </w:pPr>
      <w:r>
        <w:t>•  Implement governed User/AuthIdentity provisioning and session creation according to accepted transaction boundaries.</w:t>
      </w:r>
    </w:p>
    <w:p>
      <w:pPr>
        <w:ind w:left="259"/>
      </w:pPr>
      <w:r>
        <w:t>•  Verify trust-proxy configuration before issuing the first session cookie.</w:t>
      </w:r>
    </w:p>
    <w:p>
      <w:pPr>
        <w:ind w:left="259"/>
      </w:pPr>
      <w:r>
        <w:t>•  Separate routine coding/unit tests from database-connected Development tests; replay, rollback, concurrency and logging evidence require their own authorization.</w:t>
      </w:r>
    </w:p>
    <w:p>
      <w:pPr>
        <w:ind w:left="259"/>
      </w:pPr>
      <w:r>
        <w:t>•  No new migration is expected because the five identity tables exist in Development, but verify the schema before relying on that assumption.</w:t>
      </w:r>
    </w:p>
    <w:p>
      <w:pPr>
        <w:pStyle w:val="Heading1"/>
      </w:pPr>
      <w:r>
        <w:t>5. Remaining SF2/SF3 dependencies</w:t>
      </w:r>
    </w:p>
    <w:p>
      <w:r>
        <w:t>SF2 still needs URL-encoded request scoping, persistent session resolution/revocation, sign-out with Origin check, session read, default returnTo, OpenAPI/generated client, admin bootstrap, and live Auth0 verification. SF3 Client membership and isolation implementation follows applicable SF2 validation and entry contracts. Stage 10 CP4–CP7 persistent workflows depend on these foundations.</w:t>
      </w:r>
    </w:p>
    <w:p>
      <w:pPr>
        <w:pStyle w:val="Heading1"/>
      </w:pPr>
      <w:r>
        <w:t>6. Restrictions and working method</w:t>
      </w:r>
    </w:p>
    <w:p>
      <w:pPr>
        <w:ind w:left="259"/>
      </w:pPr>
      <w:r>
        <w:t>•  Production migration BLOCKED; publishing FROZEN; PP-1 and PP-2 remain OPEN.</w:t>
      </w:r>
    </w:p>
    <w:p>
      <w:pPr>
        <w:ind w:left="259"/>
      </w:pPr>
      <w:r>
        <w:t>•  G1 item 4 and other retained limitations remain disclosed; G7 restoration itself is closed.</w:t>
      </w:r>
    </w:p>
    <w:p>
      <w:pPr>
        <w:ind w:left="259"/>
      </w:pPr>
      <w:r>
        <w:t>•  Do not infer authorization for database writes, migration, Docker, Production, publishing or a Git push.</w:t>
      </w:r>
    </w:p>
    <w:p>
      <w:pPr>
        <w:ind w:left="259"/>
      </w:pPr>
      <w:r>
        <w:t>•  One owner-typed command at a time for sensitive actions; read-only preflight before uncertain changes; no unnecessary governance reinvention.</w:t>
      </w:r>
    </w:p>
    <w:p>
      <w:pPr>
        <w:ind w:left="259"/>
      </w:pPr>
      <w:r>
        <w:t>•  Verify current Git SHA and repository source before implementation; snapshot may become stale.</w:t>
      </w:r>
    </w:p>
    <w:p>
      <w:pPr>
        <w:pStyle w:val="Heading1"/>
      </w:pPr>
      <w:r>
        <w:t>7. Authoritative references</w:t>
      </w:r>
    </w:p>
    <w:p>
      <w:pPr>
        <w:ind w:left="259"/>
      </w:pPr>
      <w:r>
        <w:t>•  docs/roi-saas-security-test-plan.md §5.7 (validated Increment 1 entry).</w:t>
      </w:r>
    </w:p>
    <w:p>
      <w:pPr>
        <w:ind w:left="259"/>
      </w:pPr>
      <w:r>
        <w:t>•  Accepted SaaS Foundation architecture (especially SF2/SF3 contracts and §42.1.5–§42.1.6).</w:t>
      </w:r>
    </w:p>
    <w:p>
      <w:pPr>
        <w:ind w:left="259"/>
      </w:pPr>
      <w:r>
        <w:t>•  Notion 6.16 Business Use-Case Register and 6.17 Master Capability Inventory: living product guidance, not automatic feature authorization.</w:t>
      </w:r>
    </w:p>
    <w:p>
      <w:pPr>
        <w:ind w:left="259"/>
      </w:pPr>
      <w:r>
        <w:t>•  Current code, accepted repo contracts and verified evidence govern technical implementation.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31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14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314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E314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